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10" w:type="dxa"/>
        <w:tblInd w:w="-335" w:type="dxa"/>
        <w:tblLayout w:type="fixed"/>
        <w:tblCellMar>
          <w:left w:w="115" w:type="dxa"/>
          <w:right w:w="115" w:type="dxa"/>
        </w:tblCellMar>
        <w:tblLook w:val="00A0"/>
      </w:tblPr>
      <w:tblGrid>
        <w:gridCol w:w="990"/>
        <w:gridCol w:w="4050"/>
        <w:gridCol w:w="5040"/>
        <w:gridCol w:w="1530"/>
      </w:tblGrid>
      <w:tr w:rsidR="005F037D" w:rsidRPr="00286EEF" w:rsidTr="00063795">
        <w:trPr>
          <w:trHeight w:val="5040"/>
        </w:trPr>
        <w:tc>
          <w:tcPr>
            <w:tcW w:w="11610" w:type="dxa"/>
            <w:gridSpan w:val="4"/>
          </w:tcPr>
          <w:p w:rsidR="005F037D" w:rsidRPr="00286EEF" w:rsidRDefault="0070203A">
            <w:pPr>
              <w:keepNext/>
            </w:pPr>
            <w:bookmarkStart w:id="0" w:name="_GoBack"/>
            <w:bookmarkEnd w:id="0"/>
            <w:r>
              <w:rPr>
                <w:noProof/>
                <w:lang w:eastAsia="zh-CN" w:bidi="km-KH"/>
              </w:rPr>
              <w:drawing>
                <wp:inline distT="0" distB="0" distL="0" distR="0">
                  <wp:extent cx="2790825" cy="1352550"/>
                  <wp:effectExtent l="0" t="0" r="9525"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9"/>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p w:rsidR="005F037D" w:rsidRPr="00286EEF" w:rsidRDefault="005F037D" w:rsidP="00CE1085"/>
        </w:tc>
      </w:tr>
      <w:tr w:rsidR="005F037D" w:rsidRPr="00286EEF" w:rsidTr="00063795">
        <w:trPr>
          <w:cantSplit/>
          <w:trHeight w:val="200"/>
        </w:trPr>
        <w:tc>
          <w:tcPr>
            <w:tcW w:w="990" w:type="dxa"/>
            <w:vMerge w:val="restart"/>
            <w:vAlign w:val="bottom"/>
          </w:tcPr>
          <w:p w:rsidR="005F037D" w:rsidRPr="00286EEF" w:rsidRDefault="005F037D" w:rsidP="00274356"/>
        </w:tc>
        <w:tc>
          <w:tcPr>
            <w:tcW w:w="10620" w:type="dxa"/>
            <w:gridSpan w:val="3"/>
            <w:vAlign w:val="bottom"/>
          </w:tcPr>
          <w:p w:rsidR="00E96E45" w:rsidRDefault="00F30DF8" w:rsidP="00E96E45">
            <w:pPr>
              <w:pStyle w:val="ESEReportName"/>
            </w:pPr>
            <w:r>
              <w:t>Status of the Massachusetts Educator Workforce</w:t>
            </w:r>
            <w:r w:rsidR="00063795">
              <w:t xml:space="preserve">: </w:t>
            </w:r>
          </w:p>
          <w:p w:rsidR="005F037D" w:rsidRPr="00F66EB7" w:rsidRDefault="00063795" w:rsidP="00E96E45">
            <w:pPr>
              <w:pStyle w:val="ESEReportName"/>
            </w:pPr>
            <w:r>
              <w:t>Focus on First-Year Teachers</w:t>
            </w:r>
          </w:p>
        </w:tc>
      </w:tr>
      <w:tr w:rsidR="005F037D" w:rsidRPr="00286EEF" w:rsidTr="00063795">
        <w:trPr>
          <w:cantSplit/>
          <w:trHeight w:val="240"/>
        </w:trPr>
        <w:tc>
          <w:tcPr>
            <w:tcW w:w="990" w:type="dxa"/>
            <w:vMerge/>
            <w:vAlign w:val="bottom"/>
          </w:tcPr>
          <w:p w:rsidR="005F037D" w:rsidRDefault="005F037D">
            <w:pPr>
              <w:spacing w:line="400" w:lineRule="exact"/>
              <w:rPr>
                <w:rFonts w:ascii="Arial" w:hAnsi="Arial"/>
                <w:color w:val="000000"/>
              </w:rPr>
            </w:pPr>
          </w:p>
        </w:tc>
        <w:tc>
          <w:tcPr>
            <w:tcW w:w="10620" w:type="dxa"/>
            <w:gridSpan w:val="3"/>
          </w:tcPr>
          <w:p w:rsidR="005F037D" w:rsidRPr="00286EEF" w:rsidRDefault="003448C8">
            <w:r>
              <w:pict>
                <v:rect id="_x0000_i1025" style="width:426pt;height:.05pt" o:hrpct="820" o:hrstd="t" o:hr="t" fillcolor="#aaa" stroked="f"/>
              </w:pict>
            </w:r>
          </w:p>
        </w:tc>
      </w:tr>
      <w:tr w:rsidR="005F037D" w:rsidRPr="00286EEF" w:rsidTr="00063795">
        <w:trPr>
          <w:cantSplit/>
          <w:trHeight w:val="760"/>
        </w:trPr>
        <w:tc>
          <w:tcPr>
            <w:tcW w:w="990" w:type="dxa"/>
            <w:vMerge/>
            <w:vAlign w:val="bottom"/>
          </w:tcPr>
          <w:p w:rsidR="005F037D" w:rsidRDefault="005F037D">
            <w:pPr>
              <w:spacing w:line="400" w:lineRule="exact"/>
              <w:rPr>
                <w:rFonts w:ascii="Arial" w:hAnsi="Arial"/>
                <w:color w:val="000000"/>
              </w:rPr>
            </w:pPr>
          </w:p>
        </w:tc>
        <w:tc>
          <w:tcPr>
            <w:tcW w:w="10620" w:type="dxa"/>
            <w:gridSpan w:val="3"/>
          </w:tcPr>
          <w:p w:rsidR="00F66EB7" w:rsidRPr="00F66EB7" w:rsidRDefault="00063795" w:rsidP="00063795">
            <w:pPr>
              <w:pStyle w:val="arial9"/>
              <w:spacing w:line="240" w:lineRule="auto"/>
            </w:pPr>
            <w:r>
              <w:t>An</w:t>
            </w:r>
            <w:r w:rsidR="00F30DF8">
              <w:t xml:space="preserve"> analysis of the </w:t>
            </w:r>
            <w:r w:rsidR="00D02D17">
              <w:t>preparation</w:t>
            </w:r>
            <w:r w:rsidR="00F30DF8">
              <w:t xml:space="preserve">, placement and retention of </w:t>
            </w:r>
            <w:r>
              <w:t xml:space="preserve">first-year </w:t>
            </w:r>
            <w:r w:rsidR="00F30DF8">
              <w:t>teachers</w:t>
            </w:r>
            <w:r>
              <w:t xml:space="preserve"> in Massachusetts</w:t>
            </w:r>
            <w:r w:rsidR="00F30DF8">
              <w:t>.</w:t>
            </w:r>
          </w:p>
          <w:p w:rsidR="00F30DF8" w:rsidRDefault="00F30DF8" w:rsidP="00EB1F6F">
            <w:pPr>
              <w:pStyle w:val="arial9"/>
            </w:pPr>
          </w:p>
          <w:p w:rsidR="005F037D" w:rsidRDefault="00F30DF8" w:rsidP="00EB1F6F">
            <w:pPr>
              <w:pStyle w:val="arial9"/>
            </w:pPr>
            <w:r>
              <w:t>December 2013</w:t>
            </w:r>
          </w:p>
        </w:tc>
      </w:tr>
      <w:tr w:rsidR="005F037D" w:rsidRPr="00286EEF" w:rsidTr="00063795">
        <w:trPr>
          <w:cantSplit/>
          <w:trHeight w:val="6246"/>
        </w:trPr>
        <w:tc>
          <w:tcPr>
            <w:tcW w:w="990" w:type="dxa"/>
            <w:vMerge/>
            <w:vAlign w:val="bottom"/>
          </w:tcPr>
          <w:p w:rsidR="005F037D" w:rsidRDefault="005F037D">
            <w:pPr>
              <w:spacing w:line="400" w:lineRule="exact"/>
              <w:rPr>
                <w:rFonts w:ascii="Arial" w:hAnsi="Arial"/>
                <w:color w:val="000000"/>
              </w:rPr>
            </w:pPr>
          </w:p>
        </w:tc>
        <w:tc>
          <w:tcPr>
            <w:tcW w:w="10620" w:type="dxa"/>
            <w:gridSpan w:val="3"/>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Malden, MA 02148</w:t>
            </w:r>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5F037D" w:rsidRPr="00286EEF" w:rsidTr="00063795">
        <w:tblPrEx>
          <w:tblCellMar>
            <w:left w:w="108" w:type="dxa"/>
            <w:right w:w="108" w:type="dxa"/>
          </w:tblCellMar>
        </w:tblPrEx>
        <w:trPr>
          <w:gridAfter w:val="1"/>
          <w:wAfter w:w="1530" w:type="dxa"/>
          <w:trHeight w:val="80"/>
        </w:trPr>
        <w:tc>
          <w:tcPr>
            <w:tcW w:w="5040" w:type="dxa"/>
            <w:gridSpan w:val="2"/>
          </w:tcPr>
          <w:p w:rsidR="005F037D" w:rsidRPr="00286EEF" w:rsidRDefault="005F037D" w:rsidP="00274356"/>
        </w:tc>
        <w:tc>
          <w:tcPr>
            <w:tcW w:w="5040" w:type="dxa"/>
          </w:tcPr>
          <w:p w:rsidR="005F037D" w:rsidRPr="00286EEF" w:rsidRDefault="005F037D" w:rsidP="00274356"/>
        </w:tc>
      </w:tr>
      <w:tr w:rsidR="00C118B2" w:rsidRPr="00286EEF" w:rsidTr="00063795">
        <w:tblPrEx>
          <w:tblCellMar>
            <w:left w:w="108" w:type="dxa"/>
            <w:right w:w="108" w:type="dxa"/>
          </w:tblCellMar>
        </w:tblPrEx>
        <w:trPr>
          <w:gridAfter w:val="1"/>
          <w:wAfter w:w="1530" w:type="dxa"/>
          <w:trHeight w:val="8235"/>
        </w:trPr>
        <w:tc>
          <w:tcPr>
            <w:tcW w:w="10080" w:type="dxa"/>
            <w:gridSpan w:val="3"/>
          </w:tcPr>
          <w:p w:rsidR="00C118B2" w:rsidRPr="00286EEF" w:rsidRDefault="0070203A" w:rsidP="008734A6">
            <w:pPr>
              <w:jc w:val="center"/>
            </w:pPr>
            <w:r>
              <w:rPr>
                <w:noProof/>
                <w:lang w:eastAsia="zh-CN" w:bidi="km-KH"/>
              </w:rPr>
              <w:lastRenderedPageBreak/>
              <w:drawing>
                <wp:inline distT="0" distB="0" distL="0" distR="0">
                  <wp:extent cx="2714625" cy="13049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9"/>
                          <a:srcRect/>
                          <a:stretch>
                            <a:fillRect/>
                          </a:stretch>
                        </pic:blipFill>
                        <pic:spPr bwMode="auto">
                          <a:xfrm>
                            <a:off x="0" y="0"/>
                            <a:ext cx="2714625" cy="1304925"/>
                          </a:xfrm>
                          <a:prstGeom prst="rect">
                            <a:avLst/>
                          </a:prstGeom>
                          <a:noFill/>
                          <a:ln w="9525">
                            <a:noFill/>
                            <a:miter lim="800000"/>
                            <a:headEnd/>
                            <a:tailEnd/>
                          </a:ln>
                        </pic:spPr>
                      </pic:pic>
                    </a:graphicData>
                  </a:graphic>
                </wp:inline>
              </w:drawing>
            </w:r>
          </w:p>
          <w:p w:rsidR="00C118B2" w:rsidRPr="00286EEF" w:rsidRDefault="00C118B2" w:rsidP="00345DE2"/>
          <w:p w:rsidR="00D4127E" w:rsidRPr="00286EEF" w:rsidRDefault="00D4127E" w:rsidP="00345DE2"/>
          <w:p w:rsidR="00D4127E" w:rsidRPr="00286EEF" w:rsidRDefault="00D4127E" w:rsidP="00345DE2"/>
          <w:p w:rsidR="00D4127E" w:rsidRPr="00286EEF" w:rsidRDefault="00D4127E" w:rsidP="00345DE2"/>
          <w:p w:rsidR="00C118B2" w:rsidRPr="00286EEF" w:rsidRDefault="00C118B2" w:rsidP="00345DE2"/>
          <w:p w:rsidR="00C118B2" w:rsidRDefault="00706286" w:rsidP="008734A6">
            <w:pPr>
              <w:pStyle w:val="BoardMembers"/>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706286" w:rsidRDefault="00706286" w:rsidP="008734A6">
            <w:pPr>
              <w:pStyle w:val="BoardMembers"/>
            </w:pPr>
          </w:p>
          <w:p w:rsidR="00706286" w:rsidRDefault="00706286" w:rsidP="008734A6">
            <w:pPr>
              <w:pStyle w:val="BoardMembers"/>
            </w:pPr>
          </w:p>
          <w:p w:rsidR="00C118B2" w:rsidRPr="00286EEF" w:rsidRDefault="00C118B2" w:rsidP="00345DE2"/>
          <w:p w:rsidR="00D4127E" w:rsidRPr="00286EEF" w:rsidRDefault="00D4127E" w:rsidP="00345DE2"/>
          <w:p w:rsidR="00D4127E" w:rsidRPr="00286EEF" w:rsidRDefault="00D4127E" w:rsidP="00345DE2"/>
          <w:p w:rsidR="00D4127E" w:rsidRPr="00286EEF" w:rsidRDefault="00D4127E" w:rsidP="00345DE2"/>
          <w:p w:rsidR="00D4127E" w:rsidRPr="00286EEF" w:rsidRDefault="00D4127E" w:rsidP="00345DE2"/>
          <w:p w:rsidR="00D4127E" w:rsidRPr="00286EEF" w:rsidRDefault="00D4127E" w:rsidP="00345DE2"/>
          <w:p w:rsidR="00D4127E" w:rsidRPr="00286EEF" w:rsidRDefault="00D4127E" w:rsidP="00345DE2"/>
          <w:p w:rsidR="00D4127E" w:rsidRPr="00286EEF" w:rsidRDefault="00D4127E" w:rsidP="00345DE2"/>
          <w:p w:rsidR="00322780" w:rsidRPr="00286EEF" w:rsidRDefault="00322780"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D4127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E31B2">
              <w:t>-4906. Phone:</w:t>
            </w:r>
            <w:r>
              <w:t xml:space="preserve"> 781-338-6105.</w:t>
            </w:r>
          </w:p>
          <w:p w:rsidR="00C118B2" w:rsidRPr="00286EEF" w:rsidRDefault="00C118B2" w:rsidP="00345DE2"/>
          <w:p w:rsidR="00C118B2" w:rsidRPr="00286EEF" w:rsidRDefault="00C118B2" w:rsidP="00345DE2"/>
          <w:p w:rsidR="00C118B2" w:rsidRDefault="00C118B2" w:rsidP="002B51B3">
            <w:pPr>
              <w:pStyle w:val="BoardMembers"/>
            </w:pPr>
            <w:r>
              <w:t>© 20</w:t>
            </w:r>
            <w:r w:rsidR="001F35ED">
              <w:t>1</w:t>
            </w:r>
            <w:r w:rsidR="00064ECC">
              <w:t>3</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286EEF" w:rsidRDefault="00C118B2" w:rsidP="00345DE2"/>
          <w:p w:rsidR="00C118B2" w:rsidRDefault="00C118B2" w:rsidP="00345DE2">
            <w:pPr>
              <w:pStyle w:val="Permission"/>
            </w:pPr>
            <w:r>
              <w:t>This document printed on recycled paper</w:t>
            </w:r>
          </w:p>
          <w:p w:rsidR="00C118B2" w:rsidRPr="00286EEF"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Street, Malden, MA 02148-</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286EEF" w:rsidRDefault="00C118B2" w:rsidP="00345DE2"/>
          <w:p w:rsidR="00C118B2" w:rsidRPr="00286EEF" w:rsidRDefault="0070203A" w:rsidP="00C118B2">
            <w:pPr>
              <w:jc w:val="center"/>
              <w:rPr>
                <w:sz w:val="18"/>
              </w:rPr>
            </w:pPr>
            <w:r>
              <w:rPr>
                <w:noProof/>
                <w:lang w:eastAsia="zh-CN" w:bidi="km-KH"/>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0"/>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4D45D4" w:rsidRDefault="004D45D4" w:rsidP="00C118B2"/>
    <w:p w:rsidR="000D1FA5" w:rsidRDefault="004D45D4" w:rsidP="000D1FA5">
      <w:r>
        <w:br w:type="page"/>
      </w:r>
    </w:p>
    <w:p w:rsidR="003F3636" w:rsidRPr="005677A2" w:rsidRDefault="003F3636" w:rsidP="005A367D">
      <w:pPr>
        <w:pStyle w:val="ESETOCHeading"/>
        <w:rPr>
          <w:rFonts w:asciiTheme="majorHAnsi" w:hAnsiTheme="majorHAnsi"/>
          <w:sz w:val="28"/>
        </w:rPr>
      </w:pPr>
      <w:r w:rsidRPr="005677A2">
        <w:rPr>
          <w:rFonts w:asciiTheme="majorHAnsi" w:hAnsiTheme="majorHAnsi"/>
          <w:sz w:val="28"/>
        </w:rPr>
        <w:t>Table of Contents</w:t>
      </w:r>
    </w:p>
    <w:p w:rsidR="007D771A" w:rsidRDefault="003448C8">
      <w:pPr>
        <w:pStyle w:val="TOC1"/>
        <w:rPr>
          <w:rFonts w:asciiTheme="minorHAnsi" w:eastAsiaTheme="minorEastAsia" w:hAnsiTheme="minorHAnsi" w:cstheme="minorBidi"/>
          <w:b w:val="0"/>
          <w:noProof/>
          <w:sz w:val="22"/>
          <w:szCs w:val="22"/>
        </w:rPr>
      </w:pPr>
      <w:r w:rsidRPr="003448C8">
        <w:fldChar w:fldCharType="begin"/>
      </w:r>
      <w:r w:rsidR="003F3636">
        <w:instrText xml:space="preserve"> TOC \o "1-3" \h \z \u </w:instrText>
      </w:r>
      <w:r w:rsidRPr="003448C8">
        <w:fldChar w:fldCharType="separate"/>
      </w:r>
      <w:hyperlink w:anchor="_Toc374114877" w:history="1">
        <w:r w:rsidR="007D771A" w:rsidRPr="00742230">
          <w:rPr>
            <w:rStyle w:val="Hyperlink"/>
            <w:noProof/>
          </w:rPr>
          <w:t>Executive Summary</w:t>
        </w:r>
        <w:r w:rsidR="007D771A">
          <w:rPr>
            <w:noProof/>
            <w:webHidden/>
          </w:rPr>
          <w:tab/>
        </w:r>
        <w:r>
          <w:rPr>
            <w:noProof/>
            <w:webHidden/>
          </w:rPr>
          <w:fldChar w:fldCharType="begin"/>
        </w:r>
        <w:r w:rsidR="007D771A">
          <w:rPr>
            <w:noProof/>
            <w:webHidden/>
          </w:rPr>
          <w:instrText xml:space="preserve"> PAGEREF _Toc374114877 \h </w:instrText>
        </w:r>
        <w:r>
          <w:rPr>
            <w:noProof/>
            <w:webHidden/>
          </w:rPr>
        </w:r>
        <w:r>
          <w:rPr>
            <w:noProof/>
            <w:webHidden/>
          </w:rPr>
          <w:fldChar w:fldCharType="separate"/>
        </w:r>
        <w:r w:rsidR="00A26A5D">
          <w:rPr>
            <w:noProof/>
            <w:webHidden/>
          </w:rPr>
          <w:t>1</w:t>
        </w:r>
        <w:r>
          <w:rPr>
            <w:noProof/>
            <w:webHidden/>
          </w:rPr>
          <w:fldChar w:fldCharType="end"/>
        </w:r>
      </w:hyperlink>
    </w:p>
    <w:p w:rsidR="007D771A" w:rsidRDefault="003448C8">
      <w:pPr>
        <w:pStyle w:val="TOC1"/>
        <w:rPr>
          <w:rFonts w:asciiTheme="minorHAnsi" w:eastAsiaTheme="minorEastAsia" w:hAnsiTheme="minorHAnsi" w:cstheme="minorBidi"/>
          <w:b w:val="0"/>
          <w:noProof/>
          <w:sz w:val="22"/>
          <w:szCs w:val="22"/>
        </w:rPr>
      </w:pPr>
      <w:hyperlink w:anchor="_Toc374114878" w:history="1">
        <w:r w:rsidR="007D771A" w:rsidRPr="00742230">
          <w:rPr>
            <w:rStyle w:val="Hyperlink"/>
            <w:noProof/>
          </w:rPr>
          <w:t>About the Data</w:t>
        </w:r>
        <w:r w:rsidR="007D771A">
          <w:rPr>
            <w:noProof/>
            <w:webHidden/>
          </w:rPr>
          <w:tab/>
        </w:r>
        <w:r>
          <w:rPr>
            <w:noProof/>
            <w:webHidden/>
          </w:rPr>
          <w:fldChar w:fldCharType="begin"/>
        </w:r>
        <w:r w:rsidR="007D771A">
          <w:rPr>
            <w:noProof/>
            <w:webHidden/>
          </w:rPr>
          <w:instrText xml:space="preserve"> PAGEREF _Toc374114878 \h </w:instrText>
        </w:r>
        <w:r>
          <w:rPr>
            <w:noProof/>
            <w:webHidden/>
          </w:rPr>
        </w:r>
        <w:r>
          <w:rPr>
            <w:noProof/>
            <w:webHidden/>
          </w:rPr>
          <w:fldChar w:fldCharType="separate"/>
        </w:r>
        <w:r w:rsidR="00A26A5D">
          <w:rPr>
            <w:noProof/>
            <w:webHidden/>
          </w:rPr>
          <w:t>3</w:t>
        </w:r>
        <w:r>
          <w:rPr>
            <w:noProof/>
            <w:webHidden/>
          </w:rPr>
          <w:fldChar w:fldCharType="end"/>
        </w:r>
      </w:hyperlink>
    </w:p>
    <w:p w:rsidR="007D771A" w:rsidRDefault="003448C8">
      <w:pPr>
        <w:pStyle w:val="TOC1"/>
        <w:rPr>
          <w:rFonts w:asciiTheme="minorHAnsi" w:eastAsiaTheme="minorEastAsia" w:hAnsiTheme="minorHAnsi" w:cstheme="minorBidi"/>
          <w:b w:val="0"/>
          <w:noProof/>
          <w:sz w:val="22"/>
          <w:szCs w:val="22"/>
        </w:rPr>
      </w:pPr>
      <w:hyperlink w:anchor="_Toc374114879" w:history="1">
        <w:r w:rsidR="007D771A" w:rsidRPr="00742230">
          <w:rPr>
            <w:rStyle w:val="Hyperlink"/>
            <w:noProof/>
          </w:rPr>
          <w:t>I. First-Year Teachers and the Massachusetts Educator Workforce in 2012-13</w:t>
        </w:r>
        <w:r w:rsidR="007D771A">
          <w:rPr>
            <w:noProof/>
            <w:webHidden/>
          </w:rPr>
          <w:tab/>
        </w:r>
        <w:r>
          <w:rPr>
            <w:noProof/>
            <w:webHidden/>
          </w:rPr>
          <w:fldChar w:fldCharType="begin"/>
        </w:r>
        <w:r w:rsidR="007D771A">
          <w:rPr>
            <w:noProof/>
            <w:webHidden/>
          </w:rPr>
          <w:instrText xml:space="preserve"> PAGEREF _Toc374114879 \h </w:instrText>
        </w:r>
        <w:r>
          <w:rPr>
            <w:noProof/>
            <w:webHidden/>
          </w:rPr>
        </w:r>
        <w:r>
          <w:rPr>
            <w:noProof/>
            <w:webHidden/>
          </w:rPr>
          <w:fldChar w:fldCharType="separate"/>
        </w:r>
        <w:r w:rsidR="00A26A5D">
          <w:rPr>
            <w:noProof/>
            <w:webHidden/>
          </w:rPr>
          <w:t>5</w:t>
        </w:r>
        <w:r>
          <w:rPr>
            <w:noProof/>
            <w:webHidden/>
          </w:rPr>
          <w:fldChar w:fldCharType="end"/>
        </w:r>
      </w:hyperlink>
    </w:p>
    <w:p w:rsidR="007D771A" w:rsidRDefault="003448C8">
      <w:pPr>
        <w:pStyle w:val="TOC2"/>
        <w:tabs>
          <w:tab w:val="right" w:leader="dot" w:pos="9350"/>
        </w:tabs>
        <w:rPr>
          <w:rFonts w:asciiTheme="minorHAnsi" w:eastAsiaTheme="minorEastAsia" w:hAnsiTheme="minorHAnsi" w:cstheme="minorBidi"/>
          <w:noProof/>
          <w:sz w:val="22"/>
          <w:szCs w:val="22"/>
        </w:rPr>
      </w:pPr>
      <w:hyperlink w:anchor="_Toc374114880" w:history="1">
        <w:r w:rsidR="007D771A" w:rsidRPr="00742230">
          <w:rPr>
            <w:rStyle w:val="Hyperlink"/>
            <w:noProof/>
          </w:rPr>
          <w:t>Demographics</w:t>
        </w:r>
        <w:r w:rsidR="007D771A">
          <w:rPr>
            <w:noProof/>
            <w:webHidden/>
          </w:rPr>
          <w:tab/>
        </w:r>
        <w:r w:rsidRPr="005677A2">
          <w:rPr>
            <w:noProof/>
            <w:webHidden/>
            <w:sz w:val="22"/>
            <w:szCs w:val="22"/>
          </w:rPr>
          <w:fldChar w:fldCharType="begin"/>
        </w:r>
        <w:r w:rsidR="007D771A" w:rsidRPr="005677A2">
          <w:rPr>
            <w:noProof/>
            <w:webHidden/>
            <w:sz w:val="22"/>
            <w:szCs w:val="22"/>
          </w:rPr>
          <w:instrText xml:space="preserve"> PAGEREF _Toc374114880 \h </w:instrText>
        </w:r>
        <w:r w:rsidRPr="005677A2">
          <w:rPr>
            <w:noProof/>
            <w:webHidden/>
            <w:sz w:val="22"/>
            <w:szCs w:val="22"/>
          </w:rPr>
        </w:r>
        <w:r w:rsidRPr="005677A2">
          <w:rPr>
            <w:noProof/>
            <w:webHidden/>
            <w:sz w:val="22"/>
            <w:szCs w:val="22"/>
          </w:rPr>
          <w:fldChar w:fldCharType="separate"/>
        </w:r>
        <w:r w:rsidR="00A26A5D">
          <w:rPr>
            <w:noProof/>
            <w:webHidden/>
            <w:sz w:val="22"/>
            <w:szCs w:val="22"/>
          </w:rPr>
          <w:t>5</w:t>
        </w:r>
        <w:r w:rsidRPr="005677A2">
          <w:rPr>
            <w:noProof/>
            <w:webHidden/>
            <w:sz w:val="22"/>
            <w:szCs w:val="22"/>
          </w:rPr>
          <w:fldChar w:fldCharType="end"/>
        </w:r>
      </w:hyperlink>
    </w:p>
    <w:p w:rsidR="007D771A" w:rsidRDefault="003448C8">
      <w:pPr>
        <w:pStyle w:val="TOC2"/>
        <w:tabs>
          <w:tab w:val="right" w:leader="dot" w:pos="9350"/>
        </w:tabs>
        <w:rPr>
          <w:rFonts w:asciiTheme="minorHAnsi" w:eastAsiaTheme="minorEastAsia" w:hAnsiTheme="minorHAnsi" w:cstheme="minorBidi"/>
          <w:noProof/>
          <w:sz w:val="22"/>
          <w:szCs w:val="22"/>
        </w:rPr>
      </w:pPr>
      <w:hyperlink w:anchor="_Toc374114881" w:history="1">
        <w:r w:rsidR="007D771A" w:rsidRPr="00742230">
          <w:rPr>
            <w:rStyle w:val="Hyperlink"/>
            <w:noProof/>
          </w:rPr>
          <w:t>New Teacher Hiring and Years of Service</w:t>
        </w:r>
        <w:r w:rsidR="007D771A">
          <w:rPr>
            <w:noProof/>
            <w:webHidden/>
          </w:rPr>
          <w:tab/>
        </w:r>
        <w:r w:rsidRPr="005677A2">
          <w:rPr>
            <w:noProof/>
            <w:webHidden/>
            <w:sz w:val="22"/>
            <w:szCs w:val="22"/>
          </w:rPr>
          <w:fldChar w:fldCharType="begin"/>
        </w:r>
        <w:r w:rsidR="007D771A" w:rsidRPr="005677A2">
          <w:rPr>
            <w:noProof/>
            <w:webHidden/>
            <w:sz w:val="22"/>
            <w:szCs w:val="22"/>
          </w:rPr>
          <w:instrText xml:space="preserve"> PAGEREF _Toc374114881 \h </w:instrText>
        </w:r>
        <w:r w:rsidRPr="005677A2">
          <w:rPr>
            <w:noProof/>
            <w:webHidden/>
            <w:sz w:val="22"/>
            <w:szCs w:val="22"/>
          </w:rPr>
        </w:r>
        <w:r w:rsidRPr="005677A2">
          <w:rPr>
            <w:noProof/>
            <w:webHidden/>
            <w:sz w:val="22"/>
            <w:szCs w:val="22"/>
          </w:rPr>
          <w:fldChar w:fldCharType="separate"/>
        </w:r>
        <w:r w:rsidR="00A26A5D">
          <w:rPr>
            <w:noProof/>
            <w:webHidden/>
            <w:sz w:val="22"/>
            <w:szCs w:val="22"/>
          </w:rPr>
          <w:t>6</w:t>
        </w:r>
        <w:r w:rsidRPr="005677A2">
          <w:rPr>
            <w:noProof/>
            <w:webHidden/>
            <w:sz w:val="22"/>
            <w:szCs w:val="22"/>
          </w:rPr>
          <w:fldChar w:fldCharType="end"/>
        </w:r>
      </w:hyperlink>
    </w:p>
    <w:p w:rsidR="007D771A" w:rsidRDefault="003448C8">
      <w:pPr>
        <w:pStyle w:val="TOC2"/>
        <w:tabs>
          <w:tab w:val="right" w:leader="dot" w:pos="9350"/>
        </w:tabs>
        <w:rPr>
          <w:rFonts w:asciiTheme="minorHAnsi" w:eastAsiaTheme="minorEastAsia" w:hAnsiTheme="minorHAnsi" w:cstheme="minorBidi"/>
          <w:noProof/>
          <w:sz w:val="22"/>
          <w:szCs w:val="22"/>
        </w:rPr>
      </w:pPr>
      <w:hyperlink w:anchor="_Toc374114882" w:history="1">
        <w:r w:rsidR="007D771A" w:rsidRPr="00742230">
          <w:rPr>
            <w:rStyle w:val="Hyperlink"/>
            <w:noProof/>
          </w:rPr>
          <w:t>Educator Shortages</w:t>
        </w:r>
        <w:r w:rsidR="007D771A">
          <w:rPr>
            <w:noProof/>
            <w:webHidden/>
          </w:rPr>
          <w:tab/>
        </w:r>
        <w:r w:rsidRPr="005677A2">
          <w:rPr>
            <w:noProof/>
            <w:webHidden/>
            <w:sz w:val="22"/>
            <w:szCs w:val="22"/>
          </w:rPr>
          <w:fldChar w:fldCharType="begin"/>
        </w:r>
        <w:r w:rsidR="007D771A" w:rsidRPr="005677A2">
          <w:rPr>
            <w:noProof/>
            <w:webHidden/>
            <w:sz w:val="22"/>
            <w:szCs w:val="22"/>
          </w:rPr>
          <w:instrText xml:space="preserve"> PAGEREF _Toc374114882 \h </w:instrText>
        </w:r>
        <w:r w:rsidRPr="005677A2">
          <w:rPr>
            <w:noProof/>
            <w:webHidden/>
            <w:sz w:val="22"/>
            <w:szCs w:val="22"/>
          </w:rPr>
        </w:r>
        <w:r w:rsidRPr="005677A2">
          <w:rPr>
            <w:noProof/>
            <w:webHidden/>
            <w:sz w:val="22"/>
            <w:szCs w:val="22"/>
          </w:rPr>
          <w:fldChar w:fldCharType="separate"/>
        </w:r>
        <w:r w:rsidR="00A26A5D">
          <w:rPr>
            <w:noProof/>
            <w:webHidden/>
            <w:sz w:val="22"/>
            <w:szCs w:val="22"/>
          </w:rPr>
          <w:t>9</w:t>
        </w:r>
        <w:r w:rsidRPr="005677A2">
          <w:rPr>
            <w:noProof/>
            <w:webHidden/>
            <w:sz w:val="22"/>
            <w:szCs w:val="22"/>
          </w:rPr>
          <w:fldChar w:fldCharType="end"/>
        </w:r>
      </w:hyperlink>
    </w:p>
    <w:p w:rsidR="007D771A" w:rsidRDefault="003448C8">
      <w:pPr>
        <w:pStyle w:val="TOC1"/>
        <w:rPr>
          <w:rFonts w:asciiTheme="minorHAnsi" w:eastAsiaTheme="minorEastAsia" w:hAnsiTheme="minorHAnsi" w:cstheme="minorBidi"/>
          <w:b w:val="0"/>
          <w:noProof/>
          <w:sz w:val="22"/>
          <w:szCs w:val="22"/>
        </w:rPr>
      </w:pPr>
      <w:hyperlink w:anchor="_Toc374114883" w:history="1">
        <w:r w:rsidR="007D771A" w:rsidRPr="00742230">
          <w:rPr>
            <w:rStyle w:val="Hyperlink"/>
            <w:noProof/>
          </w:rPr>
          <w:t>II. Routes to Becoming a First-Year Teacher</w:t>
        </w:r>
        <w:r w:rsidR="007D771A">
          <w:rPr>
            <w:noProof/>
            <w:webHidden/>
          </w:rPr>
          <w:tab/>
        </w:r>
        <w:r>
          <w:rPr>
            <w:noProof/>
            <w:webHidden/>
          </w:rPr>
          <w:fldChar w:fldCharType="begin"/>
        </w:r>
        <w:r w:rsidR="007D771A">
          <w:rPr>
            <w:noProof/>
            <w:webHidden/>
          </w:rPr>
          <w:instrText xml:space="preserve"> PAGEREF _Toc374114883 \h </w:instrText>
        </w:r>
        <w:r>
          <w:rPr>
            <w:noProof/>
            <w:webHidden/>
          </w:rPr>
        </w:r>
        <w:r>
          <w:rPr>
            <w:noProof/>
            <w:webHidden/>
          </w:rPr>
          <w:fldChar w:fldCharType="separate"/>
        </w:r>
        <w:r w:rsidR="00A26A5D">
          <w:rPr>
            <w:noProof/>
            <w:webHidden/>
          </w:rPr>
          <w:t>11</w:t>
        </w:r>
        <w:r>
          <w:rPr>
            <w:noProof/>
            <w:webHidden/>
          </w:rPr>
          <w:fldChar w:fldCharType="end"/>
        </w:r>
      </w:hyperlink>
    </w:p>
    <w:p w:rsidR="007D771A" w:rsidRDefault="003448C8">
      <w:pPr>
        <w:pStyle w:val="TOC2"/>
        <w:tabs>
          <w:tab w:val="right" w:leader="dot" w:pos="9350"/>
        </w:tabs>
        <w:rPr>
          <w:rFonts w:asciiTheme="minorHAnsi" w:eastAsiaTheme="minorEastAsia" w:hAnsiTheme="minorHAnsi" w:cstheme="minorBidi"/>
          <w:noProof/>
          <w:sz w:val="22"/>
          <w:szCs w:val="22"/>
        </w:rPr>
      </w:pPr>
      <w:hyperlink w:anchor="_Toc374114884" w:history="1">
        <w:r w:rsidR="007D771A" w:rsidRPr="00742230">
          <w:rPr>
            <w:rStyle w:val="Hyperlink"/>
            <w:noProof/>
          </w:rPr>
          <w:t>Licensure Routes to Teaching</w:t>
        </w:r>
        <w:r w:rsidR="007D771A">
          <w:rPr>
            <w:noProof/>
            <w:webHidden/>
          </w:rPr>
          <w:tab/>
        </w:r>
        <w:r w:rsidRPr="005677A2">
          <w:rPr>
            <w:noProof/>
            <w:webHidden/>
            <w:sz w:val="22"/>
            <w:szCs w:val="22"/>
          </w:rPr>
          <w:fldChar w:fldCharType="begin"/>
        </w:r>
        <w:r w:rsidR="007D771A" w:rsidRPr="005677A2">
          <w:rPr>
            <w:noProof/>
            <w:webHidden/>
            <w:sz w:val="22"/>
            <w:szCs w:val="22"/>
          </w:rPr>
          <w:instrText xml:space="preserve"> PAGEREF _Toc374114884 \h </w:instrText>
        </w:r>
        <w:r w:rsidRPr="005677A2">
          <w:rPr>
            <w:noProof/>
            <w:webHidden/>
            <w:sz w:val="22"/>
            <w:szCs w:val="22"/>
          </w:rPr>
        </w:r>
        <w:r w:rsidRPr="005677A2">
          <w:rPr>
            <w:noProof/>
            <w:webHidden/>
            <w:sz w:val="22"/>
            <w:szCs w:val="22"/>
          </w:rPr>
          <w:fldChar w:fldCharType="separate"/>
        </w:r>
        <w:r w:rsidR="00A26A5D">
          <w:rPr>
            <w:noProof/>
            <w:webHidden/>
            <w:sz w:val="22"/>
            <w:szCs w:val="22"/>
          </w:rPr>
          <w:t>12</w:t>
        </w:r>
        <w:r w:rsidRPr="005677A2">
          <w:rPr>
            <w:noProof/>
            <w:webHidden/>
            <w:sz w:val="22"/>
            <w:szCs w:val="22"/>
          </w:rPr>
          <w:fldChar w:fldCharType="end"/>
        </w:r>
      </w:hyperlink>
    </w:p>
    <w:p w:rsidR="007D771A" w:rsidRDefault="003448C8">
      <w:pPr>
        <w:pStyle w:val="TOC2"/>
        <w:tabs>
          <w:tab w:val="right" w:leader="dot" w:pos="9350"/>
        </w:tabs>
        <w:rPr>
          <w:rFonts w:asciiTheme="minorHAnsi" w:eastAsiaTheme="minorEastAsia" w:hAnsiTheme="minorHAnsi" w:cstheme="minorBidi"/>
          <w:noProof/>
          <w:sz w:val="22"/>
          <w:szCs w:val="22"/>
        </w:rPr>
      </w:pPr>
      <w:hyperlink w:anchor="_Toc374114885" w:history="1">
        <w:r w:rsidR="007D771A" w:rsidRPr="00742230">
          <w:rPr>
            <w:rStyle w:val="Hyperlink"/>
            <w:noProof/>
          </w:rPr>
          <w:t>Teacher Preparation Programs</w:t>
        </w:r>
        <w:r w:rsidR="007D771A">
          <w:rPr>
            <w:noProof/>
            <w:webHidden/>
          </w:rPr>
          <w:tab/>
        </w:r>
        <w:r w:rsidRPr="005677A2">
          <w:rPr>
            <w:noProof/>
            <w:webHidden/>
            <w:sz w:val="22"/>
            <w:szCs w:val="22"/>
          </w:rPr>
          <w:fldChar w:fldCharType="begin"/>
        </w:r>
        <w:r w:rsidR="007D771A" w:rsidRPr="005677A2">
          <w:rPr>
            <w:noProof/>
            <w:webHidden/>
            <w:sz w:val="22"/>
            <w:szCs w:val="22"/>
          </w:rPr>
          <w:instrText xml:space="preserve"> PAGEREF _Toc374114885 \h </w:instrText>
        </w:r>
        <w:r w:rsidRPr="005677A2">
          <w:rPr>
            <w:noProof/>
            <w:webHidden/>
            <w:sz w:val="22"/>
            <w:szCs w:val="22"/>
          </w:rPr>
        </w:r>
        <w:r w:rsidRPr="005677A2">
          <w:rPr>
            <w:noProof/>
            <w:webHidden/>
            <w:sz w:val="22"/>
            <w:szCs w:val="22"/>
          </w:rPr>
          <w:fldChar w:fldCharType="separate"/>
        </w:r>
        <w:r w:rsidR="00A26A5D">
          <w:rPr>
            <w:noProof/>
            <w:webHidden/>
            <w:sz w:val="22"/>
            <w:szCs w:val="22"/>
          </w:rPr>
          <w:t>14</w:t>
        </w:r>
        <w:r w:rsidRPr="005677A2">
          <w:rPr>
            <w:noProof/>
            <w:webHidden/>
            <w:sz w:val="22"/>
            <w:szCs w:val="22"/>
          </w:rPr>
          <w:fldChar w:fldCharType="end"/>
        </w:r>
      </w:hyperlink>
    </w:p>
    <w:p w:rsidR="007D771A" w:rsidRDefault="003448C8">
      <w:pPr>
        <w:pStyle w:val="TOC2"/>
        <w:tabs>
          <w:tab w:val="right" w:leader="dot" w:pos="9350"/>
        </w:tabs>
        <w:rPr>
          <w:rFonts w:asciiTheme="minorHAnsi" w:eastAsiaTheme="minorEastAsia" w:hAnsiTheme="minorHAnsi" w:cstheme="minorBidi"/>
          <w:noProof/>
          <w:sz w:val="22"/>
          <w:szCs w:val="22"/>
        </w:rPr>
      </w:pPr>
      <w:hyperlink w:anchor="_Toc374114886" w:history="1">
        <w:r w:rsidR="007D771A" w:rsidRPr="00742230">
          <w:rPr>
            <w:rStyle w:val="Hyperlink"/>
            <w:noProof/>
          </w:rPr>
          <w:t>Prior Work in a Massachusetts Public School</w:t>
        </w:r>
        <w:r w:rsidR="007D771A">
          <w:rPr>
            <w:noProof/>
            <w:webHidden/>
          </w:rPr>
          <w:tab/>
        </w:r>
        <w:r w:rsidRPr="005677A2">
          <w:rPr>
            <w:noProof/>
            <w:webHidden/>
            <w:sz w:val="22"/>
            <w:szCs w:val="22"/>
          </w:rPr>
          <w:fldChar w:fldCharType="begin"/>
        </w:r>
        <w:r w:rsidR="007D771A" w:rsidRPr="005677A2">
          <w:rPr>
            <w:noProof/>
            <w:webHidden/>
            <w:sz w:val="22"/>
            <w:szCs w:val="22"/>
          </w:rPr>
          <w:instrText xml:space="preserve"> PAGEREF _Toc374114886 \h </w:instrText>
        </w:r>
        <w:r w:rsidRPr="005677A2">
          <w:rPr>
            <w:noProof/>
            <w:webHidden/>
            <w:sz w:val="22"/>
            <w:szCs w:val="22"/>
          </w:rPr>
        </w:r>
        <w:r w:rsidRPr="005677A2">
          <w:rPr>
            <w:noProof/>
            <w:webHidden/>
            <w:sz w:val="22"/>
            <w:szCs w:val="22"/>
          </w:rPr>
          <w:fldChar w:fldCharType="separate"/>
        </w:r>
        <w:r w:rsidR="00A26A5D">
          <w:rPr>
            <w:noProof/>
            <w:webHidden/>
            <w:sz w:val="22"/>
            <w:szCs w:val="22"/>
          </w:rPr>
          <w:t>19</w:t>
        </w:r>
        <w:r w:rsidRPr="005677A2">
          <w:rPr>
            <w:noProof/>
            <w:webHidden/>
            <w:sz w:val="22"/>
            <w:szCs w:val="22"/>
          </w:rPr>
          <w:fldChar w:fldCharType="end"/>
        </w:r>
      </w:hyperlink>
    </w:p>
    <w:p w:rsidR="007D771A" w:rsidRDefault="003448C8">
      <w:pPr>
        <w:pStyle w:val="TOC1"/>
        <w:rPr>
          <w:rFonts w:asciiTheme="minorHAnsi" w:eastAsiaTheme="minorEastAsia" w:hAnsiTheme="minorHAnsi" w:cstheme="minorBidi"/>
          <w:b w:val="0"/>
          <w:noProof/>
          <w:sz w:val="22"/>
          <w:szCs w:val="22"/>
        </w:rPr>
      </w:pPr>
      <w:hyperlink w:anchor="_Toc374114887" w:history="1">
        <w:r w:rsidR="007D771A" w:rsidRPr="00742230">
          <w:rPr>
            <w:rStyle w:val="Hyperlink"/>
            <w:noProof/>
          </w:rPr>
          <w:t>III. First-Year Teachers and Student Performance</w:t>
        </w:r>
        <w:r w:rsidR="007D771A">
          <w:rPr>
            <w:noProof/>
            <w:webHidden/>
          </w:rPr>
          <w:tab/>
        </w:r>
        <w:r>
          <w:rPr>
            <w:noProof/>
            <w:webHidden/>
          </w:rPr>
          <w:fldChar w:fldCharType="begin"/>
        </w:r>
        <w:r w:rsidR="007D771A">
          <w:rPr>
            <w:noProof/>
            <w:webHidden/>
          </w:rPr>
          <w:instrText xml:space="preserve"> PAGEREF _Toc374114887 \h </w:instrText>
        </w:r>
        <w:r>
          <w:rPr>
            <w:noProof/>
            <w:webHidden/>
          </w:rPr>
        </w:r>
        <w:r>
          <w:rPr>
            <w:noProof/>
            <w:webHidden/>
          </w:rPr>
          <w:fldChar w:fldCharType="separate"/>
        </w:r>
        <w:r w:rsidR="00A26A5D">
          <w:rPr>
            <w:noProof/>
            <w:webHidden/>
          </w:rPr>
          <w:t>22</w:t>
        </w:r>
        <w:r>
          <w:rPr>
            <w:noProof/>
            <w:webHidden/>
          </w:rPr>
          <w:fldChar w:fldCharType="end"/>
        </w:r>
      </w:hyperlink>
    </w:p>
    <w:p w:rsidR="007D771A" w:rsidRDefault="003448C8">
      <w:pPr>
        <w:pStyle w:val="TOC2"/>
        <w:tabs>
          <w:tab w:val="right" w:leader="dot" w:pos="9350"/>
        </w:tabs>
        <w:rPr>
          <w:rFonts w:asciiTheme="minorHAnsi" w:eastAsiaTheme="minorEastAsia" w:hAnsiTheme="minorHAnsi" w:cstheme="minorBidi"/>
          <w:noProof/>
          <w:sz w:val="22"/>
          <w:szCs w:val="22"/>
        </w:rPr>
      </w:pPr>
      <w:hyperlink w:anchor="_Toc374114888" w:history="1">
        <w:r w:rsidR="007D771A" w:rsidRPr="00742230">
          <w:rPr>
            <w:rStyle w:val="Hyperlink"/>
            <w:noProof/>
          </w:rPr>
          <w:t>Growth of Students Taught by New Teachers</w:t>
        </w:r>
        <w:r w:rsidR="007D771A">
          <w:rPr>
            <w:noProof/>
            <w:webHidden/>
          </w:rPr>
          <w:tab/>
        </w:r>
        <w:r w:rsidRPr="005677A2">
          <w:rPr>
            <w:noProof/>
            <w:webHidden/>
            <w:sz w:val="22"/>
            <w:szCs w:val="22"/>
          </w:rPr>
          <w:fldChar w:fldCharType="begin"/>
        </w:r>
        <w:r w:rsidR="007D771A" w:rsidRPr="005677A2">
          <w:rPr>
            <w:noProof/>
            <w:webHidden/>
            <w:sz w:val="22"/>
            <w:szCs w:val="22"/>
          </w:rPr>
          <w:instrText xml:space="preserve"> PAGEREF _Toc374114888 \h </w:instrText>
        </w:r>
        <w:r w:rsidRPr="005677A2">
          <w:rPr>
            <w:noProof/>
            <w:webHidden/>
            <w:sz w:val="22"/>
            <w:szCs w:val="22"/>
          </w:rPr>
        </w:r>
        <w:r w:rsidRPr="005677A2">
          <w:rPr>
            <w:noProof/>
            <w:webHidden/>
            <w:sz w:val="22"/>
            <w:szCs w:val="22"/>
          </w:rPr>
          <w:fldChar w:fldCharType="separate"/>
        </w:r>
        <w:r w:rsidR="00A26A5D">
          <w:rPr>
            <w:noProof/>
            <w:webHidden/>
            <w:sz w:val="22"/>
            <w:szCs w:val="22"/>
          </w:rPr>
          <w:t>22</w:t>
        </w:r>
        <w:r w:rsidRPr="005677A2">
          <w:rPr>
            <w:noProof/>
            <w:webHidden/>
            <w:sz w:val="22"/>
            <w:szCs w:val="22"/>
          </w:rPr>
          <w:fldChar w:fldCharType="end"/>
        </w:r>
      </w:hyperlink>
    </w:p>
    <w:p w:rsidR="007D771A" w:rsidRDefault="003448C8">
      <w:pPr>
        <w:pStyle w:val="TOC2"/>
        <w:tabs>
          <w:tab w:val="right" w:leader="dot" w:pos="9350"/>
        </w:tabs>
        <w:rPr>
          <w:rFonts w:asciiTheme="minorHAnsi" w:eastAsiaTheme="minorEastAsia" w:hAnsiTheme="minorHAnsi" w:cstheme="minorBidi"/>
          <w:noProof/>
          <w:sz w:val="22"/>
          <w:szCs w:val="22"/>
        </w:rPr>
      </w:pPr>
      <w:hyperlink w:anchor="_Toc374114889" w:history="1">
        <w:r w:rsidR="007D771A" w:rsidRPr="00742230">
          <w:rPr>
            <w:rStyle w:val="Hyperlink"/>
            <w:noProof/>
          </w:rPr>
          <w:t>New Teacher Classroom Placement</w:t>
        </w:r>
        <w:r w:rsidR="007D771A">
          <w:rPr>
            <w:noProof/>
            <w:webHidden/>
          </w:rPr>
          <w:tab/>
        </w:r>
        <w:r w:rsidRPr="005677A2">
          <w:rPr>
            <w:noProof/>
            <w:webHidden/>
            <w:sz w:val="22"/>
            <w:szCs w:val="22"/>
          </w:rPr>
          <w:fldChar w:fldCharType="begin"/>
        </w:r>
        <w:r w:rsidR="007D771A" w:rsidRPr="005677A2">
          <w:rPr>
            <w:noProof/>
            <w:webHidden/>
            <w:sz w:val="22"/>
            <w:szCs w:val="22"/>
          </w:rPr>
          <w:instrText xml:space="preserve"> PAGEREF _Toc374114889 \h </w:instrText>
        </w:r>
        <w:r w:rsidRPr="005677A2">
          <w:rPr>
            <w:noProof/>
            <w:webHidden/>
            <w:sz w:val="22"/>
            <w:szCs w:val="22"/>
          </w:rPr>
        </w:r>
        <w:r w:rsidRPr="005677A2">
          <w:rPr>
            <w:noProof/>
            <w:webHidden/>
            <w:sz w:val="22"/>
            <w:szCs w:val="22"/>
          </w:rPr>
          <w:fldChar w:fldCharType="separate"/>
        </w:r>
        <w:r w:rsidR="00A26A5D">
          <w:rPr>
            <w:noProof/>
            <w:webHidden/>
            <w:sz w:val="22"/>
            <w:szCs w:val="22"/>
          </w:rPr>
          <w:t>26</w:t>
        </w:r>
        <w:r w:rsidRPr="005677A2">
          <w:rPr>
            <w:noProof/>
            <w:webHidden/>
            <w:sz w:val="22"/>
            <w:szCs w:val="22"/>
          </w:rPr>
          <w:fldChar w:fldCharType="end"/>
        </w:r>
      </w:hyperlink>
    </w:p>
    <w:p w:rsidR="007D771A" w:rsidRDefault="003448C8">
      <w:pPr>
        <w:pStyle w:val="TOC1"/>
        <w:rPr>
          <w:rFonts w:asciiTheme="minorHAnsi" w:eastAsiaTheme="minorEastAsia" w:hAnsiTheme="minorHAnsi" w:cstheme="minorBidi"/>
          <w:b w:val="0"/>
          <w:noProof/>
          <w:sz w:val="22"/>
          <w:szCs w:val="22"/>
        </w:rPr>
      </w:pPr>
      <w:hyperlink w:anchor="_Toc374114890" w:history="1">
        <w:r w:rsidR="007D771A" w:rsidRPr="00742230">
          <w:rPr>
            <w:rStyle w:val="Hyperlink"/>
            <w:noProof/>
          </w:rPr>
          <w:t>IV. New Teacher Retention</w:t>
        </w:r>
        <w:r w:rsidR="007D771A">
          <w:rPr>
            <w:noProof/>
            <w:webHidden/>
          </w:rPr>
          <w:tab/>
        </w:r>
        <w:r>
          <w:rPr>
            <w:noProof/>
            <w:webHidden/>
          </w:rPr>
          <w:fldChar w:fldCharType="begin"/>
        </w:r>
        <w:r w:rsidR="007D771A">
          <w:rPr>
            <w:noProof/>
            <w:webHidden/>
          </w:rPr>
          <w:instrText xml:space="preserve"> PAGEREF _Toc374114890 \h </w:instrText>
        </w:r>
        <w:r>
          <w:rPr>
            <w:noProof/>
            <w:webHidden/>
          </w:rPr>
        </w:r>
        <w:r>
          <w:rPr>
            <w:noProof/>
            <w:webHidden/>
          </w:rPr>
          <w:fldChar w:fldCharType="separate"/>
        </w:r>
        <w:r w:rsidR="00A26A5D">
          <w:rPr>
            <w:noProof/>
            <w:webHidden/>
          </w:rPr>
          <w:t>29</w:t>
        </w:r>
        <w:r>
          <w:rPr>
            <w:noProof/>
            <w:webHidden/>
          </w:rPr>
          <w:fldChar w:fldCharType="end"/>
        </w:r>
      </w:hyperlink>
    </w:p>
    <w:p w:rsidR="007D771A" w:rsidRDefault="003448C8">
      <w:pPr>
        <w:pStyle w:val="TOC2"/>
        <w:tabs>
          <w:tab w:val="right" w:leader="dot" w:pos="9350"/>
        </w:tabs>
        <w:rPr>
          <w:rFonts w:asciiTheme="minorHAnsi" w:eastAsiaTheme="minorEastAsia" w:hAnsiTheme="minorHAnsi" w:cstheme="minorBidi"/>
          <w:noProof/>
          <w:sz w:val="22"/>
          <w:szCs w:val="22"/>
        </w:rPr>
      </w:pPr>
      <w:hyperlink w:anchor="_Toc374114891" w:history="1">
        <w:r w:rsidR="007D771A" w:rsidRPr="00742230">
          <w:rPr>
            <w:rStyle w:val="Hyperlink"/>
            <w:noProof/>
          </w:rPr>
          <w:t>One- and Two-Year Retention Rates</w:t>
        </w:r>
        <w:r w:rsidR="007D771A">
          <w:rPr>
            <w:noProof/>
            <w:webHidden/>
          </w:rPr>
          <w:tab/>
        </w:r>
        <w:r w:rsidRPr="005677A2">
          <w:rPr>
            <w:noProof/>
            <w:webHidden/>
            <w:sz w:val="22"/>
            <w:szCs w:val="22"/>
          </w:rPr>
          <w:fldChar w:fldCharType="begin"/>
        </w:r>
        <w:r w:rsidR="007D771A" w:rsidRPr="005677A2">
          <w:rPr>
            <w:noProof/>
            <w:webHidden/>
            <w:sz w:val="22"/>
            <w:szCs w:val="22"/>
          </w:rPr>
          <w:instrText xml:space="preserve"> PAGEREF _Toc374114891 \h </w:instrText>
        </w:r>
        <w:r w:rsidRPr="005677A2">
          <w:rPr>
            <w:noProof/>
            <w:webHidden/>
            <w:sz w:val="22"/>
            <w:szCs w:val="22"/>
          </w:rPr>
        </w:r>
        <w:r w:rsidRPr="005677A2">
          <w:rPr>
            <w:noProof/>
            <w:webHidden/>
            <w:sz w:val="22"/>
            <w:szCs w:val="22"/>
          </w:rPr>
          <w:fldChar w:fldCharType="separate"/>
        </w:r>
        <w:r w:rsidR="00A26A5D">
          <w:rPr>
            <w:noProof/>
            <w:webHidden/>
            <w:sz w:val="22"/>
            <w:szCs w:val="22"/>
          </w:rPr>
          <w:t>29</w:t>
        </w:r>
        <w:r w:rsidRPr="005677A2">
          <w:rPr>
            <w:noProof/>
            <w:webHidden/>
            <w:sz w:val="22"/>
            <w:szCs w:val="22"/>
          </w:rPr>
          <w:fldChar w:fldCharType="end"/>
        </w:r>
      </w:hyperlink>
    </w:p>
    <w:p w:rsidR="007D771A" w:rsidRDefault="003448C8">
      <w:pPr>
        <w:pStyle w:val="TOC2"/>
        <w:tabs>
          <w:tab w:val="right" w:leader="dot" w:pos="9350"/>
        </w:tabs>
        <w:rPr>
          <w:rFonts w:asciiTheme="minorHAnsi" w:eastAsiaTheme="minorEastAsia" w:hAnsiTheme="minorHAnsi" w:cstheme="minorBidi"/>
          <w:noProof/>
          <w:sz w:val="22"/>
          <w:szCs w:val="22"/>
        </w:rPr>
      </w:pPr>
      <w:hyperlink w:anchor="_Toc374114892" w:history="1">
        <w:r w:rsidR="007D771A" w:rsidRPr="00742230">
          <w:rPr>
            <w:rStyle w:val="Hyperlink"/>
            <w:noProof/>
          </w:rPr>
          <w:t>Next Steps for New Teachers</w:t>
        </w:r>
        <w:r w:rsidR="007D771A">
          <w:rPr>
            <w:noProof/>
            <w:webHidden/>
          </w:rPr>
          <w:tab/>
        </w:r>
        <w:r w:rsidRPr="005677A2">
          <w:rPr>
            <w:noProof/>
            <w:webHidden/>
            <w:sz w:val="22"/>
            <w:szCs w:val="22"/>
          </w:rPr>
          <w:fldChar w:fldCharType="begin"/>
        </w:r>
        <w:r w:rsidR="007D771A" w:rsidRPr="005677A2">
          <w:rPr>
            <w:noProof/>
            <w:webHidden/>
            <w:sz w:val="22"/>
            <w:szCs w:val="22"/>
          </w:rPr>
          <w:instrText xml:space="preserve"> PAGEREF _Toc374114892 \h </w:instrText>
        </w:r>
        <w:r w:rsidRPr="005677A2">
          <w:rPr>
            <w:noProof/>
            <w:webHidden/>
            <w:sz w:val="22"/>
            <w:szCs w:val="22"/>
          </w:rPr>
        </w:r>
        <w:r w:rsidRPr="005677A2">
          <w:rPr>
            <w:noProof/>
            <w:webHidden/>
            <w:sz w:val="22"/>
            <w:szCs w:val="22"/>
          </w:rPr>
          <w:fldChar w:fldCharType="separate"/>
        </w:r>
        <w:r w:rsidR="00A26A5D">
          <w:rPr>
            <w:noProof/>
            <w:webHidden/>
            <w:sz w:val="22"/>
            <w:szCs w:val="22"/>
          </w:rPr>
          <w:t>35</w:t>
        </w:r>
        <w:r w:rsidRPr="005677A2">
          <w:rPr>
            <w:noProof/>
            <w:webHidden/>
            <w:sz w:val="22"/>
            <w:szCs w:val="22"/>
          </w:rPr>
          <w:fldChar w:fldCharType="end"/>
        </w:r>
      </w:hyperlink>
    </w:p>
    <w:p w:rsidR="007D771A" w:rsidRDefault="003448C8">
      <w:pPr>
        <w:pStyle w:val="TOC1"/>
        <w:rPr>
          <w:rFonts w:asciiTheme="minorHAnsi" w:eastAsiaTheme="minorEastAsia" w:hAnsiTheme="minorHAnsi" w:cstheme="minorBidi"/>
          <w:b w:val="0"/>
          <w:noProof/>
          <w:sz w:val="22"/>
          <w:szCs w:val="22"/>
        </w:rPr>
      </w:pPr>
      <w:hyperlink w:anchor="_Toc374114893" w:history="1">
        <w:r w:rsidR="007D771A" w:rsidRPr="00742230">
          <w:rPr>
            <w:rStyle w:val="Hyperlink"/>
            <w:noProof/>
          </w:rPr>
          <w:t>Lessons for Massachusetts &amp; Directions for Future Research</w:t>
        </w:r>
        <w:r w:rsidR="007D771A">
          <w:rPr>
            <w:noProof/>
            <w:webHidden/>
          </w:rPr>
          <w:tab/>
        </w:r>
        <w:r>
          <w:rPr>
            <w:noProof/>
            <w:webHidden/>
          </w:rPr>
          <w:fldChar w:fldCharType="begin"/>
        </w:r>
        <w:r w:rsidR="007D771A">
          <w:rPr>
            <w:noProof/>
            <w:webHidden/>
          </w:rPr>
          <w:instrText xml:space="preserve"> PAGEREF _Toc374114893 \h </w:instrText>
        </w:r>
        <w:r>
          <w:rPr>
            <w:noProof/>
            <w:webHidden/>
          </w:rPr>
        </w:r>
        <w:r>
          <w:rPr>
            <w:noProof/>
            <w:webHidden/>
          </w:rPr>
          <w:fldChar w:fldCharType="separate"/>
        </w:r>
        <w:r w:rsidR="00A26A5D">
          <w:rPr>
            <w:noProof/>
            <w:webHidden/>
          </w:rPr>
          <w:t>37</w:t>
        </w:r>
        <w:r>
          <w:rPr>
            <w:noProof/>
            <w:webHidden/>
          </w:rPr>
          <w:fldChar w:fldCharType="end"/>
        </w:r>
      </w:hyperlink>
    </w:p>
    <w:p w:rsidR="003F3636" w:rsidRDefault="003448C8">
      <w:r>
        <w:fldChar w:fldCharType="end"/>
      </w:r>
    </w:p>
    <w:p w:rsidR="003F3636" w:rsidRDefault="003F3636"/>
    <w:p w:rsidR="003F3636" w:rsidRDefault="003F3636"/>
    <w:p w:rsidR="00FD2C86" w:rsidRDefault="00FD2C86">
      <w:pPr>
        <w:sectPr w:rsidR="00FD2C86" w:rsidSect="00B616AF">
          <w:pgSz w:w="12240" w:h="15840"/>
          <w:pgMar w:top="1440" w:right="1440" w:bottom="446" w:left="1440" w:header="720" w:footer="720" w:gutter="0"/>
          <w:cols w:space="720"/>
        </w:sectPr>
      </w:pPr>
    </w:p>
    <w:p w:rsidR="0009653C" w:rsidRDefault="0009653C" w:rsidP="0040232F">
      <w:pPr>
        <w:pStyle w:val="Heading1"/>
      </w:pPr>
      <w:bookmarkStart w:id="1" w:name="_Toc374114877"/>
      <w:r>
        <w:t>Executive Summary</w:t>
      </w:r>
      <w:bookmarkEnd w:id="1"/>
    </w:p>
    <w:p w:rsidR="00753FBF" w:rsidRPr="00D25CD5" w:rsidRDefault="007A7C32" w:rsidP="0040232F">
      <w:pPr>
        <w:spacing w:after="240" w:line="240" w:lineRule="auto"/>
        <w:rPr>
          <w:rFonts w:ascii="Times New Roman" w:hAnsi="Times New Roman"/>
          <w:b/>
          <w:bCs/>
          <w:i/>
          <w:iCs/>
        </w:rPr>
      </w:pPr>
      <w:r w:rsidRPr="00D25CD5">
        <w:rPr>
          <w:rFonts w:ascii="Times New Roman" w:hAnsi="Times New Roman"/>
        </w:rPr>
        <w:t xml:space="preserve">For the past three years, about </w:t>
      </w:r>
      <w:r w:rsidR="00191607">
        <w:rPr>
          <w:rFonts w:ascii="Times New Roman" w:hAnsi="Times New Roman"/>
        </w:rPr>
        <w:t>7</w:t>
      </w:r>
      <w:r w:rsidRPr="00D25CD5">
        <w:rPr>
          <w:rFonts w:ascii="Times New Roman" w:hAnsi="Times New Roman"/>
        </w:rPr>
        <w:t xml:space="preserve"> percent of Massachusetts teachers were in their first year of teaching, amounting to </w:t>
      </w:r>
      <w:r w:rsidR="00191607">
        <w:rPr>
          <w:rFonts w:ascii="Times New Roman" w:hAnsi="Times New Roman"/>
        </w:rPr>
        <w:t>nearly</w:t>
      </w:r>
      <w:r w:rsidRPr="00D25CD5">
        <w:rPr>
          <w:rFonts w:ascii="Times New Roman" w:hAnsi="Times New Roman"/>
        </w:rPr>
        <w:t xml:space="preserve"> 5,000 new teachers each year. </w:t>
      </w:r>
      <w:r w:rsidR="00701CBB" w:rsidRPr="00D25CD5">
        <w:rPr>
          <w:rFonts w:ascii="Times New Roman" w:hAnsi="Times New Roman"/>
        </w:rPr>
        <w:t>T</w:t>
      </w:r>
      <w:r w:rsidRPr="00D25CD5">
        <w:rPr>
          <w:rFonts w:ascii="Times New Roman" w:hAnsi="Times New Roman"/>
        </w:rPr>
        <w:t xml:space="preserve">hese </w:t>
      </w:r>
      <w:r w:rsidR="007F6CD1" w:rsidRPr="00D25CD5">
        <w:rPr>
          <w:rFonts w:ascii="Times New Roman" w:hAnsi="Times New Roman"/>
        </w:rPr>
        <w:t xml:space="preserve">new </w:t>
      </w:r>
      <w:r w:rsidR="00363F9F" w:rsidRPr="00D25CD5">
        <w:rPr>
          <w:rFonts w:ascii="Times New Roman" w:hAnsi="Times New Roman"/>
        </w:rPr>
        <w:t>teachers</w:t>
      </w:r>
      <w:r w:rsidR="00701CBB" w:rsidRPr="00D25CD5">
        <w:rPr>
          <w:rFonts w:ascii="Times New Roman" w:hAnsi="Times New Roman"/>
        </w:rPr>
        <w:t xml:space="preserve"> are the focus of this year’s Status of the Massachusetts Educator Workforce</w:t>
      </w:r>
      <w:r w:rsidR="00FB65CC" w:rsidRPr="00D25CD5">
        <w:rPr>
          <w:rFonts w:ascii="Times New Roman" w:hAnsi="Times New Roman"/>
        </w:rPr>
        <w:t>: who they are, where they are prepared, how long they stay</w:t>
      </w:r>
      <w:r w:rsidR="00191607">
        <w:rPr>
          <w:rFonts w:ascii="Times New Roman" w:hAnsi="Times New Roman"/>
        </w:rPr>
        <w:t>,</w:t>
      </w:r>
      <w:r w:rsidR="00FB65CC" w:rsidRPr="00D25CD5">
        <w:rPr>
          <w:rFonts w:ascii="Times New Roman" w:hAnsi="Times New Roman"/>
        </w:rPr>
        <w:t xml:space="preserve"> and the students they teach</w:t>
      </w:r>
      <w:r w:rsidR="00363F9F" w:rsidRPr="00D25CD5">
        <w:rPr>
          <w:rFonts w:ascii="Times New Roman" w:hAnsi="Times New Roman"/>
        </w:rPr>
        <w:t xml:space="preserve">. </w:t>
      </w:r>
      <w:r w:rsidRPr="00D25CD5">
        <w:rPr>
          <w:rFonts w:ascii="Times New Roman" w:hAnsi="Times New Roman"/>
        </w:rPr>
        <w:t xml:space="preserve">As we describe in this report, first-year teachers teach a disproportionate share of </w:t>
      </w:r>
      <w:r w:rsidR="00457365" w:rsidRPr="00D25CD5">
        <w:rPr>
          <w:rFonts w:ascii="Times New Roman" w:hAnsi="Times New Roman"/>
        </w:rPr>
        <w:t xml:space="preserve">students </w:t>
      </w:r>
      <w:r w:rsidR="00457365">
        <w:rPr>
          <w:rFonts w:ascii="Times New Roman" w:hAnsi="Times New Roman"/>
        </w:rPr>
        <w:t xml:space="preserve">from </w:t>
      </w:r>
      <w:r w:rsidRPr="00D25CD5">
        <w:rPr>
          <w:rFonts w:ascii="Times New Roman" w:hAnsi="Times New Roman"/>
        </w:rPr>
        <w:t xml:space="preserve">low-income </w:t>
      </w:r>
      <w:r w:rsidR="00457365">
        <w:rPr>
          <w:rFonts w:ascii="Times New Roman" w:hAnsi="Times New Roman"/>
        </w:rPr>
        <w:t xml:space="preserve">families </w:t>
      </w:r>
      <w:r w:rsidRPr="00D25CD5">
        <w:rPr>
          <w:rFonts w:ascii="Times New Roman" w:hAnsi="Times New Roman"/>
        </w:rPr>
        <w:t xml:space="preserve">and students who </w:t>
      </w:r>
      <w:r w:rsidR="00457365">
        <w:rPr>
          <w:rFonts w:ascii="Times New Roman" w:hAnsi="Times New Roman"/>
        </w:rPr>
        <w:t>begin</w:t>
      </w:r>
      <w:r w:rsidRPr="00D25CD5">
        <w:rPr>
          <w:rFonts w:ascii="Times New Roman" w:hAnsi="Times New Roman"/>
        </w:rPr>
        <w:t xml:space="preserve"> class behind their peers academically, making this group of teachers especially important for closing proficiency gaps in Massachusetts</w:t>
      </w:r>
      <w:r w:rsidR="006C0D17">
        <w:rPr>
          <w:rFonts w:ascii="Times New Roman" w:hAnsi="Times New Roman"/>
        </w:rPr>
        <w:t xml:space="preserve"> </w:t>
      </w:r>
      <w:r w:rsidR="006C0D17" w:rsidRPr="006C0D17">
        <w:rPr>
          <w:rFonts w:ascii="Times New Roman" w:hAnsi="Times New Roman"/>
        </w:rPr>
        <w:t>and for the equitable distribution of effective teachers across the state</w:t>
      </w:r>
      <w:r w:rsidRPr="00D25CD5">
        <w:rPr>
          <w:rFonts w:ascii="Times New Roman" w:hAnsi="Times New Roman"/>
        </w:rPr>
        <w:t xml:space="preserve">. </w:t>
      </w:r>
    </w:p>
    <w:p w:rsidR="00701CBB" w:rsidRPr="00D25CD5" w:rsidRDefault="00363F9F" w:rsidP="0040232F">
      <w:pPr>
        <w:spacing w:line="240" w:lineRule="auto"/>
        <w:rPr>
          <w:rFonts w:ascii="Times New Roman" w:hAnsi="Times New Roman"/>
        </w:rPr>
      </w:pPr>
      <w:r w:rsidRPr="00D25CD5">
        <w:rPr>
          <w:rFonts w:ascii="Times New Roman" w:hAnsi="Times New Roman"/>
        </w:rPr>
        <w:t xml:space="preserve">It is our hope that </w:t>
      </w:r>
      <w:r w:rsidR="00FB65CC" w:rsidRPr="00D25CD5">
        <w:rPr>
          <w:rFonts w:ascii="Times New Roman" w:hAnsi="Times New Roman"/>
        </w:rPr>
        <w:t xml:space="preserve">the data provided in </w:t>
      </w:r>
      <w:r w:rsidRPr="00D25CD5">
        <w:rPr>
          <w:rFonts w:ascii="Times New Roman" w:hAnsi="Times New Roman"/>
        </w:rPr>
        <w:t>this report will help guide teacher recruitment and retention efforts, especially in hard</w:t>
      </w:r>
      <w:r w:rsidR="00457365">
        <w:rPr>
          <w:rFonts w:ascii="Times New Roman" w:hAnsi="Times New Roman"/>
        </w:rPr>
        <w:t>-</w:t>
      </w:r>
      <w:r w:rsidRPr="00D25CD5">
        <w:rPr>
          <w:rFonts w:ascii="Times New Roman" w:hAnsi="Times New Roman"/>
        </w:rPr>
        <w:t>to</w:t>
      </w:r>
      <w:r w:rsidR="00457365">
        <w:rPr>
          <w:rFonts w:ascii="Times New Roman" w:hAnsi="Times New Roman"/>
        </w:rPr>
        <w:t>-</w:t>
      </w:r>
      <w:r w:rsidRPr="00D25CD5">
        <w:rPr>
          <w:rFonts w:ascii="Times New Roman" w:hAnsi="Times New Roman"/>
        </w:rPr>
        <w:t>staff areas, and help to improve the support ESE</w:t>
      </w:r>
      <w:r w:rsidR="00A344D4" w:rsidRPr="00D25CD5">
        <w:rPr>
          <w:rFonts w:ascii="Times New Roman" w:hAnsi="Times New Roman"/>
        </w:rPr>
        <w:t>,</w:t>
      </w:r>
      <w:r w:rsidRPr="00D25CD5">
        <w:rPr>
          <w:rFonts w:ascii="Times New Roman" w:hAnsi="Times New Roman"/>
        </w:rPr>
        <w:t xml:space="preserve"> </w:t>
      </w:r>
      <w:r w:rsidR="0074453C" w:rsidRPr="00D25CD5">
        <w:rPr>
          <w:rFonts w:ascii="Times New Roman" w:hAnsi="Times New Roman"/>
        </w:rPr>
        <w:t xml:space="preserve">preparation programs and </w:t>
      </w:r>
      <w:r w:rsidRPr="00D25CD5">
        <w:rPr>
          <w:rFonts w:ascii="Times New Roman" w:hAnsi="Times New Roman"/>
        </w:rPr>
        <w:t>school districts</w:t>
      </w:r>
      <w:r w:rsidR="0074453C" w:rsidRPr="00D25CD5">
        <w:rPr>
          <w:rFonts w:ascii="Times New Roman" w:hAnsi="Times New Roman"/>
        </w:rPr>
        <w:t xml:space="preserve"> provide </w:t>
      </w:r>
      <w:r w:rsidRPr="00D25CD5">
        <w:rPr>
          <w:rFonts w:ascii="Times New Roman" w:hAnsi="Times New Roman"/>
        </w:rPr>
        <w:t>to first-year teachers.</w:t>
      </w:r>
      <w:r w:rsidR="00E87C71" w:rsidRPr="00D25CD5">
        <w:rPr>
          <w:rFonts w:ascii="Times New Roman" w:hAnsi="Times New Roman"/>
        </w:rPr>
        <w:t xml:space="preserve"> Below are some of the key </w:t>
      </w:r>
      <w:r w:rsidR="0040232F" w:rsidRPr="00D25CD5">
        <w:rPr>
          <w:rFonts w:ascii="Times New Roman" w:hAnsi="Times New Roman"/>
        </w:rPr>
        <w:t xml:space="preserve">findings in the report. </w:t>
      </w:r>
    </w:p>
    <w:p w:rsidR="0040232F" w:rsidRDefault="0040232F" w:rsidP="0040232F">
      <w:pPr>
        <w:spacing w:line="240" w:lineRule="auto"/>
      </w:pPr>
    </w:p>
    <w:p w:rsidR="00701CBB" w:rsidRPr="0040232F" w:rsidRDefault="00E87C71" w:rsidP="00191607">
      <w:pPr>
        <w:pStyle w:val="Heading2"/>
        <w:spacing w:before="0" w:line="276" w:lineRule="auto"/>
      </w:pPr>
      <w:r w:rsidRPr="0040232F">
        <w:t>Routes to Teaching</w:t>
      </w:r>
    </w:p>
    <w:p w:rsidR="00753FBF" w:rsidRPr="00D25CD5" w:rsidRDefault="00464F5E" w:rsidP="0040232F">
      <w:pPr>
        <w:pStyle w:val="ListParagraph"/>
        <w:numPr>
          <w:ilvl w:val="0"/>
          <w:numId w:val="15"/>
        </w:numPr>
        <w:spacing w:after="240" w:line="240" w:lineRule="auto"/>
        <w:rPr>
          <w:rFonts w:ascii="Times New Roman" w:hAnsi="Times New Roman"/>
        </w:rPr>
      </w:pPr>
      <w:r w:rsidRPr="00D25CD5">
        <w:rPr>
          <w:rFonts w:ascii="Times New Roman" w:hAnsi="Times New Roman"/>
        </w:rPr>
        <w:t xml:space="preserve">One in four </w:t>
      </w:r>
      <w:r w:rsidR="00AC5FDA" w:rsidRPr="00D25CD5">
        <w:rPr>
          <w:rFonts w:ascii="Times New Roman" w:hAnsi="Times New Roman"/>
        </w:rPr>
        <w:t>first-year</w:t>
      </w:r>
      <w:r w:rsidRPr="00D25CD5">
        <w:rPr>
          <w:rFonts w:ascii="Times New Roman" w:hAnsi="Times New Roman"/>
        </w:rPr>
        <w:t xml:space="preserve"> teachers hold</w:t>
      </w:r>
      <w:r w:rsidR="00457365">
        <w:rPr>
          <w:rFonts w:ascii="Times New Roman" w:hAnsi="Times New Roman"/>
        </w:rPr>
        <w:t>s</w:t>
      </w:r>
      <w:r w:rsidRPr="00D25CD5">
        <w:rPr>
          <w:rFonts w:ascii="Times New Roman" w:hAnsi="Times New Roman"/>
        </w:rPr>
        <w:t xml:space="preserve"> a preliminary license, </w:t>
      </w:r>
      <w:r w:rsidR="00A715EC" w:rsidRPr="00D25CD5">
        <w:rPr>
          <w:rFonts w:ascii="Times New Roman" w:hAnsi="Times New Roman"/>
        </w:rPr>
        <w:t xml:space="preserve">which allows </w:t>
      </w:r>
      <w:r w:rsidR="005F1615" w:rsidRPr="00D25CD5">
        <w:rPr>
          <w:rFonts w:ascii="Times New Roman" w:hAnsi="Times New Roman"/>
        </w:rPr>
        <w:t xml:space="preserve">them </w:t>
      </w:r>
      <w:r w:rsidR="00A715EC" w:rsidRPr="00D25CD5">
        <w:rPr>
          <w:rFonts w:ascii="Times New Roman" w:hAnsi="Times New Roman"/>
        </w:rPr>
        <w:t xml:space="preserve">to </w:t>
      </w:r>
      <w:r w:rsidR="005F1615" w:rsidRPr="00D25CD5">
        <w:rPr>
          <w:rFonts w:ascii="Times New Roman" w:hAnsi="Times New Roman"/>
        </w:rPr>
        <w:t xml:space="preserve">begin teaching with a bachelor’s degree </w:t>
      </w:r>
      <w:r w:rsidR="00457365">
        <w:rPr>
          <w:rFonts w:ascii="Times New Roman" w:hAnsi="Times New Roman"/>
        </w:rPr>
        <w:t>once they have passed</w:t>
      </w:r>
      <w:r w:rsidR="005F1615" w:rsidRPr="00D25CD5">
        <w:rPr>
          <w:rFonts w:ascii="Times New Roman" w:hAnsi="Times New Roman"/>
        </w:rPr>
        <w:t xml:space="preserve"> the </w:t>
      </w:r>
      <w:r w:rsidR="00652DCD" w:rsidRPr="00652DCD">
        <w:rPr>
          <w:rFonts w:ascii="Times New Roman" w:hAnsi="Times New Roman"/>
          <w:i/>
        </w:rPr>
        <w:t>Massachusetts Tests for Educator Licensure</w:t>
      </w:r>
      <w:r w:rsidR="0082414B" w:rsidRPr="00D25CD5">
        <w:rPr>
          <w:rFonts w:ascii="Times New Roman" w:hAnsi="Times New Roman"/>
        </w:rPr>
        <w:t xml:space="preserve"> (MTEL)</w:t>
      </w:r>
      <w:r w:rsidR="005F1615" w:rsidRPr="00D25CD5">
        <w:rPr>
          <w:rFonts w:ascii="Times New Roman" w:hAnsi="Times New Roman"/>
        </w:rPr>
        <w:t>.</w:t>
      </w:r>
    </w:p>
    <w:p w:rsidR="00753FBF" w:rsidRPr="00D25CD5" w:rsidRDefault="00973B48" w:rsidP="0040232F">
      <w:pPr>
        <w:pStyle w:val="ListParagraph"/>
        <w:numPr>
          <w:ilvl w:val="0"/>
          <w:numId w:val="15"/>
        </w:numPr>
        <w:spacing w:line="240" w:lineRule="auto"/>
        <w:rPr>
          <w:rFonts w:ascii="Times New Roman" w:hAnsi="Times New Roman"/>
        </w:rPr>
      </w:pPr>
      <w:r w:rsidRPr="00D25CD5">
        <w:rPr>
          <w:rFonts w:ascii="Times New Roman" w:hAnsi="Times New Roman"/>
        </w:rPr>
        <w:t>Teachers of color</w:t>
      </w:r>
      <w:r w:rsidR="00464F5E" w:rsidRPr="00D25CD5">
        <w:rPr>
          <w:rFonts w:ascii="Times New Roman" w:hAnsi="Times New Roman"/>
        </w:rPr>
        <w:t xml:space="preserve"> and male teachers are more likely to enter teaching with a preliminary license or through an alternative preparation route.</w:t>
      </w:r>
    </w:p>
    <w:p w:rsidR="00753FBF" w:rsidRPr="00D25CD5" w:rsidRDefault="00AC5FDA" w:rsidP="0040232F">
      <w:pPr>
        <w:pStyle w:val="ListParagraph"/>
        <w:numPr>
          <w:ilvl w:val="0"/>
          <w:numId w:val="15"/>
        </w:numPr>
        <w:spacing w:line="240" w:lineRule="auto"/>
        <w:rPr>
          <w:rFonts w:ascii="Times New Roman" w:hAnsi="Times New Roman"/>
        </w:rPr>
      </w:pPr>
      <w:r w:rsidRPr="00D25CD5">
        <w:rPr>
          <w:rFonts w:ascii="Times New Roman" w:hAnsi="Times New Roman"/>
        </w:rPr>
        <w:t xml:space="preserve">About one-third of first-year teachers have worked previously in a public school in a non-teaching role. This share is highest in low-poverty schools </w:t>
      </w:r>
      <w:r w:rsidR="00E87C71" w:rsidRPr="00D25CD5">
        <w:rPr>
          <w:rFonts w:ascii="Times New Roman" w:hAnsi="Times New Roman"/>
        </w:rPr>
        <w:t>and schools in the highest perform</w:t>
      </w:r>
      <w:r w:rsidR="009930B3">
        <w:rPr>
          <w:rFonts w:ascii="Times New Roman" w:hAnsi="Times New Roman"/>
        </w:rPr>
        <w:t>ance</w:t>
      </w:r>
      <w:r w:rsidR="00E87C71" w:rsidRPr="00D25CD5">
        <w:rPr>
          <w:rFonts w:ascii="Times New Roman" w:hAnsi="Times New Roman"/>
        </w:rPr>
        <w:t xml:space="preserve"> levels, </w:t>
      </w:r>
      <w:r w:rsidR="00A54131">
        <w:rPr>
          <w:rFonts w:ascii="Times New Roman" w:hAnsi="Times New Roman"/>
        </w:rPr>
        <w:t xml:space="preserve">i.e., </w:t>
      </w:r>
      <w:r w:rsidRPr="00D25CD5">
        <w:rPr>
          <w:rFonts w:ascii="Times New Roman" w:hAnsi="Times New Roman"/>
        </w:rPr>
        <w:t xml:space="preserve">Level 1 </w:t>
      </w:r>
      <w:r w:rsidR="004855BF" w:rsidRPr="00D25CD5">
        <w:rPr>
          <w:rFonts w:ascii="Times New Roman" w:hAnsi="Times New Roman"/>
        </w:rPr>
        <w:t xml:space="preserve">and </w:t>
      </w:r>
      <w:r w:rsidRPr="00D25CD5">
        <w:rPr>
          <w:rFonts w:ascii="Times New Roman" w:hAnsi="Times New Roman"/>
        </w:rPr>
        <w:t>Level 2</w:t>
      </w:r>
      <w:r w:rsidR="00E87C71" w:rsidRPr="00D25CD5">
        <w:rPr>
          <w:rFonts w:ascii="Times New Roman" w:hAnsi="Times New Roman"/>
        </w:rPr>
        <w:t>,</w:t>
      </w:r>
      <w:r w:rsidRPr="00D25CD5">
        <w:rPr>
          <w:rFonts w:ascii="Times New Roman" w:hAnsi="Times New Roman"/>
        </w:rPr>
        <w:t xml:space="preserve"> </w:t>
      </w:r>
      <w:r w:rsidR="00E87C71" w:rsidRPr="00D25CD5">
        <w:rPr>
          <w:rFonts w:ascii="Times New Roman" w:hAnsi="Times New Roman"/>
        </w:rPr>
        <w:t>of the state accountability system</w:t>
      </w:r>
      <w:r w:rsidRPr="00D25CD5">
        <w:rPr>
          <w:rFonts w:ascii="Times New Roman" w:hAnsi="Times New Roman"/>
        </w:rPr>
        <w:t>.</w:t>
      </w:r>
    </w:p>
    <w:p w:rsidR="00B05D86" w:rsidRPr="00D25CD5" w:rsidRDefault="009930B3" w:rsidP="0040232F">
      <w:pPr>
        <w:pStyle w:val="ListParagraph"/>
        <w:numPr>
          <w:ilvl w:val="0"/>
          <w:numId w:val="15"/>
        </w:numPr>
        <w:spacing w:line="240" w:lineRule="auto"/>
        <w:rPr>
          <w:rFonts w:ascii="Times New Roman" w:hAnsi="Times New Roman"/>
        </w:rPr>
      </w:pPr>
      <w:r>
        <w:rPr>
          <w:rFonts w:ascii="Times New Roman" w:hAnsi="Times New Roman"/>
        </w:rPr>
        <w:t>Almost s</w:t>
      </w:r>
      <w:r w:rsidR="00B05D86" w:rsidRPr="00D25CD5">
        <w:rPr>
          <w:rFonts w:ascii="Times New Roman" w:hAnsi="Times New Roman"/>
        </w:rPr>
        <w:t xml:space="preserve">ixty percent of preparation program completers were employed in a Massachusetts school within one year of program completion and the average distance to their first job was </w:t>
      </w:r>
      <w:r>
        <w:rPr>
          <w:rFonts w:ascii="Times New Roman" w:hAnsi="Times New Roman"/>
        </w:rPr>
        <w:t xml:space="preserve">only </w:t>
      </w:r>
      <w:r w:rsidR="00B05D86" w:rsidRPr="00D25CD5">
        <w:rPr>
          <w:rFonts w:ascii="Times New Roman" w:hAnsi="Times New Roman"/>
        </w:rPr>
        <w:t>21 miles.</w:t>
      </w:r>
    </w:p>
    <w:p w:rsidR="00753FBF" w:rsidRDefault="00753FBF" w:rsidP="0040232F">
      <w:pPr>
        <w:pStyle w:val="ListParagraph"/>
        <w:spacing w:line="240" w:lineRule="auto"/>
        <w:ind w:left="0"/>
        <w:rPr>
          <w:b/>
        </w:rPr>
      </w:pPr>
    </w:p>
    <w:p w:rsidR="00753FBF" w:rsidRPr="0040232F" w:rsidRDefault="00E87C71" w:rsidP="00191607">
      <w:pPr>
        <w:pStyle w:val="ListParagraph"/>
        <w:spacing w:line="276" w:lineRule="auto"/>
        <w:ind w:left="0"/>
        <w:rPr>
          <w:rFonts w:ascii="Arial" w:hAnsi="Arial" w:cs="Arial"/>
          <w:b/>
          <w:i/>
          <w:sz w:val="28"/>
          <w:szCs w:val="28"/>
        </w:rPr>
      </w:pPr>
      <w:r w:rsidRPr="0040232F">
        <w:rPr>
          <w:rFonts w:ascii="Arial" w:hAnsi="Arial" w:cs="Arial"/>
          <w:b/>
          <w:i/>
          <w:sz w:val="28"/>
          <w:szCs w:val="28"/>
        </w:rPr>
        <w:t>Students Taught by First-Year Teachers</w:t>
      </w:r>
    </w:p>
    <w:p w:rsidR="00753FBF" w:rsidRPr="00D25CD5" w:rsidRDefault="00E87C71" w:rsidP="0040232F">
      <w:pPr>
        <w:pStyle w:val="ListParagraph"/>
        <w:numPr>
          <w:ilvl w:val="0"/>
          <w:numId w:val="15"/>
        </w:numPr>
        <w:spacing w:line="240" w:lineRule="auto"/>
        <w:rPr>
          <w:rFonts w:ascii="Times New Roman" w:hAnsi="Times New Roman"/>
        </w:rPr>
      </w:pPr>
      <w:r w:rsidRPr="00D25CD5">
        <w:rPr>
          <w:rFonts w:ascii="Times New Roman" w:hAnsi="Times New Roman"/>
        </w:rPr>
        <w:t>High poverty schools and schools in Level 4</w:t>
      </w:r>
      <w:r w:rsidR="009930B3">
        <w:rPr>
          <w:rFonts w:ascii="Times New Roman" w:hAnsi="Times New Roman"/>
        </w:rPr>
        <w:t>, the lowest performance level</w:t>
      </w:r>
      <w:r w:rsidRPr="00D25CD5">
        <w:rPr>
          <w:rFonts w:ascii="Times New Roman" w:hAnsi="Times New Roman"/>
        </w:rPr>
        <w:t xml:space="preserve"> of the state accountability system</w:t>
      </w:r>
      <w:r w:rsidR="009930B3">
        <w:rPr>
          <w:rFonts w:ascii="Times New Roman" w:hAnsi="Times New Roman"/>
        </w:rPr>
        <w:t>,</w:t>
      </w:r>
      <w:r w:rsidRPr="00D25CD5">
        <w:rPr>
          <w:rFonts w:ascii="Times New Roman" w:hAnsi="Times New Roman"/>
        </w:rPr>
        <w:t xml:space="preserve"> hire a disproportionately large share of first-year teachers. In 2012-2013, new teachers comprise</w:t>
      </w:r>
      <w:r w:rsidR="00701CBB" w:rsidRPr="00D25CD5">
        <w:rPr>
          <w:rFonts w:ascii="Times New Roman" w:hAnsi="Times New Roman"/>
        </w:rPr>
        <w:t>d 12 percent</w:t>
      </w:r>
      <w:r w:rsidRPr="00D25CD5">
        <w:rPr>
          <w:rFonts w:ascii="Times New Roman" w:hAnsi="Times New Roman"/>
        </w:rPr>
        <w:t xml:space="preserve"> of </w:t>
      </w:r>
      <w:r w:rsidR="00701CBB" w:rsidRPr="00D25CD5">
        <w:rPr>
          <w:rFonts w:ascii="Times New Roman" w:hAnsi="Times New Roman"/>
        </w:rPr>
        <w:t xml:space="preserve">the </w:t>
      </w:r>
      <w:r w:rsidRPr="00D25CD5">
        <w:rPr>
          <w:rFonts w:ascii="Times New Roman" w:hAnsi="Times New Roman"/>
        </w:rPr>
        <w:t>teaching staff in high po</w:t>
      </w:r>
      <w:r w:rsidR="00701CBB" w:rsidRPr="00D25CD5">
        <w:rPr>
          <w:rFonts w:ascii="Times New Roman" w:hAnsi="Times New Roman"/>
        </w:rPr>
        <w:t xml:space="preserve">verty schools, compared to 5 percent </w:t>
      </w:r>
      <w:r w:rsidRPr="00D25CD5">
        <w:rPr>
          <w:rFonts w:ascii="Times New Roman" w:hAnsi="Times New Roman"/>
        </w:rPr>
        <w:t>in</w:t>
      </w:r>
      <w:r w:rsidR="00701CBB" w:rsidRPr="00D25CD5">
        <w:rPr>
          <w:rFonts w:ascii="Times New Roman" w:hAnsi="Times New Roman"/>
        </w:rPr>
        <w:t xml:space="preserve"> low poverty schools. Almost 16 percent</w:t>
      </w:r>
      <w:r w:rsidRPr="00D25CD5">
        <w:rPr>
          <w:rFonts w:ascii="Times New Roman" w:hAnsi="Times New Roman"/>
        </w:rPr>
        <w:t xml:space="preserve"> of instructors at Level 4 schools are new teachers, compared to less than 10</w:t>
      </w:r>
      <w:r w:rsidR="00701CBB" w:rsidRPr="00D25CD5">
        <w:rPr>
          <w:rFonts w:ascii="Times New Roman" w:hAnsi="Times New Roman"/>
        </w:rPr>
        <w:t xml:space="preserve"> percent</w:t>
      </w:r>
      <w:r w:rsidRPr="00D25CD5">
        <w:rPr>
          <w:rFonts w:ascii="Times New Roman" w:hAnsi="Times New Roman"/>
        </w:rPr>
        <w:t xml:space="preserve"> for schools in higher accountability levels.</w:t>
      </w:r>
    </w:p>
    <w:p w:rsidR="00753FBF" w:rsidRPr="00D25CD5" w:rsidRDefault="00D7481D" w:rsidP="0040232F">
      <w:pPr>
        <w:pStyle w:val="ListParagraph"/>
        <w:numPr>
          <w:ilvl w:val="0"/>
          <w:numId w:val="15"/>
        </w:numPr>
        <w:spacing w:line="240" w:lineRule="auto"/>
        <w:rPr>
          <w:rFonts w:ascii="Times New Roman" w:hAnsi="Times New Roman"/>
        </w:rPr>
      </w:pPr>
      <w:r w:rsidRPr="00D25CD5">
        <w:rPr>
          <w:rFonts w:ascii="Times New Roman" w:hAnsi="Times New Roman"/>
        </w:rPr>
        <w:t xml:space="preserve">Across all schools, students taught by first-year teachers have </w:t>
      </w:r>
      <w:r w:rsidR="00701CBB" w:rsidRPr="00D25CD5">
        <w:rPr>
          <w:rFonts w:ascii="Times New Roman" w:hAnsi="Times New Roman"/>
        </w:rPr>
        <w:t xml:space="preserve">lower </w:t>
      </w:r>
      <w:r w:rsidRPr="00D25CD5">
        <w:rPr>
          <w:rFonts w:ascii="Times New Roman" w:hAnsi="Times New Roman"/>
        </w:rPr>
        <w:t>median student growth percentiles</w:t>
      </w:r>
      <w:r w:rsidR="00701CBB" w:rsidRPr="00D25CD5">
        <w:rPr>
          <w:rFonts w:ascii="Times New Roman" w:hAnsi="Times New Roman"/>
        </w:rPr>
        <w:t xml:space="preserve">: </w:t>
      </w:r>
      <w:r w:rsidR="00E12EAE" w:rsidRPr="00D25CD5">
        <w:rPr>
          <w:rFonts w:ascii="Times New Roman" w:hAnsi="Times New Roman"/>
        </w:rPr>
        <w:t xml:space="preserve">48.5 in </w:t>
      </w:r>
      <w:r w:rsidR="00DE6F14" w:rsidRPr="00D25CD5">
        <w:rPr>
          <w:rFonts w:ascii="Times New Roman" w:hAnsi="Times New Roman"/>
        </w:rPr>
        <w:t>math</w:t>
      </w:r>
      <w:r w:rsidR="00E12EAE" w:rsidRPr="00D25CD5">
        <w:rPr>
          <w:rFonts w:ascii="Times New Roman" w:hAnsi="Times New Roman"/>
        </w:rPr>
        <w:t xml:space="preserve"> and 48.0 in</w:t>
      </w:r>
      <w:r w:rsidR="00DE6F14" w:rsidRPr="00D25CD5">
        <w:rPr>
          <w:rFonts w:ascii="Times New Roman" w:hAnsi="Times New Roman"/>
        </w:rPr>
        <w:t xml:space="preserve"> ELA</w:t>
      </w:r>
      <w:r w:rsidR="00E12EAE" w:rsidRPr="00D25CD5">
        <w:rPr>
          <w:rFonts w:ascii="Times New Roman" w:hAnsi="Times New Roman"/>
        </w:rPr>
        <w:t xml:space="preserve"> compared to 50 or higher for students </w:t>
      </w:r>
      <w:r w:rsidRPr="00D25CD5">
        <w:rPr>
          <w:rFonts w:ascii="Times New Roman" w:hAnsi="Times New Roman"/>
        </w:rPr>
        <w:t>taught by more experienced teachers. This pattern changes, though, based on schools’ poverty status, accountability level and charter school status.</w:t>
      </w:r>
    </w:p>
    <w:p w:rsidR="00753FBF" w:rsidRPr="00D25CD5" w:rsidRDefault="00DC2304" w:rsidP="0040232F">
      <w:pPr>
        <w:pStyle w:val="ListParagraph"/>
        <w:numPr>
          <w:ilvl w:val="0"/>
          <w:numId w:val="15"/>
        </w:numPr>
        <w:spacing w:line="240" w:lineRule="auto"/>
        <w:rPr>
          <w:rFonts w:ascii="Times New Roman" w:hAnsi="Times New Roman"/>
        </w:rPr>
      </w:pPr>
      <w:r w:rsidRPr="00D25CD5">
        <w:rPr>
          <w:rFonts w:ascii="Times New Roman" w:hAnsi="Times New Roman"/>
        </w:rPr>
        <w:t>First-year teachers are</w:t>
      </w:r>
      <w:r w:rsidR="00440242" w:rsidRPr="00D25CD5">
        <w:rPr>
          <w:rFonts w:ascii="Times New Roman" w:hAnsi="Times New Roman"/>
        </w:rPr>
        <w:t xml:space="preserve"> more likely to be</w:t>
      </w:r>
      <w:r w:rsidRPr="00D25CD5">
        <w:rPr>
          <w:rFonts w:ascii="Times New Roman" w:hAnsi="Times New Roman"/>
        </w:rPr>
        <w:t xml:space="preserve"> assigned students who </w:t>
      </w:r>
      <w:r w:rsidR="00A54131">
        <w:rPr>
          <w:rFonts w:ascii="Times New Roman" w:hAnsi="Times New Roman"/>
        </w:rPr>
        <w:t>are</w:t>
      </w:r>
      <w:r w:rsidRPr="00D25CD5">
        <w:rPr>
          <w:rFonts w:ascii="Times New Roman" w:hAnsi="Times New Roman"/>
        </w:rPr>
        <w:t xml:space="preserve"> academically behind, when compared with students assigned to more experienced teachers.</w:t>
      </w:r>
    </w:p>
    <w:p w:rsidR="00753FBF" w:rsidRDefault="00753FBF" w:rsidP="00753FBF">
      <w:pPr>
        <w:pStyle w:val="ListParagraph"/>
        <w:spacing w:line="276" w:lineRule="auto"/>
        <w:ind w:left="0"/>
        <w:rPr>
          <w:b/>
        </w:rPr>
      </w:pPr>
    </w:p>
    <w:p w:rsidR="00BB7F67" w:rsidRDefault="00BB7F67">
      <w:pPr>
        <w:spacing w:line="240" w:lineRule="auto"/>
        <w:rPr>
          <w:rFonts w:ascii="Arial" w:hAnsi="Arial" w:cs="Arial"/>
          <w:b/>
          <w:i/>
          <w:sz w:val="28"/>
          <w:szCs w:val="28"/>
        </w:rPr>
      </w:pPr>
      <w:r>
        <w:rPr>
          <w:rFonts w:ascii="Arial" w:hAnsi="Arial" w:cs="Arial"/>
          <w:b/>
          <w:i/>
          <w:sz w:val="28"/>
          <w:szCs w:val="28"/>
        </w:rPr>
        <w:br w:type="page"/>
      </w:r>
    </w:p>
    <w:p w:rsidR="00753FBF" w:rsidRPr="0040232F" w:rsidRDefault="00E87C71" w:rsidP="00753FBF">
      <w:pPr>
        <w:pStyle w:val="ListParagraph"/>
        <w:spacing w:line="276" w:lineRule="auto"/>
        <w:ind w:left="0"/>
        <w:rPr>
          <w:rFonts w:ascii="Arial" w:hAnsi="Arial" w:cs="Arial"/>
          <w:b/>
          <w:i/>
          <w:sz w:val="28"/>
          <w:szCs w:val="28"/>
        </w:rPr>
      </w:pPr>
      <w:r w:rsidRPr="0040232F">
        <w:rPr>
          <w:rFonts w:ascii="Arial" w:hAnsi="Arial" w:cs="Arial"/>
          <w:b/>
          <w:i/>
          <w:sz w:val="28"/>
          <w:szCs w:val="28"/>
        </w:rPr>
        <w:t>Retention Rates of First-Year Teachers</w:t>
      </w:r>
    </w:p>
    <w:p w:rsidR="00753FBF" w:rsidRPr="00D25CD5" w:rsidRDefault="00D74669" w:rsidP="0040232F">
      <w:pPr>
        <w:pStyle w:val="ListParagraph"/>
        <w:numPr>
          <w:ilvl w:val="0"/>
          <w:numId w:val="15"/>
        </w:numPr>
        <w:spacing w:line="240" w:lineRule="auto"/>
        <w:rPr>
          <w:rFonts w:ascii="Times New Roman" w:hAnsi="Times New Roman"/>
        </w:rPr>
      </w:pPr>
      <w:r w:rsidRPr="00D25CD5">
        <w:rPr>
          <w:rFonts w:ascii="Times New Roman" w:hAnsi="Times New Roman"/>
        </w:rPr>
        <w:t>First-year teacher retention rates are lowest among Level 4 schools.</w:t>
      </w:r>
      <w:r w:rsidR="00F818A3" w:rsidRPr="00D25CD5">
        <w:rPr>
          <w:rFonts w:ascii="Times New Roman" w:hAnsi="Times New Roman"/>
        </w:rPr>
        <w:t xml:space="preserve"> Only 5</w:t>
      </w:r>
      <w:r w:rsidR="00A54131">
        <w:rPr>
          <w:rFonts w:ascii="Times New Roman" w:hAnsi="Times New Roman"/>
        </w:rPr>
        <w:t>8</w:t>
      </w:r>
      <w:r w:rsidR="00B05D86" w:rsidRPr="00D25CD5">
        <w:rPr>
          <w:rFonts w:ascii="Times New Roman" w:hAnsi="Times New Roman"/>
        </w:rPr>
        <w:t xml:space="preserve"> percent </w:t>
      </w:r>
      <w:r w:rsidR="00F818A3" w:rsidRPr="00D25CD5">
        <w:rPr>
          <w:rFonts w:ascii="Times New Roman" w:hAnsi="Times New Roman"/>
        </w:rPr>
        <w:t xml:space="preserve">of first-year teachers in Level 4 schools are retained </w:t>
      </w:r>
      <w:r w:rsidR="00A54131">
        <w:rPr>
          <w:rFonts w:ascii="Times New Roman" w:hAnsi="Times New Roman"/>
        </w:rPr>
        <w:t xml:space="preserve">for </w:t>
      </w:r>
      <w:r w:rsidR="00F818A3" w:rsidRPr="00D25CD5">
        <w:rPr>
          <w:rFonts w:ascii="Times New Roman" w:hAnsi="Times New Roman"/>
        </w:rPr>
        <w:t>one year, and only 4</w:t>
      </w:r>
      <w:r w:rsidR="00A54131">
        <w:rPr>
          <w:rFonts w:ascii="Times New Roman" w:hAnsi="Times New Roman"/>
        </w:rPr>
        <w:t>2</w:t>
      </w:r>
      <w:r w:rsidR="00B05D86" w:rsidRPr="00D25CD5">
        <w:rPr>
          <w:rFonts w:ascii="Times New Roman" w:hAnsi="Times New Roman"/>
        </w:rPr>
        <w:t xml:space="preserve"> percent</w:t>
      </w:r>
      <w:r w:rsidR="00F818A3" w:rsidRPr="00D25CD5">
        <w:rPr>
          <w:rFonts w:ascii="Times New Roman" w:hAnsi="Times New Roman"/>
        </w:rPr>
        <w:t xml:space="preserve"> </w:t>
      </w:r>
      <w:r w:rsidR="00BD4AFE" w:rsidRPr="00D25CD5">
        <w:rPr>
          <w:rFonts w:ascii="Times New Roman" w:hAnsi="Times New Roman"/>
        </w:rPr>
        <w:t>remain</w:t>
      </w:r>
      <w:r w:rsidR="00F818A3" w:rsidRPr="00D25CD5">
        <w:rPr>
          <w:rFonts w:ascii="Times New Roman" w:hAnsi="Times New Roman"/>
        </w:rPr>
        <w:t xml:space="preserve"> teaching in the same school for two years.</w:t>
      </w:r>
    </w:p>
    <w:p w:rsidR="00753FBF" w:rsidRPr="00D25CD5" w:rsidRDefault="00D74669" w:rsidP="0040232F">
      <w:pPr>
        <w:pStyle w:val="ListParagraph"/>
        <w:numPr>
          <w:ilvl w:val="0"/>
          <w:numId w:val="15"/>
        </w:numPr>
        <w:spacing w:line="240" w:lineRule="auto"/>
        <w:rPr>
          <w:rFonts w:ascii="Times New Roman" w:hAnsi="Times New Roman"/>
        </w:rPr>
      </w:pPr>
      <w:r w:rsidRPr="00D25CD5">
        <w:rPr>
          <w:rFonts w:ascii="Times New Roman" w:hAnsi="Times New Roman"/>
        </w:rPr>
        <w:t xml:space="preserve">First-year teachers with low student growth scores are retained at a </w:t>
      </w:r>
      <w:r w:rsidR="004855BF" w:rsidRPr="00D25CD5">
        <w:rPr>
          <w:rFonts w:ascii="Times New Roman" w:hAnsi="Times New Roman"/>
        </w:rPr>
        <w:t xml:space="preserve">slightly </w:t>
      </w:r>
      <w:r w:rsidRPr="00D25CD5">
        <w:rPr>
          <w:rFonts w:ascii="Times New Roman" w:hAnsi="Times New Roman"/>
        </w:rPr>
        <w:t>lower rate than first-year teachers with high student growth scores. There is little difference in retention based on student growth among experienced teachers.</w:t>
      </w:r>
    </w:p>
    <w:p w:rsidR="00753FBF" w:rsidRPr="00D25CD5" w:rsidRDefault="005C0998" w:rsidP="0040232F">
      <w:pPr>
        <w:pStyle w:val="ListParagraph"/>
        <w:numPr>
          <w:ilvl w:val="0"/>
          <w:numId w:val="15"/>
        </w:numPr>
        <w:spacing w:line="240" w:lineRule="auto"/>
        <w:rPr>
          <w:rFonts w:ascii="Times New Roman" w:hAnsi="Times New Roman"/>
        </w:rPr>
      </w:pPr>
      <w:r w:rsidRPr="00D25CD5">
        <w:rPr>
          <w:rFonts w:ascii="Times New Roman" w:hAnsi="Times New Roman"/>
        </w:rPr>
        <w:t>Teachers who move schools after their first year of teaching tend to move to schools with similar, or higher, student performance. Very few teachers move to schools with the lowest student performance.</w:t>
      </w:r>
    </w:p>
    <w:p w:rsidR="0082414B" w:rsidRPr="00D25CD5" w:rsidRDefault="0082414B" w:rsidP="0040232F">
      <w:pPr>
        <w:spacing w:line="240" w:lineRule="auto"/>
        <w:rPr>
          <w:rFonts w:ascii="Times New Roman" w:hAnsi="Times New Roman"/>
        </w:rPr>
      </w:pPr>
    </w:p>
    <w:p w:rsidR="00753FBF" w:rsidRPr="00D25CD5" w:rsidRDefault="00FE66B8" w:rsidP="0040232F">
      <w:pPr>
        <w:spacing w:line="240" w:lineRule="auto"/>
        <w:rPr>
          <w:rFonts w:ascii="Times New Roman" w:hAnsi="Times New Roman"/>
        </w:rPr>
      </w:pPr>
      <w:r w:rsidRPr="00D25CD5">
        <w:rPr>
          <w:rFonts w:ascii="Times New Roman" w:hAnsi="Times New Roman"/>
        </w:rPr>
        <w:t>The Department of Elementary and Secondary Education (ESE) is committed to preparing all students to succeed in the world that awaits them after high school by:</w:t>
      </w:r>
      <w:r w:rsidR="008E1CBA" w:rsidRPr="00D25CD5">
        <w:rPr>
          <w:rFonts w:ascii="Times New Roman" w:hAnsi="Times New Roman"/>
        </w:rPr>
        <w:t xml:space="preserve"> </w:t>
      </w:r>
      <w:r w:rsidR="003056E3">
        <w:rPr>
          <w:rFonts w:ascii="Times New Roman" w:hAnsi="Times New Roman"/>
        </w:rPr>
        <w:t>s</w:t>
      </w:r>
      <w:r w:rsidRPr="00D25CD5">
        <w:rPr>
          <w:rFonts w:ascii="Times New Roman" w:hAnsi="Times New Roman"/>
        </w:rPr>
        <w:t>trengthening curriculum, instruction, and assessment</w:t>
      </w:r>
      <w:r w:rsidR="008E1CBA" w:rsidRPr="00D25CD5">
        <w:rPr>
          <w:rFonts w:ascii="Times New Roman" w:hAnsi="Times New Roman"/>
        </w:rPr>
        <w:t xml:space="preserve">; </w:t>
      </w:r>
      <w:r w:rsidR="003056E3">
        <w:rPr>
          <w:rFonts w:ascii="Times New Roman" w:hAnsi="Times New Roman"/>
        </w:rPr>
        <w:t>i</w:t>
      </w:r>
      <w:r w:rsidRPr="00D25CD5">
        <w:rPr>
          <w:rFonts w:ascii="Times New Roman" w:hAnsi="Times New Roman"/>
        </w:rPr>
        <w:t>mproving educator effectiveness</w:t>
      </w:r>
      <w:r w:rsidR="008E1CBA" w:rsidRPr="00D25CD5">
        <w:rPr>
          <w:rFonts w:ascii="Times New Roman" w:hAnsi="Times New Roman"/>
        </w:rPr>
        <w:t xml:space="preserve">; </w:t>
      </w:r>
      <w:r w:rsidR="003056E3">
        <w:rPr>
          <w:rFonts w:ascii="Times New Roman" w:hAnsi="Times New Roman"/>
        </w:rPr>
        <w:t>t</w:t>
      </w:r>
      <w:r w:rsidRPr="00D25CD5">
        <w:rPr>
          <w:rFonts w:ascii="Times New Roman" w:hAnsi="Times New Roman"/>
        </w:rPr>
        <w:t>urning around the lowest performing schools and districts</w:t>
      </w:r>
      <w:r w:rsidR="008E1CBA" w:rsidRPr="00D25CD5">
        <w:rPr>
          <w:rFonts w:ascii="Times New Roman" w:hAnsi="Times New Roman"/>
        </w:rPr>
        <w:t xml:space="preserve">; and </w:t>
      </w:r>
      <w:r w:rsidR="003056E3">
        <w:rPr>
          <w:rFonts w:ascii="Times New Roman" w:hAnsi="Times New Roman"/>
        </w:rPr>
        <w:t>u</w:t>
      </w:r>
      <w:r w:rsidRPr="00D25CD5">
        <w:rPr>
          <w:rFonts w:ascii="Times New Roman" w:hAnsi="Times New Roman"/>
        </w:rPr>
        <w:t>sing data and technology to support student performance</w:t>
      </w:r>
      <w:r w:rsidR="008E1CBA" w:rsidRPr="00D25CD5">
        <w:rPr>
          <w:rFonts w:ascii="Times New Roman" w:hAnsi="Times New Roman"/>
        </w:rPr>
        <w:t xml:space="preserve">. </w:t>
      </w:r>
    </w:p>
    <w:p w:rsidR="00753FBF" w:rsidRPr="00D25CD5" w:rsidRDefault="00753FBF" w:rsidP="0040232F">
      <w:pPr>
        <w:spacing w:line="240" w:lineRule="auto"/>
        <w:rPr>
          <w:rFonts w:ascii="Times New Roman" w:hAnsi="Times New Roman"/>
        </w:rPr>
      </w:pPr>
    </w:p>
    <w:p w:rsidR="00753FBF" w:rsidRPr="00D25CD5" w:rsidRDefault="00FE66B8" w:rsidP="0040232F">
      <w:pPr>
        <w:spacing w:line="240" w:lineRule="auto"/>
        <w:rPr>
          <w:rFonts w:ascii="Times New Roman" w:hAnsi="Times New Roman"/>
          <w:b/>
          <w:bCs/>
          <w:kern w:val="32"/>
          <w:sz w:val="32"/>
          <w:szCs w:val="32"/>
        </w:rPr>
      </w:pPr>
      <w:r w:rsidRPr="00D25CD5">
        <w:rPr>
          <w:rFonts w:ascii="Times New Roman" w:hAnsi="Times New Roman"/>
        </w:rPr>
        <w:t xml:space="preserve">This report </w:t>
      </w:r>
      <w:r w:rsidR="00CA2A1D" w:rsidRPr="00D25CD5">
        <w:rPr>
          <w:rFonts w:ascii="Times New Roman" w:hAnsi="Times New Roman"/>
        </w:rPr>
        <w:t>helps to</w:t>
      </w:r>
      <w:r w:rsidRPr="00D25CD5">
        <w:rPr>
          <w:rFonts w:ascii="Times New Roman" w:hAnsi="Times New Roman"/>
        </w:rPr>
        <w:t xml:space="preserve"> achieve the agency’s strategic goal of </w:t>
      </w:r>
      <w:r w:rsidRPr="00D25CD5">
        <w:rPr>
          <w:rFonts w:ascii="Times New Roman" w:hAnsi="Times New Roman"/>
          <w:b/>
        </w:rPr>
        <w:t>improving educator effectiveness</w:t>
      </w:r>
      <w:r w:rsidRPr="00D25CD5">
        <w:rPr>
          <w:rFonts w:ascii="Times New Roman" w:hAnsi="Times New Roman"/>
        </w:rPr>
        <w:t xml:space="preserve"> by </w:t>
      </w:r>
      <w:r w:rsidR="00ED4833">
        <w:rPr>
          <w:rFonts w:ascii="Times New Roman" w:hAnsi="Times New Roman"/>
        </w:rPr>
        <w:t>clearly describing</w:t>
      </w:r>
      <w:r w:rsidRPr="00D25CD5">
        <w:rPr>
          <w:rFonts w:ascii="Times New Roman" w:hAnsi="Times New Roman"/>
        </w:rPr>
        <w:t xml:space="preserve"> the current makeup </w:t>
      </w:r>
      <w:r w:rsidR="00B80EC4" w:rsidRPr="00D25CD5">
        <w:rPr>
          <w:rFonts w:ascii="Times New Roman" w:hAnsi="Times New Roman"/>
        </w:rPr>
        <w:t xml:space="preserve">and distribution </w:t>
      </w:r>
      <w:r w:rsidRPr="00D25CD5">
        <w:rPr>
          <w:rFonts w:ascii="Times New Roman" w:hAnsi="Times New Roman"/>
        </w:rPr>
        <w:t xml:space="preserve">of </w:t>
      </w:r>
      <w:r w:rsidR="00B80EC4" w:rsidRPr="00D25CD5">
        <w:rPr>
          <w:rFonts w:ascii="Times New Roman" w:hAnsi="Times New Roman"/>
        </w:rPr>
        <w:t xml:space="preserve">first-year teachers </w:t>
      </w:r>
      <w:r w:rsidRPr="00D25CD5">
        <w:rPr>
          <w:rFonts w:ascii="Times New Roman" w:hAnsi="Times New Roman"/>
        </w:rPr>
        <w:t xml:space="preserve">to a broad audience of educators, policymakers, researchers, families and other public education stakeholders in the Commonwealth. </w:t>
      </w:r>
      <w:r w:rsidR="008E1CBA" w:rsidRPr="00D25CD5">
        <w:rPr>
          <w:rFonts w:ascii="Times New Roman" w:hAnsi="Times New Roman"/>
        </w:rPr>
        <w:t xml:space="preserve">The data presented in this report are intended to encourage further research </w:t>
      </w:r>
      <w:r w:rsidR="004B7FD8" w:rsidRPr="00D25CD5">
        <w:rPr>
          <w:rFonts w:ascii="Times New Roman" w:hAnsi="Times New Roman"/>
        </w:rPr>
        <w:t>on</w:t>
      </w:r>
      <w:r w:rsidR="008E1CBA" w:rsidRPr="00D25CD5">
        <w:rPr>
          <w:rFonts w:ascii="Times New Roman" w:hAnsi="Times New Roman"/>
        </w:rPr>
        <w:t xml:space="preserve"> the </w:t>
      </w:r>
      <w:r w:rsidR="00FB65CC" w:rsidRPr="00D25CD5">
        <w:rPr>
          <w:rFonts w:ascii="Times New Roman" w:hAnsi="Times New Roman"/>
        </w:rPr>
        <w:t xml:space="preserve">equitable distribution of effective educators across the Commonwealth, and to spur action on the part of policymakers to address </w:t>
      </w:r>
      <w:r w:rsidR="004855BF" w:rsidRPr="00D25CD5">
        <w:rPr>
          <w:rFonts w:ascii="Times New Roman" w:hAnsi="Times New Roman"/>
        </w:rPr>
        <w:t>inequities where they currently exist</w:t>
      </w:r>
      <w:r w:rsidR="00B80EC4" w:rsidRPr="00D25CD5">
        <w:rPr>
          <w:rFonts w:ascii="Times New Roman" w:hAnsi="Times New Roman"/>
        </w:rPr>
        <w:t>.</w:t>
      </w:r>
      <w:r w:rsidR="008E1CBA" w:rsidRPr="00D25CD5">
        <w:rPr>
          <w:rFonts w:ascii="Times New Roman" w:hAnsi="Times New Roman"/>
        </w:rPr>
        <w:t xml:space="preserve"> </w:t>
      </w:r>
      <w:r w:rsidR="00544880" w:rsidRPr="00D25CD5">
        <w:rPr>
          <w:rFonts w:ascii="Times New Roman" w:hAnsi="Times New Roman"/>
        </w:rPr>
        <w:br w:type="page"/>
      </w:r>
    </w:p>
    <w:p w:rsidR="00734DF0" w:rsidRDefault="00734DF0" w:rsidP="0040232F">
      <w:pPr>
        <w:pStyle w:val="Heading1"/>
      </w:pPr>
      <w:bookmarkStart w:id="2" w:name="_Toc374114878"/>
      <w:r>
        <w:t>About the Data</w:t>
      </w:r>
      <w:bookmarkEnd w:id="2"/>
    </w:p>
    <w:p w:rsidR="00734DF0" w:rsidRPr="00BE7162" w:rsidRDefault="005C0998" w:rsidP="0040232F">
      <w:pPr>
        <w:spacing w:line="240" w:lineRule="auto"/>
        <w:rPr>
          <w:rFonts w:ascii="Times New Roman" w:hAnsi="Times New Roman"/>
        </w:rPr>
      </w:pPr>
      <w:r w:rsidRPr="00625453">
        <w:rPr>
          <w:rFonts w:ascii="Arial" w:hAnsi="Arial" w:cs="Arial"/>
          <w:b/>
          <w:sz w:val="21"/>
          <w:szCs w:val="21"/>
        </w:rPr>
        <w:t>Sources:</w:t>
      </w:r>
      <w:r>
        <w:rPr>
          <w:b/>
        </w:rPr>
        <w:t xml:space="preserve"> </w:t>
      </w:r>
      <w:r w:rsidR="00734DF0" w:rsidRPr="00BE7162">
        <w:rPr>
          <w:rFonts w:ascii="Times New Roman" w:hAnsi="Times New Roman"/>
        </w:rPr>
        <w:t xml:space="preserve">The data in this report come primarily from four sources: data reported </w:t>
      </w:r>
      <w:r w:rsidR="00ED4833" w:rsidRPr="00BE7162">
        <w:rPr>
          <w:rFonts w:ascii="Times New Roman" w:hAnsi="Times New Roman"/>
        </w:rPr>
        <w:t xml:space="preserve">to the state </w:t>
      </w:r>
      <w:r w:rsidR="00734DF0" w:rsidRPr="00BE7162">
        <w:rPr>
          <w:rFonts w:ascii="Times New Roman" w:hAnsi="Times New Roman"/>
        </w:rPr>
        <w:t xml:space="preserve">by districts through the Education Personnel Information Management System (EPIMS); data reported </w:t>
      </w:r>
      <w:r w:rsidR="00ED4833" w:rsidRPr="00BE7162">
        <w:rPr>
          <w:rFonts w:ascii="Times New Roman" w:hAnsi="Times New Roman"/>
        </w:rPr>
        <w:t xml:space="preserve">to the state </w:t>
      </w:r>
      <w:r w:rsidR="00734DF0" w:rsidRPr="00BE7162">
        <w:rPr>
          <w:rFonts w:ascii="Times New Roman" w:hAnsi="Times New Roman"/>
        </w:rPr>
        <w:t xml:space="preserve">by </w:t>
      </w:r>
      <w:r w:rsidR="0094057F" w:rsidRPr="00BE7162">
        <w:rPr>
          <w:rFonts w:ascii="Times New Roman" w:hAnsi="Times New Roman"/>
        </w:rPr>
        <w:t>educators</w:t>
      </w:r>
      <w:r w:rsidR="00734DF0" w:rsidRPr="00BE7162">
        <w:rPr>
          <w:rFonts w:ascii="Times New Roman" w:hAnsi="Times New Roman"/>
        </w:rPr>
        <w:t xml:space="preserve">, preparation programs, or districts through the Educator Licensure and Recruitment system (ELAR); </w:t>
      </w:r>
      <w:r w:rsidR="00ED4833" w:rsidRPr="00BE7162">
        <w:rPr>
          <w:rFonts w:ascii="Times New Roman" w:hAnsi="Times New Roman"/>
        </w:rPr>
        <w:t xml:space="preserve">student coursework </w:t>
      </w:r>
      <w:r w:rsidR="00734DF0" w:rsidRPr="00BE7162">
        <w:rPr>
          <w:rFonts w:ascii="Times New Roman" w:hAnsi="Times New Roman"/>
        </w:rPr>
        <w:t xml:space="preserve">data reported </w:t>
      </w:r>
      <w:r w:rsidR="00ED4833" w:rsidRPr="00BE7162">
        <w:rPr>
          <w:rFonts w:ascii="Times New Roman" w:hAnsi="Times New Roman"/>
        </w:rPr>
        <w:t xml:space="preserve">to the state </w:t>
      </w:r>
      <w:r w:rsidR="00734DF0" w:rsidRPr="00BE7162">
        <w:rPr>
          <w:rFonts w:ascii="Times New Roman" w:hAnsi="Times New Roman"/>
        </w:rPr>
        <w:t>by districts through the Student Course Schedule (SCS); and statewide teacher and student demographic data available on ESE’s website.</w:t>
      </w:r>
    </w:p>
    <w:p w:rsidR="00097C39" w:rsidRDefault="00097C39" w:rsidP="0040232F">
      <w:pPr>
        <w:spacing w:line="240" w:lineRule="auto"/>
      </w:pPr>
    </w:p>
    <w:p w:rsidR="007B382B" w:rsidRPr="00855349" w:rsidRDefault="007B382B" w:rsidP="0040232F">
      <w:pPr>
        <w:spacing w:line="240" w:lineRule="auto"/>
        <w:rPr>
          <w:b/>
        </w:rPr>
      </w:pPr>
      <w:r w:rsidRPr="00625453">
        <w:rPr>
          <w:rFonts w:ascii="Arial" w:hAnsi="Arial" w:cs="Arial"/>
          <w:b/>
          <w:sz w:val="21"/>
          <w:szCs w:val="21"/>
        </w:rPr>
        <w:t>Data Limitations:</w:t>
      </w:r>
      <w:r>
        <w:rPr>
          <w:b/>
        </w:rPr>
        <w:t xml:space="preserve"> </w:t>
      </w:r>
      <w:r w:rsidR="00D72BBD" w:rsidRPr="00BE7162">
        <w:rPr>
          <w:rFonts w:ascii="Times New Roman" w:hAnsi="Times New Roman"/>
        </w:rPr>
        <w:t>Data</w:t>
      </w:r>
      <w:r w:rsidR="00855349" w:rsidRPr="00BE7162">
        <w:rPr>
          <w:rFonts w:ascii="Times New Roman" w:hAnsi="Times New Roman"/>
        </w:rPr>
        <w:t xml:space="preserve"> </w:t>
      </w:r>
      <w:r w:rsidR="00D72BBD" w:rsidRPr="00BE7162">
        <w:rPr>
          <w:rFonts w:ascii="Times New Roman" w:hAnsi="Times New Roman"/>
        </w:rPr>
        <w:t>on teach</w:t>
      </w:r>
      <w:r w:rsidR="00855349" w:rsidRPr="00BE7162">
        <w:rPr>
          <w:rFonts w:ascii="Times New Roman" w:hAnsi="Times New Roman"/>
        </w:rPr>
        <w:t xml:space="preserve">ers’ median </w:t>
      </w:r>
      <w:r w:rsidR="00D72BBD" w:rsidRPr="00BE7162">
        <w:rPr>
          <w:rFonts w:ascii="Times New Roman" w:hAnsi="Times New Roman"/>
        </w:rPr>
        <w:t>student growth percentile</w:t>
      </w:r>
      <w:r w:rsidR="00855349" w:rsidRPr="00BE7162">
        <w:rPr>
          <w:rFonts w:ascii="Times New Roman" w:hAnsi="Times New Roman"/>
        </w:rPr>
        <w:t>s and school accountability levels</w:t>
      </w:r>
      <w:r w:rsidR="00D72BBD" w:rsidRPr="00BE7162">
        <w:rPr>
          <w:rFonts w:ascii="Times New Roman" w:hAnsi="Times New Roman"/>
        </w:rPr>
        <w:t xml:space="preserve"> are</w:t>
      </w:r>
      <w:r w:rsidR="00855349" w:rsidRPr="00BE7162">
        <w:rPr>
          <w:rFonts w:ascii="Times New Roman" w:hAnsi="Times New Roman"/>
        </w:rPr>
        <w:t xml:space="preserve"> not available for all teachers</w:t>
      </w:r>
      <w:r w:rsidR="00F84C46" w:rsidRPr="00BE7162">
        <w:rPr>
          <w:rFonts w:ascii="Times New Roman" w:hAnsi="Times New Roman"/>
        </w:rPr>
        <w:t xml:space="preserve">. </w:t>
      </w:r>
      <w:r w:rsidR="00855349" w:rsidRPr="00BE7162">
        <w:rPr>
          <w:rFonts w:ascii="Times New Roman" w:hAnsi="Times New Roman"/>
        </w:rPr>
        <w:t xml:space="preserve">Only teachers with data in these areas are reported and those with missing data are </w:t>
      </w:r>
      <w:r w:rsidR="00F84C46" w:rsidRPr="00BE7162">
        <w:rPr>
          <w:rFonts w:ascii="Times New Roman" w:hAnsi="Times New Roman"/>
        </w:rPr>
        <w:t>omitted from</w:t>
      </w:r>
      <w:r w:rsidR="00855349" w:rsidRPr="00BE7162">
        <w:rPr>
          <w:rFonts w:ascii="Times New Roman" w:hAnsi="Times New Roman"/>
        </w:rPr>
        <w:t xml:space="preserve"> the analys</w:t>
      </w:r>
      <w:r w:rsidR="00ED4833">
        <w:rPr>
          <w:rFonts w:ascii="Times New Roman" w:hAnsi="Times New Roman"/>
        </w:rPr>
        <w:t>e</w:t>
      </w:r>
      <w:r w:rsidR="00855349" w:rsidRPr="00BE7162">
        <w:rPr>
          <w:rFonts w:ascii="Times New Roman" w:hAnsi="Times New Roman"/>
        </w:rPr>
        <w:t>s.</w:t>
      </w:r>
    </w:p>
    <w:p w:rsidR="007B382B" w:rsidRDefault="007B382B" w:rsidP="0040232F">
      <w:pPr>
        <w:spacing w:line="240" w:lineRule="auto"/>
      </w:pPr>
    </w:p>
    <w:p w:rsidR="00734DF0" w:rsidRDefault="005C0998" w:rsidP="0040232F">
      <w:pPr>
        <w:spacing w:line="240" w:lineRule="auto"/>
        <w:rPr>
          <w:rFonts w:ascii="Times New Roman" w:hAnsi="Times New Roman"/>
        </w:rPr>
      </w:pPr>
      <w:r w:rsidRPr="00625453">
        <w:rPr>
          <w:rFonts w:ascii="Arial" w:hAnsi="Arial" w:cs="Arial"/>
          <w:b/>
          <w:sz w:val="21"/>
          <w:szCs w:val="21"/>
        </w:rPr>
        <w:t>Definition of Educator:</w:t>
      </w:r>
      <w:r w:rsidR="005855E8" w:rsidRPr="005855E8">
        <w:t xml:space="preserve"> </w:t>
      </w:r>
      <w:r w:rsidR="005855E8" w:rsidRPr="00BE7162">
        <w:rPr>
          <w:rFonts w:ascii="Times New Roman" w:hAnsi="Times New Roman"/>
        </w:rPr>
        <w:t xml:space="preserve">We use the term </w:t>
      </w:r>
      <w:r w:rsidR="00652DCD" w:rsidRPr="00652DCD">
        <w:rPr>
          <w:rFonts w:ascii="Times New Roman" w:hAnsi="Times New Roman"/>
          <w:i/>
        </w:rPr>
        <w:t>educator</w:t>
      </w:r>
      <w:r w:rsidR="005855E8" w:rsidRPr="00BE7162">
        <w:rPr>
          <w:rFonts w:ascii="Times New Roman" w:hAnsi="Times New Roman"/>
        </w:rPr>
        <w:t xml:space="preserve"> in this report to refer to all staff employed in Massachusetts public schools</w:t>
      </w:r>
      <w:r w:rsidR="009930B3">
        <w:rPr>
          <w:rFonts w:ascii="Times New Roman" w:hAnsi="Times New Roman"/>
        </w:rPr>
        <w:t xml:space="preserve"> and serving an educational role</w:t>
      </w:r>
      <w:r w:rsidR="005855E8" w:rsidRPr="00BE7162">
        <w:rPr>
          <w:rFonts w:ascii="Times New Roman" w:hAnsi="Times New Roman"/>
        </w:rPr>
        <w:t xml:space="preserve">. </w:t>
      </w:r>
      <w:r w:rsidR="00097C39" w:rsidRPr="00BE7162">
        <w:rPr>
          <w:rFonts w:ascii="Times New Roman" w:hAnsi="Times New Roman"/>
        </w:rPr>
        <w:t xml:space="preserve">In </w:t>
      </w:r>
      <w:r w:rsidR="006E522B">
        <w:rPr>
          <w:rFonts w:ascii="Times New Roman" w:hAnsi="Times New Roman"/>
        </w:rPr>
        <w:t>the 2013 school year</w:t>
      </w:r>
      <w:r w:rsidR="00097C39" w:rsidRPr="00BE7162">
        <w:rPr>
          <w:rFonts w:ascii="Times New Roman" w:hAnsi="Times New Roman"/>
        </w:rPr>
        <w:t xml:space="preserve">, </w:t>
      </w:r>
      <w:r w:rsidR="006E522B">
        <w:rPr>
          <w:rFonts w:ascii="Times New Roman" w:hAnsi="Times New Roman"/>
        </w:rPr>
        <w:t xml:space="preserve">there </w:t>
      </w:r>
      <w:proofErr w:type="gramStart"/>
      <w:r w:rsidR="006E522B">
        <w:rPr>
          <w:rFonts w:ascii="Times New Roman" w:hAnsi="Times New Roman"/>
        </w:rPr>
        <w:t>was</w:t>
      </w:r>
      <w:proofErr w:type="gramEnd"/>
      <w:r w:rsidR="006E522B">
        <w:rPr>
          <w:rFonts w:ascii="Times New Roman" w:hAnsi="Times New Roman"/>
        </w:rPr>
        <w:t xml:space="preserve"> a total of</w:t>
      </w:r>
      <w:r w:rsidR="00097C39" w:rsidRPr="00BE7162">
        <w:rPr>
          <w:rFonts w:ascii="Times New Roman" w:hAnsi="Times New Roman"/>
        </w:rPr>
        <w:t xml:space="preserve"> 130,225</w:t>
      </w:r>
      <w:r w:rsidR="006E522B">
        <w:rPr>
          <w:rFonts w:ascii="Times New Roman" w:hAnsi="Times New Roman"/>
        </w:rPr>
        <w:t xml:space="preserve"> </w:t>
      </w:r>
      <w:r w:rsidR="00097C39" w:rsidRPr="00BE7162">
        <w:rPr>
          <w:rFonts w:ascii="Times New Roman" w:hAnsi="Times New Roman"/>
        </w:rPr>
        <w:t xml:space="preserve">people employed in the </w:t>
      </w:r>
      <w:r w:rsidR="006E522B">
        <w:rPr>
          <w:rFonts w:ascii="Times New Roman" w:hAnsi="Times New Roman"/>
        </w:rPr>
        <w:t xml:space="preserve">Massachusetts </w:t>
      </w:r>
      <w:r w:rsidR="00097C39" w:rsidRPr="00BE7162">
        <w:rPr>
          <w:rFonts w:ascii="Times New Roman" w:hAnsi="Times New Roman"/>
        </w:rPr>
        <w:t>public education system,</w:t>
      </w:r>
      <w:r w:rsidR="00625453" w:rsidRPr="006E522B">
        <w:rPr>
          <w:rStyle w:val="FootnoteReference"/>
          <w:rFonts w:ascii="Times New Roman" w:hAnsi="Times New Roman"/>
          <w:sz w:val="22"/>
          <w:szCs w:val="22"/>
        </w:rPr>
        <w:footnoteReference w:id="1"/>
      </w:r>
      <w:r w:rsidR="00625453" w:rsidRPr="00BE7162">
        <w:rPr>
          <w:rFonts w:ascii="Times New Roman" w:hAnsi="Times New Roman"/>
        </w:rPr>
        <w:t xml:space="preserve"> </w:t>
      </w:r>
      <w:r w:rsidR="00097C39" w:rsidRPr="00BE7162">
        <w:rPr>
          <w:rFonts w:ascii="Times New Roman" w:hAnsi="Times New Roman"/>
        </w:rPr>
        <w:t>serving 954,773 students in 1,</w:t>
      </w:r>
      <w:r w:rsidR="004E416C" w:rsidRPr="00BE7162">
        <w:rPr>
          <w:rFonts w:ascii="Times New Roman" w:hAnsi="Times New Roman"/>
        </w:rPr>
        <w:t>849</w:t>
      </w:r>
      <w:r w:rsidR="00097C39" w:rsidRPr="00BE7162">
        <w:rPr>
          <w:rFonts w:ascii="Times New Roman" w:hAnsi="Times New Roman"/>
        </w:rPr>
        <w:t xml:space="preserve"> schools and 403 school districts. </w:t>
      </w:r>
      <w:r w:rsidR="00355F3D" w:rsidRPr="00355F3D">
        <w:rPr>
          <w:rFonts w:ascii="Times New Roman" w:hAnsi="Times New Roman"/>
        </w:rPr>
        <w:t>They include teachers, principals, and superintendents, and others such as paraprofessionals, school business officials, and nurses.</w:t>
      </w:r>
      <w:r w:rsidR="00355F3D" w:rsidRPr="00355F3D">
        <w:rPr>
          <w:rStyle w:val="FootnoteReference"/>
          <w:rFonts w:ascii="Times New Roman" w:hAnsi="Times New Roman"/>
          <w:sz w:val="22"/>
          <w:szCs w:val="22"/>
        </w:rPr>
        <w:t xml:space="preserve"> </w:t>
      </w:r>
      <w:r w:rsidR="00355F3D" w:rsidRPr="00652DCD">
        <w:rPr>
          <w:rStyle w:val="FootnoteReference"/>
          <w:rFonts w:ascii="Times New Roman" w:hAnsi="Times New Roman"/>
          <w:sz w:val="22"/>
          <w:szCs w:val="22"/>
        </w:rPr>
        <w:footnoteReference w:id="2"/>
      </w:r>
      <w:r w:rsidR="00355F3D" w:rsidRPr="00BE7162">
        <w:rPr>
          <w:rFonts w:ascii="Times New Roman" w:hAnsi="Times New Roman"/>
        </w:rPr>
        <w:t xml:space="preserve"> </w:t>
      </w:r>
      <w:r w:rsidR="00355F3D" w:rsidRPr="00355F3D">
        <w:rPr>
          <w:rFonts w:ascii="Times New Roman" w:hAnsi="Times New Roman"/>
        </w:rPr>
        <w:t xml:space="preserve">  Custodial, food, and transportation staff that are included in state financial reporting systems but not reported in EPIMS are not included in our definition of this term.</w:t>
      </w:r>
      <w:r w:rsidR="00097C39" w:rsidRPr="00BE7162">
        <w:rPr>
          <w:rFonts w:ascii="Times New Roman" w:hAnsi="Times New Roman"/>
        </w:rPr>
        <w:t xml:space="preserve"> </w:t>
      </w:r>
    </w:p>
    <w:p w:rsidR="00355F3D" w:rsidRDefault="00355F3D" w:rsidP="0040232F">
      <w:pPr>
        <w:spacing w:line="240" w:lineRule="auto"/>
      </w:pPr>
    </w:p>
    <w:p w:rsidR="00FE1216" w:rsidRPr="00BE7162" w:rsidRDefault="00FE1216" w:rsidP="0040232F">
      <w:pPr>
        <w:spacing w:line="240" w:lineRule="auto"/>
        <w:rPr>
          <w:rFonts w:ascii="Times New Roman" w:hAnsi="Times New Roman"/>
        </w:rPr>
      </w:pPr>
      <w:r w:rsidRPr="00625453">
        <w:rPr>
          <w:rFonts w:ascii="Arial" w:hAnsi="Arial" w:cs="Arial"/>
          <w:b/>
          <w:sz w:val="21"/>
          <w:szCs w:val="21"/>
        </w:rPr>
        <w:t>Definition of Teacher:</w:t>
      </w:r>
      <w:r>
        <w:rPr>
          <w:b/>
        </w:rPr>
        <w:t xml:space="preserve"> </w:t>
      </w:r>
      <w:r w:rsidRPr="00BE7162">
        <w:rPr>
          <w:rFonts w:ascii="Times New Roman" w:hAnsi="Times New Roman"/>
        </w:rPr>
        <w:t xml:space="preserve">The term </w:t>
      </w:r>
      <w:r w:rsidR="00652DCD" w:rsidRPr="00652DCD">
        <w:rPr>
          <w:rFonts w:ascii="Times New Roman" w:hAnsi="Times New Roman"/>
          <w:i/>
        </w:rPr>
        <w:t>teacher</w:t>
      </w:r>
      <w:r w:rsidRPr="00BE7162">
        <w:rPr>
          <w:rFonts w:ascii="Times New Roman" w:hAnsi="Times New Roman"/>
        </w:rPr>
        <w:t xml:space="preserve"> includes </w:t>
      </w:r>
      <w:r w:rsidR="006E522B" w:rsidRPr="00BE7162">
        <w:rPr>
          <w:rFonts w:ascii="Times New Roman" w:hAnsi="Times New Roman"/>
        </w:rPr>
        <w:t>those</w:t>
      </w:r>
      <w:r w:rsidR="006E522B">
        <w:rPr>
          <w:rFonts w:ascii="Times New Roman" w:hAnsi="Times New Roman"/>
        </w:rPr>
        <w:t xml:space="preserve"> who are identified</w:t>
      </w:r>
      <w:r w:rsidR="006E522B" w:rsidRPr="00BE7162">
        <w:rPr>
          <w:rFonts w:ascii="Times New Roman" w:hAnsi="Times New Roman"/>
        </w:rPr>
        <w:t xml:space="preserve"> </w:t>
      </w:r>
      <w:r w:rsidR="00D5746E" w:rsidRPr="00BE7162">
        <w:rPr>
          <w:rFonts w:ascii="Times New Roman" w:hAnsi="Times New Roman"/>
        </w:rPr>
        <w:t xml:space="preserve">in </w:t>
      </w:r>
      <w:r w:rsidR="000F0E10" w:rsidRPr="00BE7162">
        <w:rPr>
          <w:rFonts w:ascii="Times New Roman" w:hAnsi="Times New Roman"/>
        </w:rPr>
        <w:t>EPIMS</w:t>
      </w:r>
      <w:r w:rsidR="00D5746E" w:rsidRPr="00BE7162">
        <w:rPr>
          <w:rFonts w:ascii="Times New Roman" w:hAnsi="Times New Roman"/>
        </w:rPr>
        <w:t xml:space="preserve"> as </w:t>
      </w:r>
      <w:r w:rsidRPr="00BE7162">
        <w:rPr>
          <w:rFonts w:ascii="Times New Roman" w:hAnsi="Times New Roman"/>
        </w:rPr>
        <w:t xml:space="preserve">classroom teachers, co-teachers, virtual school teachers, </w:t>
      </w:r>
      <w:r w:rsidR="006E522B">
        <w:rPr>
          <w:rFonts w:ascii="Times New Roman" w:hAnsi="Times New Roman"/>
        </w:rPr>
        <w:t>or</w:t>
      </w:r>
      <w:r w:rsidR="006E522B" w:rsidRPr="00BE7162">
        <w:rPr>
          <w:rFonts w:ascii="Times New Roman" w:hAnsi="Times New Roman"/>
        </w:rPr>
        <w:t xml:space="preserve"> </w:t>
      </w:r>
      <w:r w:rsidRPr="00BE7162">
        <w:rPr>
          <w:rFonts w:ascii="Times New Roman" w:hAnsi="Times New Roman"/>
        </w:rPr>
        <w:t>support teachers who provide specialized content instruction</w:t>
      </w:r>
      <w:r w:rsidR="00D5746E" w:rsidRPr="00BE7162">
        <w:rPr>
          <w:rFonts w:ascii="Times New Roman" w:hAnsi="Times New Roman"/>
        </w:rPr>
        <w:t xml:space="preserve">, regardless of whether or not they </w:t>
      </w:r>
      <w:r w:rsidR="000F0E10" w:rsidRPr="00BE7162">
        <w:rPr>
          <w:rFonts w:ascii="Times New Roman" w:hAnsi="Times New Roman"/>
        </w:rPr>
        <w:t>are</w:t>
      </w:r>
      <w:r w:rsidR="00D5746E" w:rsidRPr="00BE7162">
        <w:rPr>
          <w:rFonts w:ascii="Times New Roman" w:hAnsi="Times New Roman"/>
        </w:rPr>
        <w:t xml:space="preserve"> lead teachers</w:t>
      </w:r>
      <w:r w:rsidRPr="00BE7162">
        <w:rPr>
          <w:rFonts w:ascii="Times New Roman" w:hAnsi="Times New Roman"/>
        </w:rPr>
        <w:t xml:space="preserve">. </w:t>
      </w:r>
      <w:r w:rsidR="006E522B">
        <w:rPr>
          <w:rFonts w:ascii="Times New Roman" w:hAnsi="Times New Roman"/>
        </w:rPr>
        <w:t>I</w:t>
      </w:r>
      <w:r w:rsidR="006E522B" w:rsidRPr="00BE7162">
        <w:rPr>
          <w:rFonts w:ascii="Times New Roman" w:hAnsi="Times New Roman"/>
        </w:rPr>
        <w:t>n 2013</w:t>
      </w:r>
      <w:r w:rsidR="006E522B">
        <w:rPr>
          <w:rFonts w:ascii="Times New Roman" w:hAnsi="Times New Roman"/>
        </w:rPr>
        <w:t>,</w:t>
      </w:r>
      <w:r w:rsidR="006E522B" w:rsidRPr="00BE7162">
        <w:rPr>
          <w:rFonts w:ascii="Times New Roman" w:hAnsi="Times New Roman"/>
        </w:rPr>
        <w:t xml:space="preserve"> </w:t>
      </w:r>
      <w:r w:rsidR="006E522B">
        <w:rPr>
          <w:rFonts w:ascii="Times New Roman" w:hAnsi="Times New Roman"/>
        </w:rPr>
        <w:t>t</w:t>
      </w:r>
      <w:r w:rsidRPr="00BE7162">
        <w:rPr>
          <w:rFonts w:ascii="Times New Roman" w:hAnsi="Times New Roman"/>
        </w:rPr>
        <w:t>he Massachusetts educator workforce included 73,995 teachers, along with 1,942 principals, and 330 superintendents.</w:t>
      </w:r>
    </w:p>
    <w:p w:rsidR="00B2162B" w:rsidRDefault="00B2162B" w:rsidP="0040232F">
      <w:pPr>
        <w:spacing w:line="240" w:lineRule="auto"/>
      </w:pPr>
    </w:p>
    <w:p w:rsidR="00734DF0" w:rsidRDefault="005C0998" w:rsidP="00625453">
      <w:pPr>
        <w:spacing w:line="240" w:lineRule="auto"/>
      </w:pPr>
      <w:r w:rsidRPr="00043147">
        <w:rPr>
          <w:rFonts w:ascii="Arial" w:hAnsi="Arial" w:cs="Arial"/>
          <w:b/>
          <w:sz w:val="21"/>
          <w:szCs w:val="21"/>
        </w:rPr>
        <w:t>Definition of First-Year Teacher</w:t>
      </w:r>
      <w:r w:rsidRPr="00625453">
        <w:rPr>
          <w:rFonts w:ascii="Arial" w:hAnsi="Arial" w:cs="Arial"/>
          <w:b/>
          <w:sz w:val="21"/>
          <w:szCs w:val="21"/>
        </w:rPr>
        <w:t>:</w:t>
      </w:r>
      <w:r>
        <w:rPr>
          <w:b/>
        </w:rPr>
        <w:t xml:space="preserve"> </w:t>
      </w:r>
      <w:r w:rsidR="00734DF0" w:rsidRPr="00BE7162">
        <w:rPr>
          <w:rFonts w:ascii="Times New Roman" w:hAnsi="Times New Roman"/>
        </w:rPr>
        <w:t>First-year</w:t>
      </w:r>
      <w:r w:rsidR="00355F3D">
        <w:rPr>
          <w:rFonts w:ascii="Times New Roman" w:hAnsi="Times New Roman"/>
        </w:rPr>
        <w:t xml:space="preserve"> or new</w:t>
      </w:r>
      <w:r w:rsidR="00734DF0" w:rsidRPr="00BE7162">
        <w:rPr>
          <w:rFonts w:ascii="Times New Roman" w:hAnsi="Times New Roman"/>
        </w:rPr>
        <w:t xml:space="preserve"> teachers are defined as those </w:t>
      </w:r>
      <w:r w:rsidR="006F034F">
        <w:rPr>
          <w:rFonts w:ascii="Times New Roman" w:hAnsi="Times New Roman"/>
        </w:rPr>
        <w:t>who</w:t>
      </w:r>
      <w:r w:rsidR="006F034F" w:rsidRPr="00BE7162">
        <w:rPr>
          <w:rFonts w:ascii="Times New Roman" w:hAnsi="Times New Roman"/>
        </w:rPr>
        <w:t xml:space="preserve"> </w:t>
      </w:r>
      <w:r w:rsidR="00734DF0" w:rsidRPr="00BE7162">
        <w:rPr>
          <w:rFonts w:ascii="Times New Roman" w:hAnsi="Times New Roman"/>
        </w:rPr>
        <w:t xml:space="preserve">appeared </w:t>
      </w:r>
      <w:r w:rsidR="003514F9" w:rsidRPr="00BE7162">
        <w:rPr>
          <w:rFonts w:ascii="Times New Roman" w:hAnsi="Times New Roman"/>
        </w:rPr>
        <w:t>in EPIMS as teacher</w:t>
      </w:r>
      <w:r w:rsidR="006C0D17">
        <w:rPr>
          <w:rFonts w:ascii="Times New Roman" w:hAnsi="Times New Roman"/>
        </w:rPr>
        <w:t>s</w:t>
      </w:r>
      <w:r w:rsidR="003514F9" w:rsidRPr="00BE7162">
        <w:rPr>
          <w:rFonts w:ascii="Times New Roman" w:hAnsi="Times New Roman"/>
        </w:rPr>
        <w:t xml:space="preserve"> </w:t>
      </w:r>
      <w:r w:rsidR="00734DF0" w:rsidRPr="00BE7162">
        <w:rPr>
          <w:rFonts w:ascii="Times New Roman" w:hAnsi="Times New Roman"/>
        </w:rPr>
        <w:t xml:space="preserve">for the first time </w:t>
      </w:r>
      <w:r w:rsidR="00C97F34" w:rsidRPr="00BE7162">
        <w:rPr>
          <w:rFonts w:ascii="Times New Roman" w:hAnsi="Times New Roman"/>
        </w:rPr>
        <w:t xml:space="preserve">since data collection began in the </w:t>
      </w:r>
      <w:r w:rsidR="006F034F">
        <w:rPr>
          <w:rFonts w:ascii="Times New Roman" w:hAnsi="Times New Roman"/>
        </w:rPr>
        <w:t>20</w:t>
      </w:r>
      <w:r w:rsidR="00C97F34" w:rsidRPr="00BE7162">
        <w:rPr>
          <w:rFonts w:ascii="Times New Roman" w:hAnsi="Times New Roman"/>
        </w:rPr>
        <w:t>08 school year</w:t>
      </w:r>
      <w:r w:rsidR="00734DF0" w:rsidRPr="00BE7162">
        <w:rPr>
          <w:rFonts w:ascii="Times New Roman" w:hAnsi="Times New Roman"/>
        </w:rPr>
        <w:t xml:space="preserve"> and</w:t>
      </w:r>
      <w:r w:rsidR="00C97F34" w:rsidRPr="00BE7162">
        <w:rPr>
          <w:rFonts w:ascii="Times New Roman" w:hAnsi="Times New Roman"/>
        </w:rPr>
        <w:t xml:space="preserve"> </w:t>
      </w:r>
      <w:r w:rsidR="003514F9" w:rsidRPr="00BE7162">
        <w:rPr>
          <w:rFonts w:ascii="Times New Roman" w:hAnsi="Times New Roman"/>
        </w:rPr>
        <w:t xml:space="preserve">who </w:t>
      </w:r>
      <w:r w:rsidR="00734DF0" w:rsidRPr="00BE7162">
        <w:rPr>
          <w:rFonts w:ascii="Times New Roman" w:hAnsi="Times New Roman"/>
        </w:rPr>
        <w:t xml:space="preserve">do not </w:t>
      </w:r>
      <w:r w:rsidR="00D31CA0">
        <w:rPr>
          <w:rFonts w:ascii="Times New Roman" w:hAnsi="Times New Roman"/>
        </w:rPr>
        <w:t>hold</w:t>
      </w:r>
      <w:r w:rsidR="00D31CA0" w:rsidRPr="00BE7162">
        <w:rPr>
          <w:rFonts w:ascii="Times New Roman" w:hAnsi="Times New Roman"/>
        </w:rPr>
        <w:t xml:space="preserve"> </w:t>
      </w:r>
      <w:r w:rsidR="00734DF0" w:rsidRPr="00BE7162">
        <w:rPr>
          <w:rFonts w:ascii="Times New Roman" w:hAnsi="Times New Roman"/>
        </w:rPr>
        <w:t>a professional license.</w:t>
      </w:r>
      <w:r w:rsidR="00355F3D" w:rsidRPr="00355F3D">
        <w:rPr>
          <w:rStyle w:val="FootnoteReference"/>
          <w:rFonts w:ascii="Times New Roman" w:hAnsi="Times New Roman"/>
        </w:rPr>
        <w:footnoteReference w:id="3"/>
      </w:r>
      <w:r w:rsidR="0040460B" w:rsidRPr="00355F3D">
        <w:rPr>
          <w:rFonts w:ascii="Times New Roman" w:hAnsi="Times New Roman"/>
        </w:rPr>
        <w:t xml:space="preserve"> </w:t>
      </w:r>
      <w:r w:rsidR="002827D9" w:rsidRPr="00BE7162">
        <w:rPr>
          <w:rFonts w:ascii="Times New Roman" w:hAnsi="Times New Roman"/>
        </w:rPr>
        <w:t xml:space="preserve">Teachers </w:t>
      </w:r>
      <w:r w:rsidR="003514F9" w:rsidRPr="00BE7162">
        <w:rPr>
          <w:rFonts w:ascii="Times New Roman" w:hAnsi="Times New Roman"/>
        </w:rPr>
        <w:t>in their second or higher year as a teacher</w:t>
      </w:r>
      <w:r w:rsidR="002827D9" w:rsidRPr="00BE7162">
        <w:rPr>
          <w:rFonts w:ascii="Times New Roman" w:hAnsi="Times New Roman"/>
        </w:rPr>
        <w:t xml:space="preserve"> or </w:t>
      </w:r>
      <w:r w:rsidR="00D31CA0">
        <w:rPr>
          <w:rFonts w:ascii="Times New Roman" w:hAnsi="Times New Roman"/>
        </w:rPr>
        <w:t>holding</w:t>
      </w:r>
      <w:r w:rsidR="002827D9" w:rsidRPr="00BE7162">
        <w:rPr>
          <w:rFonts w:ascii="Times New Roman" w:hAnsi="Times New Roman"/>
        </w:rPr>
        <w:t xml:space="preserve"> a professional license are referred to as </w:t>
      </w:r>
      <w:r w:rsidR="002827D9" w:rsidRPr="00D31CA0">
        <w:rPr>
          <w:rFonts w:ascii="Times New Roman" w:hAnsi="Times New Roman"/>
          <w:i/>
        </w:rPr>
        <w:t>experienced teachers</w:t>
      </w:r>
      <w:r w:rsidR="002827D9" w:rsidRPr="00BE7162">
        <w:rPr>
          <w:rFonts w:ascii="Times New Roman" w:hAnsi="Times New Roman"/>
        </w:rPr>
        <w:t>.</w:t>
      </w:r>
      <w:r w:rsidR="00DE4E06" w:rsidRPr="00BE7162">
        <w:rPr>
          <w:rFonts w:ascii="Times New Roman" w:hAnsi="Times New Roman"/>
        </w:rPr>
        <w:t xml:space="preserve"> </w:t>
      </w:r>
      <w:r w:rsidR="00043147">
        <w:rPr>
          <w:rFonts w:ascii="Times New Roman" w:hAnsi="Times New Roman"/>
        </w:rPr>
        <w:t>Because EPIMS only captures employment in Massachusetts public schools, s</w:t>
      </w:r>
      <w:r w:rsidR="00D31CA0">
        <w:rPr>
          <w:rFonts w:ascii="Times New Roman" w:hAnsi="Times New Roman"/>
        </w:rPr>
        <w:t>ome tea</w:t>
      </w:r>
      <w:r w:rsidR="00043147">
        <w:rPr>
          <w:rFonts w:ascii="Times New Roman" w:hAnsi="Times New Roman"/>
        </w:rPr>
        <w:t>c</w:t>
      </w:r>
      <w:r w:rsidR="00D31CA0">
        <w:rPr>
          <w:rFonts w:ascii="Times New Roman" w:hAnsi="Times New Roman"/>
        </w:rPr>
        <w:t xml:space="preserve">hers who </w:t>
      </w:r>
      <w:r w:rsidR="00DE4E06" w:rsidRPr="00BE7162">
        <w:rPr>
          <w:rFonts w:ascii="Times New Roman" w:hAnsi="Times New Roman"/>
        </w:rPr>
        <w:t xml:space="preserve">may have taught </w:t>
      </w:r>
      <w:r w:rsidR="000F0E10" w:rsidRPr="00BE7162">
        <w:rPr>
          <w:rFonts w:ascii="Times New Roman" w:hAnsi="Times New Roman"/>
        </w:rPr>
        <w:t>previously in a</w:t>
      </w:r>
      <w:r w:rsidR="00DE4E06" w:rsidRPr="00BE7162">
        <w:rPr>
          <w:rFonts w:ascii="Times New Roman" w:hAnsi="Times New Roman"/>
        </w:rPr>
        <w:t xml:space="preserve"> </w:t>
      </w:r>
      <w:r w:rsidR="00D2311A" w:rsidRPr="00BE7162">
        <w:rPr>
          <w:rFonts w:ascii="Times New Roman" w:hAnsi="Times New Roman"/>
        </w:rPr>
        <w:t xml:space="preserve">private </w:t>
      </w:r>
      <w:r w:rsidR="00DE4E06" w:rsidRPr="00BE7162">
        <w:rPr>
          <w:rFonts w:ascii="Times New Roman" w:hAnsi="Times New Roman"/>
        </w:rPr>
        <w:t>school or outside of</w:t>
      </w:r>
      <w:r w:rsidR="000F0E10" w:rsidRPr="00BE7162">
        <w:rPr>
          <w:rFonts w:ascii="Times New Roman" w:hAnsi="Times New Roman"/>
        </w:rPr>
        <w:t xml:space="preserve"> Massachusetts</w:t>
      </w:r>
      <w:r w:rsidR="00D31CA0">
        <w:rPr>
          <w:rFonts w:ascii="Times New Roman" w:hAnsi="Times New Roman"/>
        </w:rPr>
        <w:t xml:space="preserve"> would be counted as f</w:t>
      </w:r>
      <w:r w:rsidR="00D31CA0" w:rsidRPr="00BE7162">
        <w:rPr>
          <w:rFonts w:ascii="Times New Roman" w:hAnsi="Times New Roman"/>
        </w:rPr>
        <w:t>irst-year teachers</w:t>
      </w:r>
      <w:r w:rsidR="00DE4E06" w:rsidRPr="00BE7162">
        <w:rPr>
          <w:rFonts w:ascii="Times New Roman" w:hAnsi="Times New Roman"/>
        </w:rPr>
        <w:t>.</w:t>
      </w:r>
      <w:r w:rsidR="00DE4E06">
        <w:t xml:space="preserve"> </w:t>
      </w:r>
      <w:r w:rsidR="00043147">
        <w:rPr>
          <w:rFonts w:ascii="Times New Roman" w:hAnsi="Times New Roman"/>
        </w:rPr>
        <w:t>Based on this definition, a</w:t>
      </w:r>
      <w:r w:rsidR="00043147" w:rsidRPr="00043147">
        <w:rPr>
          <w:rFonts w:ascii="Times New Roman" w:hAnsi="Times New Roman"/>
        </w:rPr>
        <w:t xml:space="preserve"> teacher who left teaching in a Massachusetts public school before</w:t>
      </w:r>
      <w:r w:rsidR="00043147">
        <w:rPr>
          <w:rFonts w:ascii="Times New Roman" w:hAnsi="Times New Roman"/>
        </w:rPr>
        <w:t xml:space="preserve"> the 20</w:t>
      </w:r>
      <w:r w:rsidR="00043147" w:rsidRPr="00043147">
        <w:rPr>
          <w:rFonts w:ascii="Times New Roman" w:hAnsi="Times New Roman"/>
        </w:rPr>
        <w:t>08</w:t>
      </w:r>
      <w:r w:rsidR="00043147">
        <w:rPr>
          <w:rFonts w:ascii="Times New Roman" w:hAnsi="Times New Roman"/>
        </w:rPr>
        <w:t xml:space="preserve"> school year</w:t>
      </w:r>
      <w:r w:rsidR="00043147" w:rsidRPr="00043147">
        <w:rPr>
          <w:rFonts w:ascii="Times New Roman" w:hAnsi="Times New Roman"/>
        </w:rPr>
        <w:t xml:space="preserve"> without earning a professional license would show up as a “first-year” teacher </w:t>
      </w:r>
      <w:r w:rsidR="00043147">
        <w:rPr>
          <w:rFonts w:ascii="Times New Roman" w:hAnsi="Times New Roman"/>
        </w:rPr>
        <w:t xml:space="preserve">if </w:t>
      </w:r>
      <w:r w:rsidR="00043147" w:rsidRPr="00043147">
        <w:rPr>
          <w:rFonts w:ascii="Times New Roman" w:hAnsi="Times New Roman"/>
        </w:rPr>
        <w:t>he returned to teaching after the EPIMS data collection began.</w:t>
      </w:r>
    </w:p>
    <w:p w:rsidR="00734DF0" w:rsidRPr="00625453" w:rsidRDefault="00734DF0" w:rsidP="0040232F">
      <w:pPr>
        <w:spacing w:line="240" w:lineRule="auto"/>
        <w:rPr>
          <w:sz w:val="22"/>
          <w:szCs w:val="22"/>
        </w:rPr>
      </w:pPr>
    </w:p>
    <w:p w:rsidR="00734DF0" w:rsidRPr="00BE7162" w:rsidRDefault="005C0998" w:rsidP="0040232F">
      <w:pPr>
        <w:spacing w:line="240" w:lineRule="auto"/>
        <w:rPr>
          <w:rFonts w:ascii="Times New Roman" w:hAnsi="Times New Roman"/>
        </w:rPr>
      </w:pPr>
      <w:r w:rsidRPr="00625453">
        <w:rPr>
          <w:rFonts w:ascii="Arial" w:hAnsi="Arial" w:cs="Arial"/>
          <w:b/>
          <w:sz w:val="21"/>
          <w:szCs w:val="21"/>
        </w:rPr>
        <w:t>Shortage Subject Areas:</w:t>
      </w:r>
      <w:r>
        <w:rPr>
          <w:b/>
        </w:rPr>
        <w:t xml:space="preserve"> </w:t>
      </w:r>
      <w:r w:rsidRPr="00BE7162">
        <w:rPr>
          <w:rFonts w:ascii="Times New Roman" w:hAnsi="Times New Roman"/>
        </w:rPr>
        <w:t>Shortage</w:t>
      </w:r>
      <w:r w:rsidR="00734DF0" w:rsidRPr="00BE7162">
        <w:rPr>
          <w:rFonts w:ascii="Times New Roman" w:hAnsi="Times New Roman"/>
        </w:rPr>
        <w:t xml:space="preserve"> subject areas are those </w:t>
      </w:r>
      <w:r w:rsidR="009F062D">
        <w:rPr>
          <w:rFonts w:ascii="Times New Roman" w:hAnsi="Times New Roman"/>
        </w:rPr>
        <w:t>subject</w:t>
      </w:r>
      <w:r w:rsidR="00043147">
        <w:rPr>
          <w:rFonts w:ascii="Times New Roman" w:hAnsi="Times New Roman"/>
        </w:rPr>
        <w:t xml:space="preserve">s </w:t>
      </w:r>
      <w:r w:rsidR="009F062D">
        <w:rPr>
          <w:rFonts w:ascii="Times New Roman" w:hAnsi="Times New Roman"/>
        </w:rPr>
        <w:t xml:space="preserve">that were </w:t>
      </w:r>
      <w:r w:rsidR="00734DF0" w:rsidRPr="00BE7162">
        <w:rPr>
          <w:rFonts w:ascii="Times New Roman" w:hAnsi="Times New Roman"/>
        </w:rPr>
        <w:t xml:space="preserve">reported as shortage areas to the U.S. Department of Education under Title II of the Higher Education Act. In </w:t>
      </w:r>
      <w:r w:rsidR="009F062D">
        <w:rPr>
          <w:rFonts w:ascii="Times New Roman" w:hAnsi="Times New Roman"/>
        </w:rPr>
        <w:t>the 2013 school year</w:t>
      </w:r>
      <w:r w:rsidR="00734DF0" w:rsidRPr="00BE7162">
        <w:rPr>
          <w:rFonts w:ascii="Times New Roman" w:hAnsi="Times New Roman"/>
        </w:rPr>
        <w:t xml:space="preserve">, </w:t>
      </w:r>
      <w:r w:rsidR="009F062D">
        <w:rPr>
          <w:rFonts w:ascii="Times New Roman" w:hAnsi="Times New Roman"/>
        </w:rPr>
        <w:t>the shortage subject areas</w:t>
      </w:r>
      <w:r w:rsidR="00734DF0" w:rsidRPr="00BE7162">
        <w:rPr>
          <w:rFonts w:ascii="Times New Roman" w:hAnsi="Times New Roman"/>
        </w:rPr>
        <w:t xml:space="preserve"> were: </w:t>
      </w:r>
      <w:r w:rsidR="002B1A6B" w:rsidRPr="00BE7162">
        <w:rPr>
          <w:rFonts w:ascii="Times New Roman" w:hAnsi="Times New Roman"/>
        </w:rPr>
        <w:t>s</w:t>
      </w:r>
      <w:r w:rsidR="00734DF0" w:rsidRPr="00BE7162">
        <w:rPr>
          <w:rFonts w:ascii="Times New Roman" w:hAnsi="Times New Roman"/>
        </w:rPr>
        <w:t xml:space="preserve">pecial </w:t>
      </w:r>
      <w:r w:rsidR="00031E53" w:rsidRPr="00BE7162">
        <w:rPr>
          <w:rFonts w:ascii="Times New Roman" w:hAnsi="Times New Roman"/>
        </w:rPr>
        <w:t>e</w:t>
      </w:r>
      <w:r w:rsidR="00734DF0" w:rsidRPr="00BE7162">
        <w:rPr>
          <w:rFonts w:ascii="Times New Roman" w:hAnsi="Times New Roman"/>
        </w:rPr>
        <w:t xml:space="preserve">ducation, including moderate and severe disabilities; </w:t>
      </w:r>
      <w:r w:rsidR="002B1A6B" w:rsidRPr="00BE7162">
        <w:rPr>
          <w:rFonts w:ascii="Times New Roman" w:hAnsi="Times New Roman"/>
        </w:rPr>
        <w:t>e</w:t>
      </w:r>
      <w:r w:rsidR="00734DF0" w:rsidRPr="00BE7162">
        <w:rPr>
          <w:rFonts w:ascii="Times New Roman" w:hAnsi="Times New Roman"/>
        </w:rPr>
        <w:t xml:space="preserve">arly </w:t>
      </w:r>
      <w:r w:rsidR="002B1A6B" w:rsidRPr="00BE7162">
        <w:rPr>
          <w:rFonts w:ascii="Times New Roman" w:hAnsi="Times New Roman"/>
        </w:rPr>
        <w:t>c</w:t>
      </w:r>
      <w:r w:rsidR="00734DF0" w:rsidRPr="00BE7162">
        <w:rPr>
          <w:rFonts w:ascii="Times New Roman" w:hAnsi="Times New Roman"/>
        </w:rPr>
        <w:t xml:space="preserve">hildhood; </w:t>
      </w:r>
      <w:r w:rsidR="002B1A6B" w:rsidRPr="00BE7162">
        <w:rPr>
          <w:rFonts w:ascii="Times New Roman" w:hAnsi="Times New Roman"/>
        </w:rPr>
        <w:t>s</w:t>
      </w:r>
      <w:r w:rsidR="00734DF0" w:rsidRPr="00BE7162">
        <w:rPr>
          <w:rFonts w:ascii="Times New Roman" w:hAnsi="Times New Roman"/>
        </w:rPr>
        <w:t xml:space="preserve">peech, </w:t>
      </w:r>
      <w:r w:rsidR="002B1A6B" w:rsidRPr="00BE7162">
        <w:rPr>
          <w:rFonts w:ascii="Times New Roman" w:hAnsi="Times New Roman"/>
        </w:rPr>
        <w:t>l</w:t>
      </w:r>
      <w:r w:rsidR="00734DF0" w:rsidRPr="00BE7162">
        <w:rPr>
          <w:rFonts w:ascii="Times New Roman" w:hAnsi="Times New Roman"/>
        </w:rPr>
        <w:t xml:space="preserve">anguage, and </w:t>
      </w:r>
      <w:r w:rsidR="002B1A6B" w:rsidRPr="00BE7162">
        <w:rPr>
          <w:rFonts w:ascii="Times New Roman" w:hAnsi="Times New Roman"/>
        </w:rPr>
        <w:t>h</w:t>
      </w:r>
      <w:r w:rsidR="00734DF0" w:rsidRPr="00BE7162">
        <w:rPr>
          <w:rFonts w:ascii="Times New Roman" w:hAnsi="Times New Roman"/>
        </w:rPr>
        <w:t xml:space="preserve">earing </w:t>
      </w:r>
      <w:r w:rsidR="002B1A6B" w:rsidRPr="00BE7162">
        <w:rPr>
          <w:rFonts w:ascii="Times New Roman" w:hAnsi="Times New Roman"/>
        </w:rPr>
        <w:t>d</w:t>
      </w:r>
      <w:r w:rsidR="00734DF0" w:rsidRPr="00BE7162">
        <w:rPr>
          <w:rFonts w:ascii="Times New Roman" w:hAnsi="Times New Roman"/>
        </w:rPr>
        <w:t xml:space="preserve">isorders; </w:t>
      </w:r>
      <w:r w:rsidR="002B1A6B" w:rsidRPr="00BE7162">
        <w:rPr>
          <w:rFonts w:ascii="Times New Roman" w:hAnsi="Times New Roman"/>
        </w:rPr>
        <w:t>m</w:t>
      </w:r>
      <w:r w:rsidR="00734DF0" w:rsidRPr="00BE7162">
        <w:rPr>
          <w:rFonts w:ascii="Times New Roman" w:hAnsi="Times New Roman"/>
        </w:rPr>
        <w:t xml:space="preserve">athematics; </w:t>
      </w:r>
      <w:r w:rsidR="002B1A6B" w:rsidRPr="00BE7162">
        <w:rPr>
          <w:rFonts w:ascii="Times New Roman" w:hAnsi="Times New Roman"/>
        </w:rPr>
        <w:t>m</w:t>
      </w:r>
      <w:r w:rsidR="00734DF0" w:rsidRPr="00BE7162">
        <w:rPr>
          <w:rFonts w:ascii="Times New Roman" w:hAnsi="Times New Roman"/>
        </w:rPr>
        <w:t xml:space="preserve">odern </w:t>
      </w:r>
      <w:r w:rsidR="002B1A6B" w:rsidRPr="00BE7162">
        <w:rPr>
          <w:rFonts w:ascii="Times New Roman" w:hAnsi="Times New Roman"/>
        </w:rPr>
        <w:t>f</w:t>
      </w:r>
      <w:r w:rsidR="00734DF0" w:rsidRPr="00BE7162">
        <w:rPr>
          <w:rFonts w:ascii="Times New Roman" w:hAnsi="Times New Roman"/>
        </w:rPr>
        <w:t>oreign</w:t>
      </w:r>
      <w:r w:rsidR="009F062D">
        <w:rPr>
          <w:rFonts w:ascii="Times New Roman" w:hAnsi="Times New Roman"/>
        </w:rPr>
        <w:t xml:space="preserve"> </w:t>
      </w:r>
      <w:r w:rsidR="00734DF0" w:rsidRPr="00BE7162">
        <w:rPr>
          <w:rFonts w:ascii="Times New Roman" w:hAnsi="Times New Roman"/>
        </w:rPr>
        <w:t xml:space="preserve"> </w:t>
      </w:r>
      <w:r w:rsidR="002B1A6B" w:rsidRPr="00BE7162">
        <w:rPr>
          <w:rFonts w:ascii="Times New Roman" w:hAnsi="Times New Roman"/>
        </w:rPr>
        <w:t>l</w:t>
      </w:r>
      <w:r w:rsidR="00734DF0" w:rsidRPr="00BE7162">
        <w:rPr>
          <w:rFonts w:ascii="Times New Roman" w:hAnsi="Times New Roman"/>
        </w:rPr>
        <w:t xml:space="preserve">anguages; </w:t>
      </w:r>
      <w:r w:rsidR="002B1A6B" w:rsidRPr="00BE7162">
        <w:rPr>
          <w:rFonts w:ascii="Times New Roman" w:hAnsi="Times New Roman"/>
        </w:rPr>
        <w:t>s</w:t>
      </w:r>
      <w:r w:rsidR="00734DF0" w:rsidRPr="00BE7162">
        <w:rPr>
          <w:rFonts w:ascii="Times New Roman" w:hAnsi="Times New Roman"/>
        </w:rPr>
        <w:t xml:space="preserve">ciences, including </w:t>
      </w:r>
      <w:r w:rsidR="002B1A6B" w:rsidRPr="00BE7162">
        <w:rPr>
          <w:rFonts w:ascii="Times New Roman" w:hAnsi="Times New Roman"/>
        </w:rPr>
        <w:t>b</w:t>
      </w:r>
      <w:r w:rsidR="00734DF0" w:rsidRPr="00BE7162">
        <w:rPr>
          <w:rFonts w:ascii="Times New Roman" w:hAnsi="Times New Roman"/>
        </w:rPr>
        <w:t xml:space="preserve">iology, </w:t>
      </w:r>
      <w:r w:rsidR="002B1A6B" w:rsidRPr="00BE7162">
        <w:rPr>
          <w:rFonts w:ascii="Times New Roman" w:hAnsi="Times New Roman"/>
        </w:rPr>
        <w:t>p</w:t>
      </w:r>
      <w:r w:rsidR="00734DF0" w:rsidRPr="00BE7162">
        <w:rPr>
          <w:rFonts w:ascii="Times New Roman" w:hAnsi="Times New Roman"/>
        </w:rPr>
        <w:t xml:space="preserve">hysics, </w:t>
      </w:r>
      <w:r w:rsidR="002B1A6B" w:rsidRPr="00BE7162">
        <w:rPr>
          <w:rFonts w:ascii="Times New Roman" w:hAnsi="Times New Roman"/>
        </w:rPr>
        <w:t>c</w:t>
      </w:r>
      <w:r w:rsidR="00734DF0" w:rsidRPr="00BE7162">
        <w:rPr>
          <w:rFonts w:ascii="Times New Roman" w:hAnsi="Times New Roman"/>
        </w:rPr>
        <w:t xml:space="preserve">hemistry, </w:t>
      </w:r>
      <w:r w:rsidR="002B1A6B" w:rsidRPr="00BE7162">
        <w:rPr>
          <w:rFonts w:ascii="Times New Roman" w:hAnsi="Times New Roman"/>
        </w:rPr>
        <w:t>e</w:t>
      </w:r>
      <w:r w:rsidR="00734DF0" w:rsidRPr="00BE7162">
        <w:rPr>
          <w:rFonts w:ascii="Times New Roman" w:hAnsi="Times New Roman"/>
        </w:rPr>
        <w:t xml:space="preserve">arth </w:t>
      </w:r>
      <w:r w:rsidR="002B1A6B" w:rsidRPr="00BE7162">
        <w:rPr>
          <w:rFonts w:ascii="Times New Roman" w:hAnsi="Times New Roman"/>
        </w:rPr>
        <w:t>s</w:t>
      </w:r>
      <w:r w:rsidR="00734DF0" w:rsidRPr="00BE7162">
        <w:rPr>
          <w:rFonts w:ascii="Times New Roman" w:hAnsi="Times New Roman"/>
        </w:rPr>
        <w:t>cience</w:t>
      </w:r>
      <w:r w:rsidR="009F062D">
        <w:rPr>
          <w:rFonts w:ascii="Times New Roman" w:hAnsi="Times New Roman"/>
        </w:rPr>
        <w:t>,</w:t>
      </w:r>
      <w:r w:rsidR="00734DF0" w:rsidRPr="00BE7162">
        <w:rPr>
          <w:rFonts w:ascii="Times New Roman" w:hAnsi="Times New Roman"/>
        </w:rPr>
        <w:t xml:space="preserve"> and </w:t>
      </w:r>
      <w:r w:rsidR="002B1A6B" w:rsidRPr="00BE7162">
        <w:rPr>
          <w:rFonts w:ascii="Times New Roman" w:hAnsi="Times New Roman"/>
        </w:rPr>
        <w:t>g</w:t>
      </w:r>
      <w:r w:rsidR="00734DF0" w:rsidRPr="00BE7162">
        <w:rPr>
          <w:rFonts w:ascii="Times New Roman" w:hAnsi="Times New Roman"/>
        </w:rPr>
        <w:t xml:space="preserve">eneral </w:t>
      </w:r>
      <w:r w:rsidR="002B1A6B" w:rsidRPr="00BE7162">
        <w:rPr>
          <w:rFonts w:ascii="Times New Roman" w:hAnsi="Times New Roman"/>
        </w:rPr>
        <w:t>s</w:t>
      </w:r>
      <w:r w:rsidR="00734DF0" w:rsidRPr="00BE7162">
        <w:rPr>
          <w:rFonts w:ascii="Times New Roman" w:hAnsi="Times New Roman"/>
        </w:rPr>
        <w:t xml:space="preserve">cience; </w:t>
      </w:r>
      <w:r w:rsidR="002B1A6B" w:rsidRPr="00BE7162">
        <w:rPr>
          <w:rFonts w:ascii="Times New Roman" w:hAnsi="Times New Roman"/>
        </w:rPr>
        <w:t>E</w:t>
      </w:r>
      <w:r w:rsidR="00734DF0" w:rsidRPr="00BE7162">
        <w:rPr>
          <w:rFonts w:ascii="Times New Roman" w:hAnsi="Times New Roman"/>
        </w:rPr>
        <w:t xml:space="preserve">nglish </w:t>
      </w:r>
      <w:r w:rsidR="002B1A6B" w:rsidRPr="00BE7162">
        <w:rPr>
          <w:rFonts w:ascii="Times New Roman" w:hAnsi="Times New Roman"/>
        </w:rPr>
        <w:t>l</w:t>
      </w:r>
      <w:r w:rsidR="00734DF0" w:rsidRPr="00BE7162">
        <w:rPr>
          <w:rFonts w:ascii="Times New Roman" w:hAnsi="Times New Roman"/>
        </w:rPr>
        <w:t xml:space="preserve">anguage </w:t>
      </w:r>
      <w:r w:rsidR="002B1A6B" w:rsidRPr="00BE7162">
        <w:rPr>
          <w:rFonts w:ascii="Times New Roman" w:hAnsi="Times New Roman"/>
        </w:rPr>
        <w:t>a</w:t>
      </w:r>
      <w:r w:rsidR="00734DF0" w:rsidRPr="00BE7162">
        <w:rPr>
          <w:rFonts w:ascii="Times New Roman" w:hAnsi="Times New Roman"/>
        </w:rPr>
        <w:t xml:space="preserve">rts and </w:t>
      </w:r>
      <w:r w:rsidR="002B1A6B" w:rsidRPr="00BE7162">
        <w:rPr>
          <w:rFonts w:ascii="Times New Roman" w:hAnsi="Times New Roman"/>
        </w:rPr>
        <w:t>r</w:t>
      </w:r>
      <w:r w:rsidR="00734DF0" w:rsidRPr="00BE7162">
        <w:rPr>
          <w:rFonts w:ascii="Times New Roman" w:hAnsi="Times New Roman"/>
        </w:rPr>
        <w:t xml:space="preserve">eading; and English as a </w:t>
      </w:r>
      <w:r w:rsidR="002B1A6B" w:rsidRPr="00BE7162">
        <w:rPr>
          <w:rFonts w:ascii="Times New Roman" w:hAnsi="Times New Roman"/>
        </w:rPr>
        <w:t>s</w:t>
      </w:r>
      <w:r w:rsidR="00734DF0" w:rsidRPr="00BE7162">
        <w:rPr>
          <w:rFonts w:ascii="Times New Roman" w:hAnsi="Times New Roman"/>
        </w:rPr>
        <w:t xml:space="preserve">econd </w:t>
      </w:r>
      <w:r w:rsidR="002B1A6B" w:rsidRPr="00BE7162">
        <w:rPr>
          <w:rFonts w:ascii="Times New Roman" w:hAnsi="Times New Roman"/>
        </w:rPr>
        <w:t>l</w:t>
      </w:r>
      <w:r w:rsidR="00734DF0" w:rsidRPr="00BE7162">
        <w:rPr>
          <w:rFonts w:ascii="Times New Roman" w:hAnsi="Times New Roman"/>
        </w:rPr>
        <w:t>anguage.</w:t>
      </w:r>
      <w:r w:rsidR="009F062D">
        <w:rPr>
          <w:rFonts w:ascii="Times New Roman" w:hAnsi="Times New Roman"/>
        </w:rPr>
        <w:t xml:space="preserve"> </w:t>
      </w:r>
    </w:p>
    <w:p w:rsidR="005B5609" w:rsidRDefault="005B5609" w:rsidP="0040232F">
      <w:pPr>
        <w:spacing w:line="240" w:lineRule="auto"/>
      </w:pPr>
    </w:p>
    <w:p w:rsidR="005B5609" w:rsidRPr="00BB7F67" w:rsidRDefault="005C0998" w:rsidP="0040232F">
      <w:pPr>
        <w:spacing w:line="240" w:lineRule="auto"/>
        <w:rPr>
          <w:rFonts w:ascii="Times New Roman" w:hAnsi="Times New Roman"/>
        </w:rPr>
      </w:pPr>
      <w:r w:rsidRPr="00625453">
        <w:rPr>
          <w:rFonts w:ascii="Arial" w:hAnsi="Arial" w:cs="Arial"/>
          <w:b/>
          <w:sz w:val="21"/>
          <w:szCs w:val="21"/>
        </w:rPr>
        <w:t>Low-Poverty and High-Poverty Schools:</w:t>
      </w:r>
      <w:r>
        <w:rPr>
          <w:b/>
        </w:rPr>
        <w:t xml:space="preserve"> </w:t>
      </w:r>
      <w:r w:rsidR="00332639">
        <w:rPr>
          <w:rFonts w:ascii="Times New Roman" w:hAnsi="Times New Roman"/>
        </w:rPr>
        <w:t>S</w:t>
      </w:r>
      <w:r w:rsidR="006128B4" w:rsidRPr="00BB7F67">
        <w:rPr>
          <w:rFonts w:ascii="Times New Roman" w:hAnsi="Times New Roman"/>
        </w:rPr>
        <w:t xml:space="preserve">tudents </w:t>
      </w:r>
      <w:r w:rsidR="00332639">
        <w:rPr>
          <w:rFonts w:ascii="Times New Roman" w:hAnsi="Times New Roman"/>
        </w:rPr>
        <w:t xml:space="preserve">from low-income families </w:t>
      </w:r>
      <w:r w:rsidR="006128B4" w:rsidRPr="00BB7F67">
        <w:rPr>
          <w:rFonts w:ascii="Times New Roman" w:hAnsi="Times New Roman"/>
        </w:rPr>
        <w:t xml:space="preserve">are </w:t>
      </w:r>
      <w:r w:rsidR="00B21F56" w:rsidRPr="00BB7F67">
        <w:rPr>
          <w:rFonts w:ascii="Times New Roman" w:hAnsi="Times New Roman"/>
        </w:rPr>
        <w:t xml:space="preserve">defined as </w:t>
      </w:r>
      <w:r w:rsidR="006128B4" w:rsidRPr="00BB7F67">
        <w:rPr>
          <w:rFonts w:ascii="Times New Roman" w:hAnsi="Times New Roman"/>
        </w:rPr>
        <w:t xml:space="preserve">students </w:t>
      </w:r>
      <w:r w:rsidR="00B21F56" w:rsidRPr="00BB7F67">
        <w:rPr>
          <w:rFonts w:ascii="Times New Roman" w:hAnsi="Times New Roman"/>
        </w:rPr>
        <w:t>who</w:t>
      </w:r>
      <w:r w:rsidR="006128B4" w:rsidRPr="00BB7F67">
        <w:rPr>
          <w:rFonts w:ascii="Times New Roman" w:hAnsi="Times New Roman"/>
        </w:rPr>
        <w:t xml:space="preserve"> qualify for the federal free</w:t>
      </w:r>
      <w:r w:rsidR="00332639">
        <w:rPr>
          <w:rFonts w:ascii="Times New Roman" w:hAnsi="Times New Roman"/>
        </w:rPr>
        <w:t>-</w:t>
      </w:r>
      <w:r w:rsidR="006128B4" w:rsidRPr="00BB7F67">
        <w:rPr>
          <w:rFonts w:ascii="Times New Roman" w:hAnsi="Times New Roman"/>
        </w:rPr>
        <w:t xml:space="preserve"> or reduced</w:t>
      </w:r>
      <w:r w:rsidR="00332639">
        <w:rPr>
          <w:rFonts w:ascii="Times New Roman" w:hAnsi="Times New Roman"/>
        </w:rPr>
        <w:t>-</w:t>
      </w:r>
      <w:r w:rsidR="006128B4" w:rsidRPr="00BB7F67">
        <w:rPr>
          <w:rFonts w:ascii="Times New Roman" w:hAnsi="Times New Roman"/>
        </w:rPr>
        <w:t>price lunch program.</w:t>
      </w:r>
      <w:r w:rsidR="005B5609" w:rsidRPr="00BB7F67">
        <w:rPr>
          <w:rFonts w:ascii="Times New Roman" w:hAnsi="Times New Roman"/>
        </w:rPr>
        <w:t xml:space="preserve"> </w:t>
      </w:r>
      <w:r w:rsidR="008E3121" w:rsidRPr="00BB7F67">
        <w:rPr>
          <w:rFonts w:ascii="Times New Roman" w:hAnsi="Times New Roman"/>
        </w:rPr>
        <w:t>H</w:t>
      </w:r>
      <w:r w:rsidR="005B5609" w:rsidRPr="00BB7F67">
        <w:rPr>
          <w:rFonts w:ascii="Times New Roman" w:hAnsi="Times New Roman"/>
        </w:rPr>
        <w:t>igh</w:t>
      </w:r>
      <w:r w:rsidR="00332639">
        <w:rPr>
          <w:rFonts w:ascii="Times New Roman" w:hAnsi="Times New Roman"/>
        </w:rPr>
        <w:t>-</w:t>
      </w:r>
      <w:r w:rsidR="005B5609" w:rsidRPr="00BB7F67">
        <w:rPr>
          <w:rFonts w:ascii="Times New Roman" w:hAnsi="Times New Roman"/>
        </w:rPr>
        <w:t xml:space="preserve">poverty schools </w:t>
      </w:r>
      <w:r w:rsidR="0071129E">
        <w:rPr>
          <w:rFonts w:ascii="Times New Roman" w:hAnsi="Times New Roman"/>
        </w:rPr>
        <w:t xml:space="preserve">are those where 60 percent or more of enrolled students are </w:t>
      </w:r>
      <w:r w:rsidR="00332639">
        <w:rPr>
          <w:rFonts w:ascii="Times New Roman" w:hAnsi="Times New Roman"/>
        </w:rPr>
        <w:t>from low-income families</w:t>
      </w:r>
      <w:r w:rsidR="00332639" w:rsidRPr="00BB7F67">
        <w:rPr>
          <w:rFonts w:ascii="Times New Roman" w:hAnsi="Times New Roman"/>
        </w:rPr>
        <w:t xml:space="preserve"> </w:t>
      </w:r>
      <w:r w:rsidR="006128B4" w:rsidRPr="00BB7F67">
        <w:rPr>
          <w:rFonts w:ascii="Times New Roman" w:hAnsi="Times New Roman"/>
        </w:rPr>
        <w:t>and l</w:t>
      </w:r>
      <w:r w:rsidR="008E3121" w:rsidRPr="00BB7F67">
        <w:rPr>
          <w:rFonts w:ascii="Times New Roman" w:hAnsi="Times New Roman"/>
        </w:rPr>
        <w:t>ow</w:t>
      </w:r>
      <w:r w:rsidR="0071129E">
        <w:rPr>
          <w:rFonts w:ascii="Times New Roman" w:hAnsi="Times New Roman"/>
        </w:rPr>
        <w:t>-</w:t>
      </w:r>
      <w:r w:rsidR="005B5609" w:rsidRPr="00BB7F67">
        <w:rPr>
          <w:rFonts w:ascii="Times New Roman" w:hAnsi="Times New Roman"/>
        </w:rPr>
        <w:t>poverty</w:t>
      </w:r>
      <w:r w:rsidR="008E3121" w:rsidRPr="00BB7F67">
        <w:rPr>
          <w:rFonts w:ascii="Times New Roman" w:hAnsi="Times New Roman"/>
        </w:rPr>
        <w:t xml:space="preserve"> schools </w:t>
      </w:r>
      <w:r w:rsidR="0071129E">
        <w:rPr>
          <w:rFonts w:ascii="Times New Roman" w:hAnsi="Times New Roman"/>
        </w:rPr>
        <w:t>are those where 10 percent or fewer of enrolled students are</w:t>
      </w:r>
      <w:r w:rsidR="00332639">
        <w:rPr>
          <w:rFonts w:ascii="Times New Roman" w:hAnsi="Times New Roman"/>
        </w:rPr>
        <w:t xml:space="preserve"> from low-income families</w:t>
      </w:r>
      <w:r w:rsidR="005B5609" w:rsidRPr="00BB7F67">
        <w:rPr>
          <w:rFonts w:ascii="Times New Roman" w:hAnsi="Times New Roman"/>
        </w:rPr>
        <w:t>.</w:t>
      </w:r>
      <w:r w:rsidR="00A642F0" w:rsidRPr="00BB7F67">
        <w:rPr>
          <w:rFonts w:ascii="Times New Roman" w:hAnsi="Times New Roman"/>
        </w:rPr>
        <w:t xml:space="preserve"> The 60 percent cut-off corresponds </w:t>
      </w:r>
      <w:r w:rsidR="00B21F56" w:rsidRPr="00BB7F67">
        <w:rPr>
          <w:rFonts w:ascii="Times New Roman" w:hAnsi="Times New Roman"/>
        </w:rPr>
        <w:t>with</w:t>
      </w:r>
      <w:r w:rsidR="00A642F0" w:rsidRPr="00BB7F67">
        <w:rPr>
          <w:rFonts w:ascii="Times New Roman" w:hAnsi="Times New Roman"/>
        </w:rPr>
        <w:t xml:space="preserve"> the quartile of schools </w:t>
      </w:r>
      <w:r w:rsidR="00A74952">
        <w:rPr>
          <w:rFonts w:ascii="Times New Roman" w:hAnsi="Times New Roman"/>
        </w:rPr>
        <w:t>with the highest enrollment of students from low-</w:t>
      </w:r>
      <w:r w:rsidR="002D550E">
        <w:rPr>
          <w:rFonts w:ascii="Times New Roman" w:hAnsi="Times New Roman"/>
        </w:rPr>
        <w:t>income</w:t>
      </w:r>
      <w:r w:rsidR="00A74952">
        <w:rPr>
          <w:rFonts w:ascii="Times New Roman" w:hAnsi="Times New Roman"/>
        </w:rPr>
        <w:t xml:space="preserve"> families</w:t>
      </w:r>
      <w:r w:rsidR="00A642F0" w:rsidRPr="00BB7F67">
        <w:rPr>
          <w:rFonts w:ascii="Times New Roman" w:hAnsi="Times New Roman"/>
        </w:rPr>
        <w:t xml:space="preserve"> and the 10 percent cut-off corresponds </w:t>
      </w:r>
      <w:r w:rsidR="00B21F56" w:rsidRPr="00BB7F67">
        <w:rPr>
          <w:rFonts w:ascii="Times New Roman" w:hAnsi="Times New Roman"/>
        </w:rPr>
        <w:t>with</w:t>
      </w:r>
      <w:r w:rsidR="00A642F0" w:rsidRPr="00BB7F67">
        <w:rPr>
          <w:rFonts w:ascii="Times New Roman" w:hAnsi="Times New Roman"/>
        </w:rPr>
        <w:t xml:space="preserve"> the quartile of schools </w:t>
      </w:r>
      <w:r w:rsidR="00A74952">
        <w:rPr>
          <w:rFonts w:ascii="Times New Roman" w:hAnsi="Times New Roman"/>
        </w:rPr>
        <w:t xml:space="preserve">with the lowest </w:t>
      </w:r>
      <w:r w:rsidR="00A642F0" w:rsidRPr="00BB7F67">
        <w:rPr>
          <w:rFonts w:ascii="Times New Roman" w:hAnsi="Times New Roman"/>
        </w:rPr>
        <w:t>enrollment</w:t>
      </w:r>
      <w:r w:rsidR="00A74952">
        <w:rPr>
          <w:rFonts w:ascii="Times New Roman" w:hAnsi="Times New Roman"/>
        </w:rPr>
        <w:t xml:space="preserve"> of students from low-income families</w:t>
      </w:r>
      <w:r w:rsidR="00A642F0" w:rsidRPr="00BB7F67">
        <w:rPr>
          <w:rFonts w:ascii="Times New Roman" w:hAnsi="Times New Roman"/>
        </w:rPr>
        <w:t xml:space="preserve"> across the most recent three school years. </w:t>
      </w:r>
    </w:p>
    <w:p w:rsidR="00A364F5" w:rsidRDefault="00A364F5" w:rsidP="0040232F">
      <w:pPr>
        <w:spacing w:line="240" w:lineRule="auto"/>
      </w:pPr>
    </w:p>
    <w:p w:rsidR="0074453C" w:rsidRPr="00BE7162" w:rsidRDefault="0074453C" w:rsidP="0040232F">
      <w:pPr>
        <w:spacing w:line="240" w:lineRule="auto"/>
        <w:rPr>
          <w:rFonts w:ascii="Times New Roman" w:hAnsi="Times New Roman"/>
        </w:rPr>
      </w:pPr>
      <w:r w:rsidRPr="00625453">
        <w:rPr>
          <w:rFonts w:ascii="Arial" w:hAnsi="Arial" w:cs="Arial"/>
          <w:b/>
          <w:sz w:val="21"/>
          <w:szCs w:val="21"/>
        </w:rPr>
        <w:t>Charter Schools:</w:t>
      </w:r>
      <w:r>
        <w:t xml:space="preserve"> </w:t>
      </w:r>
      <w:r w:rsidRPr="00BE7162">
        <w:rPr>
          <w:rFonts w:ascii="Times New Roman" w:hAnsi="Times New Roman"/>
        </w:rPr>
        <w:t>Charter schools are independent public schools that operate under five</w:t>
      </w:r>
      <w:r w:rsidR="002D550E">
        <w:rPr>
          <w:rFonts w:ascii="Times New Roman" w:hAnsi="Times New Roman"/>
        </w:rPr>
        <w:t>-</w:t>
      </w:r>
      <w:r w:rsidRPr="00BE7162">
        <w:rPr>
          <w:rFonts w:ascii="Times New Roman" w:hAnsi="Times New Roman"/>
        </w:rPr>
        <w:t>year charters granted by the Commonwealth's Board of Education. Charter schools are usually proposed by teachers, school leaders, parents, non-profit organizations, or other members of the community.</w:t>
      </w:r>
      <w:r w:rsidR="007F6D03" w:rsidRPr="00BE7162">
        <w:rPr>
          <w:rFonts w:ascii="Times New Roman" w:hAnsi="Times New Roman"/>
        </w:rPr>
        <w:t xml:space="preserve"> There are </w:t>
      </w:r>
      <w:r w:rsidR="0089492E" w:rsidRPr="00BE7162">
        <w:rPr>
          <w:rFonts w:ascii="Times New Roman" w:hAnsi="Times New Roman"/>
        </w:rPr>
        <w:t>77 charter schools</w:t>
      </w:r>
      <w:r w:rsidR="002D550E">
        <w:rPr>
          <w:rFonts w:ascii="Times New Roman" w:hAnsi="Times New Roman"/>
        </w:rPr>
        <w:t>—</w:t>
      </w:r>
      <w:r w:rsidR="0089492E" w:rsidRPr="00BE7162">
        <w:rPr>
          <w:rFonts w:ascii="Times New Roman" w:hAnsi="Times New Roman"/>
        </w:rPr>
        <w:t>including Commonwealth and Horace Mann charter schools</w:t>
      </w:r>
      <w:r w:rsidR="002D550E">
        <w:rPr>
          <w:rFonts w:ascii="Times New Roman" w:hAnsi="Times New Roman"/>
        </w:rPr>
        <w:t>—</w:t>
      </w:r>
      <w:r w:rsidR="007F6D03" w:rsidRPr="00BE7162">
        <w:rPr>
          <w:rFonts w:ascii="Times New Roman" w:hAnsi="Times New Roman"/>
        </w:rPr>
        <w:t>in Massachusetts.</w:t>
      </w:r>
    </w:p>
    <w:p w:rsidR="0074453C" w:rsidRDefault="0074453C" w:rsidP="0040232F">
      <w:pPr>
        <w:spacing w:line="240" w:lineRule="auto"/>
      </w:pPr>
    </w:p>
    <w:p w:rsidR="00A364F5" w:rsidRPr="00BE7162" w:rsidRDefault="005C0998" w:rsidP="0040232F">
      <w:pPr>
        <w:spacing w:line="240" w:lineRule="auto"/>
        <w:rPr>
          <w:rFonts w:ascii="Times New Roman" w:hAnsi="Times New Roman"/>
        </w:rPr>
      </w:pPr>
      <w:r w:rsidRPr="00625453">
        <w:rPr>
          <w:rFonts w:ascii="Arial" w:hAnsi="Arial" w:cs="Arial"/>
          <w:b/>
          <w:sz w:val="21"/>
          <w:szCs w:val="21"/>
        </w:rPr>
        <w:t>Determining License Type:</w:t>
      </w:r>
      <w:r>
        <w:rPr>
          <w:b/>
        </w:rPr>
        <w:t xml:space="preserve"> </w:t>
      </w:r>
      <w:r w:rsidR="00A364F5" w:rsidRPr="00BE7162">
        <w:rPr>
          <w:rFonts w:ascii="Times New Roman" w:hAnsi="Times New Roman"/>
        </w:rPr>
        <w:t xml:space="preserve">Teachers may hold multiple types of licenses at </w:t>
      </w:r>
      <w:proofErr w:type="gramStart"/>
      <w:r w:rsidR="0037284B">
        <w:rPr>
          <w:rFonts w:ascii="Times New Roman" w:hAnsi="Times New Roman"/>
        </w:rPr>
        <w:t>once</w:t>
      </w:r>
      <w:r w:rsidR="00A364F5" w:rsidRPr="00BE7162">
        <w:rPr>
          <w:rFonts w:ascii="Times New Roman" w:hAnsi="Times New Roman"/>
        </w:rPr>
        <w:t>,</w:t>
      </w:r>
      <w:proofErr w:type="gramEnd"/>
      <w:r w:rsidR="00A364F5" w:rsidRPr="00BE7162">
        <w:rPr>
          <w:rFonts w:ascii="Times New Roman" w:hAnsi="Times New Roman"/>
        </w:rPr>
        <w:t xml:space="preserve"> therefore a teacher’s license type is determined by the highest license earned in the typical progression of licenses</w:t>
      </w:r>
      <w:r w:rsidR="0037284B">
        <w:rPr>
          <w:rFonts w:ascii="Times New Roman" w:hAnsi="Times New Roman"/>
        </w:rPr>
        <w:t xml:space="preserve">: </w:t>
      </w:r>
      <w:r w:rsidR="0037284B" w:rsidRPr="00BE7162">
        <w:rPr>
          <w:rFonts w:ascii="Times New Roman" w:hAnsi="Times New Roman"/>
        </w:rPr>
        <w:t>temporary</w:t>
      </w:r>
      <w:r w:rsidR="0037284B">
        <w:rPr>
          <w:rFonts w:ascii="Times New Roman" w:hAnsi="Times New Roman"/>
        </w:rPr>
        <w:t>,</w:t>
      </w:r>
      <w:r w:rsidR="00A364F5" w:rsidRPr="00BE7162">
        <w:rPr>
          <w:rFonts w:ascii="Times New Roman" w:hAnsi="Times New Roman"/>
        </w:rPr>
        <w:t xml:space="preserve"> preliminary</w:t>
      </w:r>
      <w:r w:rsidR="0037284B">
        <w:rPr>
          <w:rFonts w:ascii="Times New Roman" w:hAnsi="Times New Roman"/>
        </w:rPr>
        <w:t>,</w:t>
      </w:r>
      <w:r w:rsidR="00A364F5" w:rsidRPr="00BE7162">
        <w:rPr>
          <w:rFonts w:ascii="Times New Roman" w:hAnsi="Times New Roman"/>
        </w:rPr>
        <w:t xml:space="preserve"> initial</w:t>
      </w:r>
      <w:r w:rsidR="006F7B08">
        <w:rPr>
          <w:rFonts w:ascii="Times New Roman" w:hAnsi="Times New Roman"/>
        </w:rPr>
        <w:t>,</w:t>
      </w:r>
      <w:r w:rsidR="00A364F5" w:rsidRPr="00BE7162">
        <w:rPr>
          <w:rFonts w:ascii="Times New Roman" w:hAnsi="Times New Roman"/>
        </w:rPr>
        <w:t xml:space="preserve"> and professional.</w:t>
      </w:r>
    </w:p>
    <w:p w:rsidR="005A1771" w:rsidRDefault="005A1771">
      <w:pPr>
        <w:spacing w:line="240" w:lineRule="auto"/>
        <w:rPr>
          <w:rFonts w:ascii="Arial" w:hAnsi="Arial" w:cs="Arial"/>
          <w:b/>
          <w:bCs/>
          <w:kern w:val="32"/>
          <w:sz w:val="32"/>
          <w:szCs w:val="32"/>
        </w:rPr>
      </w:pPr>
      <w:r>
        <w:br w:type="page"/>
      </w:r>
    </w:p>
    <w:p w:rsidR="00D65C77" w:rsidRDefault="00823F65" w:rsidP="0040232F">
      <w:pPr>
        <w:pStyle w:val="Heading1"/>
      </w:pPr>
      <w:bookmarkStart w:id="3" w:name="_Toc374114879"/>
      <w:r>
        <w:t>I</w:t>
      </w:r>
      <w:r w:rsidR="0040232F">
        <w:t>.</w:t>
      </w:r>
      <w:r>
        <w:t xml:space="preserve"> </w:t>
      </w:r>
      <w:r w:rsidR="0040232F">
        <w:t xml:space="preserve"> </w:t>
      </w:r>
      <w:r w:rsidR="00422974">
        <w:t xml:space="preserve">First-Year Teachers and </w:t>
      </w:r>
      <w:r w:rsidR="005A1771">
        <w:t>t</w:t>
      </w:r>
      <w:r w:rsidR="008C2637">
        <w:t>he Massachusetts Educator Workforce</w:t>
      </w:r>
      <w:r w:rsidR="00D65C77">
        <w:t xml:space="preserve"> in 2012-13</w:t>
      </w:r>
      <w:bookmarkEnd w:id="3"/>
    </w:p>
    <w:p w:rsidR="00B21F56" w:rsidRPr="0040232F" w:rsidRDefault="007A7C32" w:rsidP="0040232F">
      <w:pPr>
        <w:spacing w:line="240" w:lineRule="auto"/>
        <w:rPr>
          <w:rFonts w:ascii="Times New Roman" w:hAnsi="Times New Roman"/>
        </w:rPr>
      </w:pPr>
      <w:r w:rsidRPr="006A19DB">
        <w:rPr>
          <w:rFonts w:ascii="Times New Roman" w:hAnsi="Times New Roman"/>
        </w:rPr>
        <w:t>In this section, we present basic demographic and hiring information about first-year teachers</w:t>
      </w:r>
      <w:r w:rsidR="00C63B8F" w:rsidRPr="006A19DB">
        <w:rPr>
          <w:rFonts w:ascii="Times New Roman" w:hAnsi="Times New Roman"/>
        </w:rPr>
        <w:t>.</w:t>
      </w:r>
      <w:r w:rsidR="00C63B8F" w:rsidRPr="0040232F">
        <w:rPr>
          <w:rFonts w:ascii="Times New Roman" w:hAnsi="Times New Roman"/>
        </w:rPr>
        <w:t xml:space="preserve"> We find that </w:t>
      </w:r>
      <w:r w:rsidR="00293D30">
        <w:rPr>
          <w:rFonts w:ascii="Times New Roman" w:hAnsi="Times New Roman"/>
        </w:rPr>
        <w:t>these new</w:t>
      </w:r>
      <w:r w:rsidR="00C63B8F" w:rsidRPr="0040232F">
        <w:rPr>
          <w:rFonts w:ascii="Times New Roman" w:hAnsi="Times New Roman"/>
        </w:rPr>
        <w:t xml:space="preserve"> teachers are slightly more </w:t>
      </w:r>
      <w:r w:rsidRPr="0040232F">
        <w:rPr>
          <w:rFonts w:ascii="Times New Roman" w:hAnsi="Times New Roman"/>
        </w:rPr>
        <w:t>likely to be male or teachers of color compared with more experienced teachers</w:t>
      </w:r>
      <w:r w:rsidR="00C63B8F" w:rsidRPr="0040232F">
        <w:rPr>
          <w:rFonts w:ascii="Times New Roman" w:hAnsi="Times New Roman"/>
        </w:rPr>
        <w:t xml:space="preserve">, and that they are more likely to be hired into schools that need </w:t>
      </w:r>
      <w:r w:rsidR="00E93988" w:rsidRPr="0040232F">
        <w:rPr>
          <w:rFonts w:ascii="Times New Roman" w:hAnsi="Times New Roman"/>
        </w:rPr>
        <w:t>additional</w:t>
      </w:r>
      <w:r w:rsidR="00C63B8F" w:rsidRPr="0040232F">
        <w:rPr>
          <w:rFonts w:ascii="Times New Roman" w:hAnsi="Times New Roman"/>
        </w:rPr>
        <w:t xml:space="preserve"> academic </w:t>
      </w:r>
      <w:r w:rsidR="00E93988" w:rsidRPr="0040232F">
        <w:rPr>
          <w:rFonts w:ascii="Times New Roman" w:hAnsi="Times New Roman"/>
        </w:rPr>
        <w:t>supports</w:t>
      </w:r>
      <w:r w:rsidR="007E6FFC">
        <w:rPr>
          <w:rFonts w:ascii="Times New Roman" w:hAnsi="Times New Roman"/>
        </w:rPr>
        <w:t xml:space="preserve">, i.e., </w:t>
      </w:r>
      <w:r w:rsidR="00C63B8F" w:rsidRPr="0040232F">
        <w:rPr>
          <w:rFonts w:ascii="Times New Roman" w:hAnsi="Times New Roman"/>
        </w:rPr>
        <w:t>L</w:t>
      </w:r>
      <w:r w:rsidR="00E93988" w:rsidRPr="0040232F">
        <w:rPr>
          <w:rFonts w:ascii="Times New Roman" w:hAnsi="Times New Roman"/>
        </w:rPr>
        <w:t>evel 4 schools and high poverty schools.</w:t>
      </w:r>
      <w:r w:rsidR="00192BAE" w:rsidRPr="0040232F">
        <w:rPr>
          <w:rFonts w:ascii="Times New Roman" w:hAnsi="Times New Roman"/>
        </w:rPr>
        <w:t xml:space="preserve"> We also share data on educator supply and demand, </w:t>
      </w:r>
      <w:r w:rsidR="0037284B">
        <w:rPr>
          <w:rFonts w:ascii="Times New Roman" w:hAnsi="Times New Roman"/>
        </w:rPr>
        <w:t>and find</w:t>
      </w:r>
      <w:r w:rsidR="0037284B" w:rsidRPr="0040232F">
        <w:rPr>
          <w:rFonts w:ascii="Times New Roman" w:hAnsi="Times New Roman"/>
        </w:rPr>
        <w:t xml:space="preserve"> </w:t>
      </w:r>
      <w:r w:rsidR="00192BAE" w:rsidRPr="0040232F">
        <w:rPr>
          <w:rFonts w:ascii="Times New Roman" w:hAnsi="Times New Roman"/>
        </w:rPr>
        <w:t xml:space="preserve">that despite recent increases in the number of </w:t>
      </w:r>
      <w:r w:rsidR="0037284B">
        <w:rPr>
          <w:rFonts w:ascii="Times New Roman" w:hAnsi="Times New Roman"/>
        </w:rPr>
        <w:t xml:space="preserve">people who complete </w:t>
      </w:r>
      <w:r w:rsidR="00192BAE" w:rsidRPr="0040232F">
        <w:rPr>
          <w:rFonts w:ascii="Times New Roman" w:hAnsi="Times New Roman"/>
        </w:rPr>
        <w:t>preparation program</w:t>
      </w:r>
      <w:r w:rsidR="0037284B">
        <w:rPr>
          <w:rFonts w:ascii="Times New Roman" w:hAnsi="Times New Roman"/>
        </w:rPr>
        <w:t>s</w:t>
      </w:r>
      <w:r w:rsidR="00192BAE" w:rsidRPr="0040232F">
        <w:rPr>
          <w:rFonts w:ascii="Times New Roman" w:hAnsi="Times New Roman"/>
        </w:rPr>
        <w:t xml:space="preserve"> in shortage </w:t>
      </w:r>
      <w:r w:rsidR="00642EA5" w:rsidRPr="0040232F">
        <w:rPr>
          <w:rFonts w:ascii="Times New Roman" w:hAnsi="Times New Roman"/>
        </w:rPr>
        <w:t xml:space="preserve">subject </w:t>
      </w:r>
      <w:proofErr w:type="gramStart"/>
      <w:r w:rsidR="00642EA5" w:rsidRPr="0040232F">
        <w:rPr>
          <w:rFonts w:ascii="Times New Roman" w:hAnsi="Times New Roman"/>
        </w:rPr>
        <w:t>areas</w:t>
      </w:r>
      <w:r w:rsidR="00192BAE" w:rsidRPr="0040232F">
        <w:rPr>
          <w:rFonts w:ascii="Times New Roman" w:hAnsi="Times New Roman"/>
        </w:rPr>
        <w:t>,</w:t>
      </w:r>
      <w:proofErr w:type="gramEnd"/>
      <w:r w:rsidR="00192BAE" w:rsidRPr="0040232F">
        <w:rPr>
          <w:rFonts w:ascii="Times New Roman" w:hAnsi="Times New Roman"/>
        </w:rPr>
        <w:t xml:space="preserve"> there is still a </w:t>
      </w:r>
      <w:r w:rsidR="0037284B">
        <w:rPr>
          <w:rFonts w:ascii="Times New Roman" w:hAnsi="Times New Roman"/>
        </w:rPr>
        <w:t xml:space="preserve">shortage of </w:t>
      </w:r>
      <w:r w:rsidR="00192BAE" w:rsidRPr="0040232F">
        <w:rPr>
          <w:rFonts w:ascii="Times New Roman" w:hAnsi="Times New Roman"/>
        </w:rPr>
        <w:t xml:space="preserve">educators </w:t>
      </w:r>
      <w:r w:rsidR="0037284B">
        <w:rPr>
          <w:rFonts w:ascii="Times New Roman" w:hAnsi="Times New Roman"/>
        </w:rPr>
        <w:t xml:space="preserve">who are </w:t>
      </w:r>
      <w:r w:rsidR="00B05D86" w:rsidRPr="0040232F">
        <w:rPr>
          <w:rFonts w:ascii="Times New Roman" w:hAnsi="Times New Roman"/>
        </w:rPr>
        <w:t xml:space="preserve">licensed in </w:t>
      </w:r>
      <w:r w:rsidR="00192BAE" w:rsidRPr="0040232F">
        <w:rPr>
          <w:rFonts w:ascii="Times New Roman" w:hAnsi="Times New Roman"/>
        </w:rPr>
        <w:t>special education fields.</w:t>
      </w:r>
    </w:p>
    <w:p w:rsidR="003C62C3" w:rsidRDefault="003C62C3" w:rsidP="0013264B">
      <w:pPr>
        <w:pStyle w:val="Heading2"/>
      </w:pPr>
      <w:bookmarkStart w:id="4" w:name="_Toc374114880"/>
      <w:r w:rsidRPr="0013264B">
        <w:t>Demographics</w:t>
      </w:r>
      <w:bookmarkEnd w:id="4"/>
    </w:p>
    <w:p w:rsidR="00FE1216" w:rsidRPr="0040232F" w:rsidRDefault="00FE1216" w:rsidP="0040232F">
      <w:pPr>
        <w:spacing w:line="240" w:lineRule="auto"/>
        <w:rPr>
          <w:rFonts w:ascii="Times New Roman" w:hAnsi="Times New Roman"/>
        </w:rPr>
      </w:pPr>
      <w:r w:rsidRPr="0040232F">
        <w:rPr>
          <w:rFonts w:ascii="Times New Roman" w:hAnsi="Times New Roman"/>
        </w:rPr>
        <w:t xml:space="preserve">In </w:t>
      </w:r>
      <w:r w:rsidR="0037284B">
        <w:rPr>
          <w:rFonts w:ascii="Times New Roman" w:hAnsi="Times New Roman"/>
        </w:rPr>
        <w:t>the 2013 school year</w:t>
      </w:r>
      <w:r w:rsidRPr="0040232F">
        <w:rPr>
          <w:rFonts w:ascii="Times New Roman" w:hAnsi="Times New Roman"/>
        </w:rPr>
        <w:t xml:space="preserve">, 73 percent of first-year teachers in Massachusetts were female, compared with 76 percent of teachers with more than one year of experience. </w:t>
      </w:r>
      <w:r w:rsidR="0037284B">
        <w:rPr>
          <w:rFonts w:ascii="Times New Roman" w:hAnsi="Times New Roman"/>
        </w:rPr>
        <w:t>A</w:t>
      </w:r>
      <w:r w:rsidRPr="0040232F">
        <w:rPr>
          <w:rFonts w:ascii="Times New Roman" w:hAnsi="Times New Roman"/>
        </w:rPr>
        <w:t xml:space="preserve">pproximately 80 percent </w:t>
      </w:r>
      <w:r w:rsidR="0037284B">
        <w:rPr>
          <w:rFonts w:ascii="Times New Roman" w:hAnsi="Times New Roman"/>
        </w:rPr>
        <w:t xml:space="preserve">of all educators </w:t>
      </w:r>
      <w:r w:rsidRPr="0040232F">
        <w:rPr>
          <w:rFonts w:ascii="Times New Roman" w:hAnsi="Times New Roman"/>
        </w:rPr>
        <w:t xml:space="preserve">were female. </w:t>
      </w:r>
      <w:r w:rsidR="0037284B">
        <w:rPr>
          <w:rFonts w:ascii="Times New Roman" w:hAnsi="Times New Roman"/>
        </w:rPr>
        <w:t xml:space="preserve">There is variation by </w:t>
      </w:r>
      <w:r w:rsidRPr="0040232F">
        <w:rPr>
          <w:rFonts w:ascii="Times New Roman" w:hAnsi="Times New Roman"/>
        </w:rPr>
        <w:t>educator group</w:t>
      </w:r>
      <w:r w:rsidR="0037284B">
        <w:rPr>
          <w:rFonts w:ascii="Times New Roman" w:hAnsi="Times New Roman"/>
        </w:rPr>
        <w:t>, however</w:t>
      </w:r>
      <w:r w:rsidRPr="0040232F">
        <w:rPr>
          <w:rFonts w:ascii="Times New Roman" w:hAnsi="Times New Roman"/>
        </w:rPr>
        <w:t xml:space="preserve">—only 59 percent of principals and 42 percent of superintendents were female. These proportions are similar to those in public schools nationwide: 76 percent of teachers are </w:t>
      </w:r>
      <w:r w:rsidR="0037284B">
        <w:rPr>
          <w:rFonts w:ascii="Times New Roman" w:hAnsi="Times New Roman"/>
        </w:rPr>
        <w:t>female</w:t>
      </w:r>
      <w:r w:rsidRPr="0040232F">
        <w:rPr>
          <w:rFonts w:ascii="Times New Roman" w:hAnsi="Times New Roman"/>
        </w:rPr>
        <w:t xml:space="preserve">, </w:t>
      </w:r>
      <w:r w:rsidR="0037284B">
        <w:rPr>
          <w:rFonts w:ascii="Times New Roman" w:hAnsi="Times New Roman"/>
        </w:rPr>
        <w:t>but only</w:t>
      </w:r>
      <w:r w:rsidR="0037284B" w:rsidRPr="0040232F">
        <w:rPr>
          <w:rFonts w:ascii="Times New Roman" w:hAnsi="Times New Roman"/>
        </w:rPr>
        <w:t xml:space="preserve"> </w:t>
      </w:r>
      <w:r w:rsidRPr="0040232F">
        <w:rPr>
          <w:rFonts w:ascii="Times New Roman" w:hAnsi="Times New Roman"/>
        </w:rPr>
        <w:t>50 percent of principals and 24 percent of superintendents are female.</w:t>
      </w:r>
      <w:r w:rsidRPr="0037284B">
        <w:rPr>
          <w:rStyle w:val="FootnoteReference"/>
          <w:rFonts w:ascii="Times New Roman" w:hAnsi="Times New Roman"/>
        </w:rPr>
        <w:footnoteReference w:id="4"/>
      </w:r>
      <w:r w:rsidRPr="0040232F">
        <w:rPr>
          <w:rFonts w:ascii="Times New Roman" w:hAnsi="Times New Roman"/>
        </w:rPr>
        <w:t xml:space="preserve"> </w:t>
      </w:r>
    </w:p>
    <w:p w:rsidR="00AF0685" w:rsidRPr="0040232F" w:rsidRDefault="00AF0685" w:rsidP="0040232F">
      <w:pPr>
        <w:spacing w:line="240" w:lineRule="auto"/>
        <w:rPr>
          <w:rFonts w:ascii="Times New Roman" w:hAnsi="Times New Roman"/>
        </w:rPr>
      </w:pPr>
    </w:p>
    <w:p w:rsidR="00AF0685" w:rsidRPr="0040232F" w:rsidRDefault="00882C14" w:rsidP="0040232F">
      <w:pPr>
        <w:spacing w:line="240" w:lineRule="auto"/>
        <w:rPr>
          <w:rFonts w:ascii="Times New Roman" w:hAnsi="Times New Roman"/>
        </w:rPr>
      </w:pPr>
      <w:r w:rsidRPr="0040232F">
        <w:rPr>
          <w:rFonts w:ascii="Times New Roman" w:hAnsi="Times New Roman"/>
        </w:rPr>
        <w:t xml:space="preserve">There is a large gap </w:t>
      </w:r>
      <w:r w:rsidR="00B44481" w:rsidRPr="0040232F">
        <w:rPr>
          <w:rFonts w:ascii="Times New Roman" w:hAnsi="Times New Roman"/>
        </w:rPr>
        <w:t xml:space="preserve">between the </w:t>
      </w:r>
      <w:r w:rsidR="00385F56">
        <w:rPr>
          <w:rFonts w:ascii="Times New Roman" w:hAnsi="Times New Roman"/>
        </w:rPr>
        <w:t>percentage</w:t>
      </w:r>
      <w:r w:rsidR="00385F56" w:rsidRPr="0040232F">
        <w:rPr>
          <w:rFonts w:ascii="Times New Roman" w:hAnsi="Times New Roman"/>
        </w:rPr>
        <w:t xml:space="preserve"> </w:t>
      </w:r>
      <w:r w:rsidR="00B44481" w:rsidRPr="0040232F">
        <w:rPr>
          <w:rFonts w:ascii="Times New Roman" w:hAnsi="Times New Roman"/>
        </w:rPr>
        <w:t xml:space="preserve">of students </w:t>
      </w:r>
      <w:r w:rsidR="00973B48" w:rsidRPr="0040232F">
        <w:rPr>
          <w:rFonts w:ascii="Times New Roman" w:hAnsi="Times New Roman"/>
        </w:rPr>
        <w:t xml:space="preserve">of color </w:t>
      </w:r>
      <w:r w:rsidR="00B44481" w:rsidRPr="0040232F">
        <w:rPr>
          <w:rFonts w:ascii="Times New Roman" w:hAnsi="Times New Roman"/>
        </w:rPr>
        <w:t xml:space="preserve">in Massachusetts and the </w:t>
      </w:r>
      <w:r w:rsidR="00385F56">
        <w:rPr>
          <w:rFonts w:ascii="Times New Roman" w:hAnsi="Times New Roman"/>
        </w:rPr>
        <w:t>percentage</w:t>
      </w:r>
      <w:r w:rsidR="00385F56" w:rsidRPr="0040232F">
        <w:rPr>
          <w:rFonts w:ascii="Times New Roman" w:hAnsi="Times New Roman"/>
        </w:rPr>
        <w:t xml:space="preserve"> </w:t>
      </w:r>
      <w:r w:rsidR="00B44481" w:rsidRPr="0040232F">
        <w:rPr>
          <w:rFonts w:ascii="Times New Roman" w:hAnsi="Times New Roman"/>
        </w:rPr>
        <w:t>of educators</w:t>
      </w:r>
      <w:r w:rsidR="00973B48" w:rsidRPr="0040232F">
        <w:rPr>
          <w:rFonts w:ascii="Times New Roman" w:hAnsi="Times New Roman"/>
        </w:rPr>
        <w:t xml:space="preserve"> of color</w:t>
      </w:r>
      <w:r w:rsidRPr="0040232F">
        <w:rPr>
          <w:rFonts w:ascii="Times New Roman" w:hAnsi="Times New Roman"/>
        </w:rPr>
        <w:t>.</w:t>
      </w:r>
      <w:r w:rsidR="00B44481" w:rsidRPr="0040232F">
        <w:rPr>
          <w:rFonts w:ascii="Times New Roman" w:hAnsi="Times New Roman"/>
        </w:rPr>
        <w:t xml:space="preserve"> Less than </w:t>
      </w:r>
      <w:r w:rsidR="00823F65" w:rsidRPr="0040232F">
        <w:rPr>
          <w:rFonts w:ascii="Times New Roman" w:hAnsi="Times New Roman"/>
        </w:rPr>
        <w:t>10</w:t>
      </w:r>
      <w:r w:rsidR="00B44481" w:rsidRPr="0040232F">
        <w:rPr>
          <w:rFonts w:ascii="Times New Roman" w:hAnsi="Times New Roman"/>
        </w:rPr>
        <w:t xml:space="preserve"> percent of teachers, principals, and superintendents </w:t>
      </w:r>
      <w:r w:rsidRPr="0040232F">
        <w:rPr>
          <w:rFonts w:ascii="Times New Roman" w:hAnsi="Times New Roman"/>
        </w:rPr>
        <w:t xml:space="preserve">in Massachusetts </w:t>
      </w:r>
      <w:r w:rsidR="00B44481" w:rsidRPr="0040232F">
        <w:rPr>
          <w:rFonts w:ascii="Times New Roman" w:hAnsi="Times New Roman"/>
        </w:rPr>
        <w:t xml:space="preserve">are </w:t>
      </w:r>
      <w:r w:rsidR="00293D30">
        <w:rPr>
          <w:rFonts w:ascii="Times New Roman" w:hAnsi="Times New Roman"/>
        </w:rPr>
        <w:t>educators of color</w:t>
      </w:r>
      <w:r w:rsidR="00B44481" w:rsidRPr="0040232F">
        <w:rPr>
          <w:rFonts w:ascii="Times New Roman" w:hAnsi="Times New Roman"/>
        </w:rPr>
        <w:t>, compared with 44 percent of students</w:t>
      </w:r>
      <w:r w:rsidR="00AF0685" w:rsidRPr="0040232F">
        <w:rPr>
          <w:rFonts w:ascii="Times New Roman" w:hAnsi="Times New Roman"/>
        </w:rPr>
        <w:t xml:space="preserve"> (</w:t>
      </w:r>
      <w:r w:rsidR="00B41339">
        <w:rPr>
          <w:rFonts w:ascii="Times New Roman" w:hAnsi="Times New Roman"/>
        </w:rPr>
        <w:t>S</w:t>
      </w:r>
      <w:r w:rsidR="00B41339" w:rsidRPr="0040232F">
        <w:rPr>
          <w:rFonts w:ascii="Times New Roman" w:hAnsi="Times New Roman"/>
        </w:rPr>
        <w:t xml:space="preserve">ee </w:t>
      </w:r>
      <w:r w:rsidRPr="0040232F">
        <w:rPr>
          <w:rFonts w:ascii="Times New Roman" w:hAnsi="Times New Roman"/>
        </w:rPr>
        <w:t>Table 1.1</w:t>
      </w:r>
      <w:r w:rsidR="00B44481" w:rsidRPr="0040232F">
        <w:rPr>
          <w:rFonts w:ascii="Times New Roman" w:hAnsi="Times New Roman"/>
        </w:rPr>
        <w:t>)</w:t>
      </w:r>
      <w:r w:rsidR="00AF0685" w:rsidRPr="0040232F">
        <w:rPr>
          <w:rFonts w:ascii="Times New Roman" w:hAnsi="Times New Roman"/>
        </w:rPr>
        <w:t xml:space="preserve">. </w:t>
      </w:r>
      <w:r w:rsidR="00470E2C">
        <w:rPr>
          <w:rFonts w:ascii="Times New Roman" w:hAnsi="Times New Roman"/>
        </w:rPr>
        <w:t>R</w:t>
      </w:r>
      <w:r w:rsidR="00385F56">
        <w:rPr>
          <w:rFonts w:ascii="Times New Roman" w:hAnsi="Times New Roman"/>
        </w:rPr>
        <w:t xml:space="preserve">acial and ethnic </w:t>
      </w:r>
      <w:r w:rsidR="00470E2C">
        <w:rPr>
          <w:rFonts w:ascii="Times New Roman" w:hAnsi="Times New Roman"/>
        </w:rPr>
        <w:t>composition</w:t>
      </w:r>
      <w:r w:rsidR="00385F56" w:rsidRPr="0040232F">
        <w:rPr>
          <w:rFonts w:ascii="Times New Roman" w:hAnsi="Times New Roman"/>
        </w:rPr>
        <w:t xml:space="preserve"> </w:t>
      </w:r>
      <w:r w:rsidR="00470E2C">
        <w:rPr>
          <w:rFonts w:ascii="Times New Roman" w:hAnsi="Times New Roman"/>
        </w:rPr>
        <w:t>varies by teacher experience</w:t>
      </w:r>
      <w:r w:rsidR="00FE0537" w:rsidRPr="0040232F">
        <w:rPr>
          <w:rFonts w:ascii="Times New Roman" w:hAnsi="Times New Roman"/>
        </w:rPr>
        <w:t xml:space="preserve">: 10 percent of new teachers are a racial or ethnic minority, compared with 7 percent of experienced teachers. </w:t>
      </w:r>
    </w:p>
    <w:p w:rsidR="00F154DE" w:rsidRPr="0040232F" w:rsidRDefault="00F154DE" w:rsidP="0040232F">
      <w:pPr>
        <w:spacing w:line="240" w:lineRule="auto"/>
        <w:rPr>
          <w:rFonts w:ascii="Times New Roman" w:hAnsi="Times New Roman"/>
        </w:rPr>
      </w:pPr>
    </w:p>
    <w:p w:rsidR="00F154DE" w:rsidRDefault="00F154DE" w:rsidP="0040232F">
      <w:pPr>
        <w:spacing w:line="240" w:lineRule="auto"/>
        <w:rPr>
          <w:rFonts w:ascii="Times New Roman" w:hAnsi="Times New Roman"/>
        </w:rPr>
      </w:pPr>
      <w:r w:rsidRPr="0040232F">
        <w:rPr>
          <w:rFonts w:ascii="Times New Roman" w:hAnsi="Times New Roman"/>
        </w:rPr>
        <w:t xml:space="preserve">Because male </w:t>
      </w:r>
      <w:r w:rsidR="00973B48" w:rsidRPr="0040232F">
        <w:rPr>
          <w:rFonts w:ascii="Times New Roman" w:hAnsi="Times New Roman"/>
        </w:rPr>
        <w:t xml:space="preserve">teachers </w:t>
      </w:r>
      <w:r w:rsidRPr="0040232F">
        <w:rPr>
          <w:rFonts w:ascii="Times New Roman" w:hAnsi="Times New Roman"/>
        </w:rPr>
        <w:t xml:space="preserve">and teachers </w:t>
      </w:r>
      <w:r w:rsidR="00973B48" w:rsidRPr="0040232F">
        <w:rPr>
          <w:rFonts w:ascii="Times New Roman" w:hAnsi="Times New Roman"/>
        </w:rPr>
        <w:t xml:space="preserve">of color </w:t>
      </w:r>
      <w:r w:rsidRPr="0040232F">
        <w:rPr>
          <w:rFonts w:ascii="Times New Roman" w:hAnsi="Times New Roman"/>
        </w:rPr>
        <w:t>are underrepresented in Massachusetts, we spend additional time</w:t>
      </w:r>
      <w:r w:rsidR="00760DD0" w:rsidRPr="0040232F">
        <w:rPr>
          <w:rFonts w:ascii="Times New Roman" w:hAnsi="Times New Roman"/>
        </w:rPr>
        <w:t xml:space="preserve"> </w:t>
      </w:r>
      <w:r w:rsidR="0065036D" w:rsidRPr="0040232F">
        <w:rPr>
          <w:rFonts w:ascii="Times New Roman" w:hAnsi="Times New Roman"/>
        </w:rPr>
        <w:t>later</w:t>
      </w:r>
      <w:r w:rsidRPr="0040232F">
        <w:rPr>
          <w:rFonts w:ascii="Times New Roman" w:hAnsi="Times New Roman"/>
        </w:rPr>
        <w:t xml:space="preserve"> </w:t>
      </w:r>
      <w:r w:rsidR="005855E8" w:rsidRPr="0040232F">
        <w:rPr>
          <w:rFonts w:ascii="Times New Roman" w:hAnsi="Times New Roman"/>
        </w:rPr>
        <w:t xml:space="preserve">in </w:t>
      </w:r>
      <w:r w:rsidRPr="0040232F">
        <w:rPr>
          <w:rFonts w:ascii="Times New Roman" w:hAnsi="Times New Roman"/>
        </w:rPr>
        <w:t>this report focusing on the recruitment and retention of these teachers.</w:t>
      </w:r>
    </w:p>
    <w:p w:rsidR="00C47EB3" w:rsidRPr="00C47EB3" w:rsidRDefault="00C47EB3" w:rsidP="00C47EB3">
      <w:pPr>
        <w:spacing w:line="240" w:lineRule="auto"/>
      </w:pPr>
    </w:p>
    <w:p w:rsidR="00B21F56" w:rsidRPr="00C47EB3" w:rsidRDefault="00AF0685" w:rsidP="00C47EB3">
      <w:pPr>
        <w:pStyle w:val="Heading2"/>
        <w:spacing w:line="240" w:lineRule="auto"/>
        <w:rPr>
          <w:i w:val="0"/>
          <w:sz w:val="21"/>
          <w:szCs w:val="21"/>
        </w:rPr>
      </w:pPr>
      <w:r w:rsidRPr="00C47EB3">
        <w:rPr>
          <w:i w:val="0"/>
          <w:sz w:val="21"/>
          <w:szCs w:val="21"/>
        </w:rPr>
        <w:t>Table 1.</w:t>
      </w:r>
      <w:r w:rsidR="00882C14" w:rsidRPr="00C47EB3">
        <w:rPr>
          <w:i w:val="0"/>
          <w:sz w:val="21"/>
          <w:szCs w:val="21"/>
        </w:rPr>
        <w:t>1</w:t>
      </w:r>
      <w:r w:rsidRPr="00C47EB3">
        <w:rPr>
          <w:i w:val="0"/>
          <w:sz w:val="21"/>
          <w:szCs w:val="21"/>
        </w:rPr>
        <w:t>: 2012-13 Race and Ethnicity of Massachusetts Educators and Students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1440"/>
        <w:gridCol w:w="1350"/>
        <w:gridCol w:w="1350"/>
        <w:gridCol w:w="1627"/>
        <w:gridCol w:w="1343"/>
      </w:tblGrid>
      <w:tr w:rsidR="00C47EB3" w:rsidRPr="00C47EB3" w:rsidTr="00582B9E">
        <w:trPr>
          <w:trHeight w:val="300"/>
        </w:trPr>
        <w:tc>
          <w:tcPr>
            <w:tcW w:w="1890" w:type="dxa"/>
            <w:shd w:val="clear" w:color="auto" w:fill="D9D9D9" w:themeFill="background1" w:themeFillShade="D9"/>
            <w:noWrap/>
            <w:tcMar>
              <w:top w:w="14" w:type="dxa"/>
              <w:left w:w="115" w:type="dxa"/>
              <w:bottom w:w="14" w:type="dxa"/>
              <w:right w:w="115" w:type="dxa"/>
            </w:tcMar>
            <w:hideMark/>
          </w:tcPr>
          <w:p w:rsidR="00FE1216" w:rsidRPr="00C47EB3" w:rsidRDefault="00FE1216" w:rsidP="00DA661A">
            <w:pPr>
              <w:spacing w:before="240" w:line="240" w:lineRule="auto"/>
              <w:rPr>
                <w:rFonts w:ascii="Arial Narrow" w:hAnsi="Arial Narrow" w:cs="Arial"/>
                <w:b/>
                <w:color w:val="000000"/>
                <w:sz w:val="22"/>
                <w:szCs w:val="22"/>
              </w:rPr>
            </w:pPr>
            <w:r w:rsidRPr="00C47EB3">
              <w:rPr>
                <w:rFonts w:ascii="Arial Narrow" w:hAnsi="Arial Narrow" w:cs="Arial"/>
                <w:b/>
                <w:color w:val="000000"/>
                <w:sz w:val="22"/>
                <w:szCs w:val="22"/>
              </w:rPr>
              <w:t>Race/Ethnicity</w:t>
            </w:r>
          </w:p>
        </w:tc>
        <w:tc>
          <w:tcPr>
            <w:tcW w:w="1440" w:type="dxa"/>
            <w:shd w:val="clear" w:color="auto" w:fill="D9D9D9" w:themeFill="background1" w:themeFillShade="D9"/>
            <w:noWrap/>
            <w:tcMar>
              <w:top w:w="14" w:type="dxa"/>
              <w:left w:w="115" w:type="dxa"/>
              <w:bottom w:w="14" w:type="dxa"/>
              <w:right w:w="115" w:type="dxa"/>
            </w:tcMar>
            <w:vAlign w:val="bottom"/>
            <w:hideMark/>
          </w:tcPr>
          <w:p w:rsidR="00FE1216" w:rsidRPr="00C47EB3" w:rsidRDefault="00FE1216" w:rsidP="00C47EB3">
            <w:pPr>
              <w:spacing w:line="240" w:lineRule="auto"/>
              <w:jc w:val="center"/>
              <w:rPr>
                <w:rFonts w:ascii="Arial Narrow" w:hAnsi="Arial Narrow" w:cs="Arial"/>
                <w:b/>
                <w:color w:val="000000"/>
                <w:sz w:val="22"/>
                <w:szCs w:val="22"/>
              </w:rPr>
            </w:pPr>
            <w:r w:rsidRPr="00C47EB3">
              <w:rPr>
                <w:rFonts w:ascii="Arial Narrow" w:hAnsi="Arial Narrow" w:cs="Arial"/>
                <w:b/>
                <w:color w:val="000000"/>
                <w:sz w:val="22"/>
                <w:szCs w:val="22"/>
              </w:rPr>
              <w:t>Experienced Teachers</w:t>
            </w:r>
          </w:p>
        </w:tc>
        <w:tc>
          <w:tcPr>
            <w:tcW w:w="1350" w:type="dxa"/>
            <w:shd w:val="clear" w:color="auto" w:fill="D9D9D9" w:themeFill="background1" w:themeFillShade="D9"/>
            <w:tcMar>
              <w:top w:w="14" w:type="dxa"/>
              <w:left w:w="115" w:type="dxa"/>
              <w:bottom w:w="14" w:type="dxa"/>
              <w:right w:w="115" w:type="dxa"/>
            </w:tcMar>
          </w:tcPr>
          <w:p w:rsidR="00FE1216" w:rsidRPr="00C47EB3" w:rsidRDefault="00FE1216" w:rsidP="00C47EB3">
            <w:pPr>
              <w:spacing w:line="240" w:lineRule="auto"/>
              <w:jc w:val="center"/>
              <w:rPr>
                <w:rFonts w:ascii="Arial Narrow" w:hAnsi="Arial Narrow" w:cs="Arial"/>
                <w:b/>
                <w:color w:val="000000"/>
                <w:sz w:val="22"/>
                <w:szCs w:val="22"/>
              </w:rPr>
            </w:pPr>
            <w:r w:rsidRPr="00C47EB3">
              <w:rPr>
                <w:rFonts w:ascii="Arial Narrow" w:hAnsi="Arial Narrow" w:cs="Arial"/>
                <w:b/>
                <w:color w:val="000000"/>
                <w:sz w:val="22"/>
                <w:szCs w:val="22"/>
              </w:rPr>
              <w:t>New Teachers</w:t>
            </w:r>
          </w:p>
        </w:tc>
        <w:tc>
          <w:tcPr>
            <w:tcW w:w="1350" w:type="dxa"/>
            <w:shd w:val="clear" w:color="auto" w:fill="D9D9D9" w:themeFill="background1" w:themeFillShade="D9"/>
            <w:noWrap/>
            <w:tcMar>
              <w:top w:w="14" w:type="dxa"/>
              <w:left w:w="115" w:type="dxa"/>
              <w:bottom w:w="14" w:type="dxa"/>
              <w:right w:w="115" w:type="dxa"/>
            </w:tcMar>
            <w:vAlign w:val="bottom"/>
            <w:hideMark/>
          </w:tcPr>
          <w:p w:rsidR="00FE1216" w:rsidRPr="00C47EB3" w:rsidRDefault="00FE1216" w:rsidP="00C47EB3">
            <w:pPr>
              <w:spacing w:line="240" w:lineRule="auto"/>
              <w:jc w:val="center"/>
              <w:rPr>
                <w:rFonts w:ascii="Arial Narrow" w:hAnsi="Arial Narrow" w:cs="Arial"/>
                <w:b/>
                <w:color w:val="000000"/>
                <w:sz w:val="22"/>
                <w:szCs w:val="22"/>
              </w:rPr>
            </w:pPr>
            <w:r w:rsidRPr="00C47EB3">
              <w:rPr>
                <w:rFonts w:ascii="Arial Narrow" w:hAnsi="Arial Narrow" w:cs="Arial"/>
                <w:b/>
                <w:color w:val="000000"/>
                <w:sz w:val="22"/>
                <w:szCs w:val="22"/>
              </w:rPr>
              <w:t>Principals</w:t>
            </w:r>
          </w:p>
        </w:tc>
        <w:tc>
          <w:tcPr>
            <w:tcW w:w="1627" w:type="dxa"/>
            <w:shd w:val="clear" w:color="auto" w:fill="D9D9D9" w:themeFill="background1" w:themeFillShade="D9"/>
            <w:noWrap/>
            <w:tcMar>
              <w:top w:w="14" w:type="dxa"/>
              <w:left w:w="115" w:type="dxa"/>
              <w:bottom w:w="14" w:type="dxa"/>
              <w:right w:w="115" w:type="dxa"/>
            </w:tcMar>
            <w:vAlign w:val="bottom"/>
            <w:hideMark/>
          </w:tcPr>
          <w:p w:rsidR="00FE1216" w:rsidRPr="00582B9E" w:rsidRDefault="00FE1216" w:rsidP="00C47EB3">
            <w:pPr>
              <w:spacing w:line="240" w:lineRule="auto"/>
              <w:jc w:val="center"/>
              <w:rPr>
                <w:rFonts w:ascii="Arial Narrow" w:hAnsi="Arial Narrow" w:cs="Arial"/>
                <w:b/>
                <w:color w:val="000000"/>
                <w:sz w:val="21"/>
                <w:szCs w:val="21"/>
              </w:rPr>
            </w:pPr>
            <w:r w:rsidRPr="00582B9E">
              <w:rPr>
                <w:rFonts w:ascii="Arial Narrow" w:hAnsi="Arial Narrow" w:cs="Arial"/>
                <w:b/>
                <w:color w:val="000000"/>
                <w:sz w:val="21"/>
                <w:szCs w:val="21"/>
              </w:rPr>
              <w:t>Superintendents</w:t>
            </w:r>
          </w:p>
        </w:tc>
        <w:tc>
          <w:tcPr>
            <w:tcW w:w="1343" w:type="dxa"/>
            <w:shd w:val="clear" w:color="auto" w:fill="D9D9D9" w:themeFill="background1" w:themeFillShade="D9"/>
            <w:noWrap/>
            <w:tcMar>
              <w:top w:w="14" w:type="dxa"/>
              <w:left w:w="115" w:type="dxa"/>
              <w:bottom w:w="14" w:type="dxa"/>
              <w:right w:w="115" w:type="dxa"/>
            </w:tcMar>
            <w:vAlign w:val="bottom"/>
            <w:hideMark/>
          </w:tcPr>
          <w:p w:rsidR="00FE1216" w:rsidRPr="00C47EB3" w:rsidRDefault="00FE1216" w:rsidP="00C47EB3">
            <w:pPr>
              <w:spacing w:line="240" w:lineRule="auto"/>
              <w:jc w:val="center"/>
              <w:rPr>
                <w:rFonts w:ascii="Arial Narrow" w:hAnsi="Arial Narrow" w:cs="Arial"/>
                <w:b/>
                <w:color w:val="000000"/>
                <w:sz w:val="22"/>
                <w:szCs w:val="22"/>
              </w:rPr>
            </w:pPr>
            <w:r w:rsidRPr="00C47EB3">
              <w:rPr>
                <w:rFonts w:ascii="Arial Narrow" w:hAnsi="Arial Narrow" w:cs="Arial"/>
                <w:b/>
                <w:color w:val="000000"/>
                <w:sz w:val="22"/>
                <w:szCs w:val="22"/>
              </w:rPr>
              <w:t>Students</w:t>
            </w:r>
          </w:p>
        </w:tc>
      </w:tr>
      <w:tr w:rsidR="00C47EB3" w:rsidRPr="00B61B00" w:rsidTr="00582B9E">
        <w:trPr>
          <w:trHeight w:val="300"/>
        </w:trPr>
        <w:tc>
          <w:tcPr>
            <w:tcW w:w="1890" w:type="dxa"/>
            <w:shd w:val="clear" w:color="auto" w:fill="auto"/>
            <w:noWrap/>
            <w:tcMar>
              <w:top w:w="14" w:type="dxa"/>
              <w:left w:w="115" w:type="dxa"/>
              <w:bottom w:w="14" w:type="dxa"/>
              <w:right w:w="115" w:type="dxa"/>
            </w:tcMar>
            <w:vAlign w:val="bottom"/>
            <w:hideMark/>
          </w:tcPr>
          <w:p w:rsidR="00FE1216" w:rsidRPr="00C47EB3" w:rsidRDefault="00FE1216" w:rsidP="00C47EB3">
            <w:pPr>
              <w:spacing w:line="240" w:lineRule="auto"/>
              <w:ind w:left="162"/>
              <w:rPr>
                <w:rFonts w:ascii="Arial Narrow" w:hAnsi="Arial Narrow"/>
                <w:b/>
                <w:color w:val="000000"/>
                <w:sz w:val="22"/>
                <w:szCs w:val="22"/>
              </w:rPr>
            </w:pPr>
            <w:r w:rsidRPr="00C47EB3">
              <w:rPr>
                <w:rFonts w:ascii="Arial Narrow" w:hAnsi="Arial Narrow"/>
                <w:b/>
                <w:color w:val="000000"/>
                <w:sz w:val="22"/>
                <w:szCs w:val="22"/>
              </w:rPr>
              <w:t>African American</w:t>
            </w:r>
          </w:p>
        </w:tc>
        <w:tc>
          <w:tcPr>
            <w:tcW w:w="1440"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3%</w:t>
            </w:r>
          </w:p>
        </w:tc>
        <w:tc>
          <w:tcPr>
            <w:tcW w:w="1350" w:type="dxa"/>
            <w:tcMar>
              <w:top w:w="14" w:type="dxa"/>
              <w:left w:w="72" w:type="dxa"/>
              <w:bottom w:w="14" w:type="dxa"/>
              <w:right w:w="144" w:type="dxa"/>
            </w:tcMar>
            <w:vAlign w:val="bottom"/>
          </w:tcPr>
          <w:p w:rsidR="00FE1216" w:rsidRPr="00B61B00" w:rsidRDefault="00FE1216" w:rsidP="00B21F56">
            <w:pPr>
              <w:spacing w:line="240" w:lineRule="auto"/>
              <w:jc w:val="right"/>
              <w:rPr>
                <w:color w:val="000000"/>
                <w:sz w:val="22"/>
                <w:szCs w:val="22"/>
              </w:rPr>
            </w:pPr>
            <w:r w:rsidRPr="00B61B00">
              <w:rPr>
                <w:color w:val="000000"/>
                <w:sz w:val="22"/>
                <w:szCs w:val="22"/>
              </w:rPr>
              <w:t>4%</w:t>
            </w:r>
          </w:p>
        </w:tc>
        <w:tc>
          <w:tcPr>
            <w:tcW w:w="1350"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5%</w:t>
            </w:r>
          </w:p>
        </w:tc>
        <w:tc>
          <w:tcPr>
            <w:tcW w:w="1627"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2%</w:t>
            </w:r>
          </w:p>
        </w:tc>
        <w:tc>
          <w:tcPr>
            <w:tcW w:w="1343"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9%</w:t>
            </w:r>
          </w:p>
        </w:tc>
      </w:tr>
      <w:tr w:rsidR="00C47EB3" w:rsidRPr="00B61B00" w:rsidTr="00582B9E">
        <w:trPr>
          <w:trHeight w:val="300"/>
        </w:trPr>
        <w:tc>
          <w:tcPr>
            <w:tcW w:w="1890" w:type="dxa"/>
            <w:shd w:val="clear" w:color="auto" w:fill="auto"/>
            <w:noWrap/>
            <w:tcMar>
              <w:top w:w="14" w:type="dxa"/>
              <w:left w:w="115" w:type="dxa"/>
              <w:bottom w:w="14" w:type="dxa"/>
              <w:right w:w="115" w:type="dxa"/>
            </w:tcMar>
            <w:vAlign w:val="bottom"/>
            <w:hideMark/>
          </w:tcPr>
          <w:p w:rsidR="00FE1216" w:rsidRPr="00C47EB3" w:rsidRDefault="00FE1216" w:rsidP="00C47EB3">
            <w:pPr>
              <w:spacing w:line="240" w:lineRule="auto"/>
              <w:ind w:left="162"/>
              <w:rPr>
                <w:rFonts w:ascii="Arial Narrow" w:hAnsi="Arial Narrow"/>
                <w:b/>
                <w:color w:val="000000"/>
                <w:sz w:val="22"/>
                <w:szCs w:val="22"/>
              </w:rPr>
            </w:pPr>
            <w:r w:rsidRPr="00C47EB3">
              <w:rPr>
                <w:rFonts w:ascii="Arial Narrow" w:hAnsi="Arial Narrow"/>
                <w:b/>
                <w:color w:val="000000"/>
                <w:sz w:val="22"/>
                <w:szCs w:val="22"/>
              </w:rPr>
              <w:t>Asian</w:t>
            </w:r>
          </w:p>
        </w:tc>
        <w:tc>
          <w:tcPr>
            <w:tcW w:w="1440"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1%</w:t>
            </w:r>
          </w:p>
        </w:tc>
        <w:tc>
          <w:tcPr>
            <w:tcW w:w="1350" w:type="dxa"/>
            <w:tcMar>
              <w:top w:w="14" w:type="dxa"/>
              <w:left w:w="72" w:type="dxa"/>
              <w:bottom w:w="14" w:type="dxa"/>
              <w:right w:w="144" w:type="dxa"/>
            </w:tcMar>
          </w:tcPr>
          <w:p w:rsidR="00FE1216" w:rsidRPr="00B61B00" w:rsidRDefault="00FE1216" w:rsidP="00B21F56">
            <w:pPr>
              <w:spacing w:line="240" w:lineRule="auto"/>
              <w:jc w:val="right"/>
              <w:rPr>
                <w:color w:val="000000"/>
                <w:sz w:val="22"/>
                <w:szCs w:val="22"/>
              </w:rPr>
            </w:pPr>
            <w:r w:rsidRPr="00B61B00">
              <w:rPr>
                <w:color w:val="000000"/>
                <w:sz w:val="22"/>
                <w:szCs w:val="22"/>
              </w:rPr>
              <w:t>2%</w:t>
            </w:r>
          </w:p>
        </w:tc>
        <w:tc>
          <w:tcPr>
            <w:tcW w:w="1350"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1%</w:t>
            </w:r>
          </w:p>
        </w:tc>
        <w:tc>
          <w:tcPr>
            <w:tcW w:w="1627"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1%</w:t>
            </w:r>
          </w:p>
        </w:tc>
        <w:tc>
          <w:tcPr>
            <w:tcW w:w="1343"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6%</w:t>
            </w:r>
          </w:p>
        </w:tc>
      </w:tr>
      <w:tr w:rsidR="00C47EB3" w:rsidRPr="00B61B00" w:rsidTr="00582B9E">
        <w:trPr>
          <w:trHeight w:val="300"/>
        </w:trPr>
        <w:tc>
          <w:tcPr>
            <w:tcW w:w="1890" w:type="dxa"/>
            <w:shd w:val="clear" w:color="auto" w:fill="auto"/>
            <w:noWrap/>
            <w:tcMar>
              <w:top w:w="14" w:type="dxa"/>
              <w:left w:w="115" w:type="dxa"/>
              <w:bottom w:w="14" w:type="dxa"/>
              <w:right w:w="115" w:type="dxa"/>
            </w:tcMar>
            <w:vAlign w:val="bottom"/>
            <w:hideMark/>
          </w:tcPr>
          <w:p w:rsidR="00FE1216" w:rsidRPr="00C47EB3" w:rsidRDefault="00FE1216" w:rsidP="00C47EB3">
            <w:pPr>
              <w:spacing w:line="240" w:lineRule="auto"/>
              <w:ind w:left="162"/>
              <w:rPr>
                <w:rFonts w:ascii="Arial Narrow" w:hAnsi="Arial Narrow"/>
                <w:b/>
                <w:color w:val="000000"/>
                <w:sz w:val="22"/>
                <w:szCs w:val="22"/>
              </w:rPr>
            </w:pPr>
            <w:r w:rsidRPr="00C47EB3">
              <w:rPr>
                <w:rFonts w:ascii="Arial Narrow" w:hAnsi="Arial Narrow"/>
                <w:b/>
                <w:color w:val="000000"/>
                <w:sz w:val="22"/>
                <w:szCs w:val="22"/>
              </w:rPr>
              <w:t>Hispanic</w:t>
            </w:r>
          </w:p>
        </w:tc>
        <w:tc>
          <w:tcPr>
            <w:tcW w:w="1440"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2%</w:t>
            </w:r>
          </w:p>
        </w:tc>
        <w:tc>
          <w:tcPr>
            <w:tcW w:w="1350" w:type="dxa"/>
            <w:tcMar>
              <w:top w:w="14" w:type="dxa"/>
              <w:left w:w="72" w:type="dxa"/>
              <w:bottom w:w="14" w:type="dxa"/>
              <w:right w:w="144" w:type="dxa"/>
            </w:tcMar>
          </w:tcPr>
          <w:p w:rsidR="00FE1216" w:rsidRPr="00B61B00" w:rsidRDefault="00FE1216" w:rsidP="00B21F56">
            <w:pPr>
              <w:spacing w:line="240" w:lineRule="auto"/>
              <w:jc w:val="right"/>
              <w:rPr>
                <w:color w:val="000000"/>
                <w:sz w:val="22"/>
                <w:szCs w:val="22"/>
              </w:rPr>
            </w:pPr>
            <w:r w:rsidRPr="00B61B00">
              <w:rPr>
                <w:color w:val="000000"/>
                <w:sz w:val="22"/>
                <w:szCs w:val="22"/>
              </w:rPr>
              <w:t>3%</w:t>
            </w:r>
          </w:p>
        </w:tc>
        <w:tc>
          <w:tcPr>
            <w:tcW w:w="1350"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3%</w:t>
            </w:r>
          </w:p>
        </w:tc>
        <w:tc>
          <w:tcPr>
            <w:tcW w:w="1627" w:type="dxa"/>
            <w:shd w:val="clear" w:color="auto" w:fill="auto"/>
            <w:noWrap/>
            <w:tcMar>
              <w:top w:w="14" w:type="dxa"/>
              <w:left w:w="72" w:type="dxa"/>
              <w:bottom w:w="14" w:type="dxa"/>
              <w:right w:w="144" w:type="dxa"/>
            </w:tcMar>
            <w:vAlign w:val="bottom"/>
            <w:hideMark/>
          </w:tcPr>
          <w:p w:rsidR="00FE1216" w:rsidRPr="003C0CA3" w:rsidRDefault="00FE1216" w:rsidP="00B21F56">
            <w:pPr>
              <w:spacing w:line="240" w:lineRule="auto"/>
              <w:jc w:val="right"/>
              <w:rPr>
                <w:color w:val="000000"/>
                <w:sz w:val="22"/>
                <w:szCs w:val="22"/>
              </w:rPr>
            </w:pPr>
            <w:r w:rsidRPr="003C0CA3">
              <w:rPr>
                <w:color w:val="000000"/>
                <w:sz w:val="22"/>
                <w:szCs w:val="22"/>
              </w:rPr>
              <w:t>2%</w:t>
            </w:r>
          </w:p>
        </w:tc>
        <w:tc>
          <w:tcPr>
            <w:tcW w:w="1343"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16%</w:t>
            </w:r>
          </w:p>
        </w:tc>
      </w:tr>
      <w:tr w:rsidR="00C47EB3" w:rsidRPr="00B61B00" w:rsidTr="00582B9E">
        <w:trPr>
          <w:trHeight w:val="300"/>
        </w:trPr>
        <w:tc>
          <w:tcPr>
            <w:tcW w:w="1890" w:type="dxa"/>
            <w:shd w:val="clear" w:color="auto" w:fill="auto"/>
            <w:noWrap/>
            <w:tcMar>
              <w:top w:w="14" w:type="dxa"/>
              <w:left w:w="115" w:type="dxa"/>
              <w:bottom w:w="14" w:type="dxa"/>
              <w:right w:w="115" w:type="dxa"/>
            </w:tcMar>
            <w:vAlign w:val="bottom"/>
            <w:hideMark/>
          </w:tcPr>
          <w:p w:rsidR="00FE1216" w:rsidRPr="00C47EB3" w:rsidRDefault="00FE1216" w:rsidP="00C47EB3">
            <w:pPr>
              <w:spacing w:line="240" w:lineRule="auto"/>
              <w:ind w:left="162"/>
              <w:rPr>
                <w:rFonts w:ascii="Arial Narrow" w:hAnsi="Arial Narrow"/>
                <w:b/>
                <w:color w:val="000000"/>
                <w:sz w:val="22"/>
                <w:szCs w:val="22"/>
              </w:rPr>
            </w:pPr>
            <w:r w:rsidRPr="00C47EB3">
              <w:rPr>
                <w:rFonts w:ascii="Arial Narrow" w:hAnsi="Arial Narrow"/>
                <w:b/>
                <w:color w:val="000000"/>
                <w:sz w:val="22"/>
                <w:szCs w:val="22"/>
              </w:rPr>
              <w:t>Other</w:t>
            </w:r>
          </w:p>
        </w:tc>
        <w:tc>
          <w:tcPr>
            <w:tcW w:w="1440"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1%</w:t>
            </w:r>
          </w:p>
        </w:tc>
        <w:tc>
          <w:tcPr>
            <w:tcW w:w="1350" w:type="dxa"/>
            <w:tcMar>
              <w:top w:w="14" w:type="dxa"/>
              <w:left w:w="72" w:type="dxa"/>
              <w:bottom w:w="14" w:type="dxa"/>
              <w:right w:w="144" w:type="dxa"/>
            </w:tcMar>
          </w:tcPr>
          <w:p w:rsidR="00FE1216" w:rsidRPr="00B61B00" w:rsidRDefault="00FE1216" w:rsidP="00B21F56">
            <w:pPr>
              <w:spacing w:line="240" w:lineRule="auto"/>
              <w:jc w:val="right"/>
              <w:rPr>
                <w:color w:val="000000"/>
                <w:sz w:val="22"/>
                <w:szCs w:val="22"/>
              </w:rPr>
            </w:pPr>
            <w:r w:rsidRPr="00B61B00">
              <w:rPr>
                <w:color w:val="000000"/>
                <w:sz w:val="22"/>
                <w:szCs w:val="22"/>
              </w:rPr>
              <w:t>1%</w:t>
            </w:r>
          </w:p>
        </w:tc>
        <w:tc>
          <w:tcPr>
            <w:tcW w:w="1350"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0%</w:t>
            </w:r>
          </w:p>
        </w:tc>
        <w:tc>
          <w:tcPr>
            <w:tcW w:w="1627" w:type="dxa"/>
            <w:shd w:val="clear" w:color="auto" w:fill="auto"/>
            <w:noWrap/>
            <w:tcMar>
              <w:top w:w="14" w:type="dxa"/>
              <w:left w:w="72" w:type="dxa"/>
              <w:bottom w:w="14" w:type="dxa"/>
              <w:right w:w="144" w:type="dxa"/>
            </w:tcMar>
            <w:vAlign w:val="bottom"/>
            <w:hideMark/>
          </w:tcPr>
          <w:p w:rsidR="00FE1216" w:rsidRPr="003C0CA3" w:rsidRDefault="00FE1216" w:rsidP="00B21F56">
            <w:pPr>
              <w:spacing w:line="240" w:lineRule="auto"/>
              <w:jc w:val="right"/>
              <w:rPr>
                <w:color w:val="000000"/>
                <w:sz w:val="22"/>
                <w:szCs w:val="22"/>
              </w:rPr>
            </w:pPr>
            <w:r w:rsidRPr="003C0CA3">
              <w:rPr>
                <w:color w:val="000000"/>
                <w:sz w:val="22"/>
                <w:szCs w:val="22"/>
              </w:rPr>
              <w:t>1%</w:t>
            </w:r>
          </w:p>
        </w:tc>
        <w:tc>
          <w:tcPr>
            <w:tcW w:w="1343"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3%</w:t>
            </w:r>
          </w:p>
        </w:tc>
      </w:tr>
      <w:tr w:rsidR="00C47EB3" w:rsidRPr="00B61B00" w:rsidTr="00582B9E">
        <w:trPr>
          <w:trHeight w:val="300"/>
        </w:trPr>
        <w:tc>
          <w:tcPr>
            <w:tcW w:w="1890" w:type="dxa"/>
            <w:shd w:val="clear" w:color="auto" w:fill="auto"/>
            <w:noWrap/>
            <w:tcMar>
              <w:top w:w="14" w:type="dxa"/>
              <w:left w:w="115" w:type="dxa"/>
              <w:bottom w:w="14" w:type="dxa"/>
              <w:right w:w="115" w:type="dxa"/>
            </w:tcMar>
            <w:vAlign w:val="bottom"/>
            <w:hideMark/>
          </w:tcPr>
          <w:p w:rsidR="00FE1216" w:rsidRPr="00C47EB3" w:rsidRDefault="00FE1216" w:rsidP="00C47EB3">
            <w:pPr>
              <w:spacing w:line="240" w:lineRule="auto"/>
              <w:ind w:left="162"/>
              <w:rPr>
                <w:rFonts w:ascii="Arial Narrow" w:hAnsi="Arial Narrow"/>
                <w:b/>
                <w:color w:val="000000"/>
                <w:sz w:val="22"/>
                <w:szCs w:val="22"/>
              </w:rPr>
            </w:pPr>
            <w:r w:rsidRPr="00C47EB3">
              <w:rPr>
                <w:rFonts w:ascii="Arial Narrow" w:hAnsi="Arial Narrow"/>
                <w:b/>
                <w:color w:val="000000"/>
                <w:sz w:val="22"/>
                <w:szCs w:val="22"/>
              </w:rPr>
              <w:t>White</w:t>
            </w:r>
          </w:p>
        </w:tc>
        <w:tc>
          <w:tcPr>
            <w:tcW w:w="1440"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93%</w:t>
            </w:r>
          </w:p>
        </w:tc>
        <w:tc>
          <w:tcPr>
            <w:tcW w:w="1350" w:type="dxa"/>
            <w:tcMar>
              <w:top w:w="14" w:type="dxa"/>
              <w:left w:w="72" w:type="dxa"/>
              <w:bottom w:w="14" w:type="dxa"/>
              <w:right w:w="144" w:type="dxa"/>
            </w:tcMar>
          </w:tcPr>
          <w:p w:rsidR="00FE1216" w:rsidRPr="00B61B00" w:rsidRDefault="00FE1216" w:rsidP="00B21F56">
            <w:pPr>
              <w:spacing w:line="240" w:lineRule="auto"/>
              <w:jc w:val="right"/>
              <w:rPr>
                <w:color w:val="000000"/>
                <w:sz w:val="22"/>
                <w:szCs w:val="22"/>
              </w:rPr>
            </w:pPr>
            <w:r w:rsidRPr="00B61B00">
              <w:rPr>
                <w:color w:val="000000"/>
                <w:sz w:val="22"/>
                <w:szCs w:val="22"/>
              </w:rPr>
              <w:t>90%</w:t>
            </w:r>
          </w:p>
        </w:tc>
        <w:tc>
          <w:tcPr>
            <w:tcW w:w="1350"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91%</w:t>
            </w:r>
          </w:p>
        </w:tc>
        <w:tc>
          <w:tcPr>
            <w:tcW w:w="1627" w:type="dxa"/>
            <w:shd w:val="clear" w:color="auto" w:fill="auto"/>
            <w:noWrap/>
            <w:tcMar>
              <w:top w:w="14" w:type="dxa"/>
              <w:left w:w="72" w:type="dxa"/>
              <w:bottom w:w="14" w:type="dxa"/>
              <w:right w:w="144" w:type="dxa"/>
            </w:tcMar>
            <w:vAlign w:val="bottom"/>
            <w:hideMark/>
          </w:tcPr>
          <w:p w:rsidR="00FE1216" w:rsidRPr="003C0CA3" w:rsidRDefault="00FE1216" w:rsidP="00B21F56">
            <w:pPr>
              <w:spacing w:line="240" w:lineRule="auto"/>
              <w:jc w:val="right"/>
              <w:rPr>
                <w:color w:val="000000"/>
                <w:sz w:val="22"/>
                <w:szCs w:val="22"/>
              </w:rPr>
            </w:pPr>
            <w:r w:rsidRPr="003C0CA3">
              <w:rPr>
                <w:color w:val="000000"/>
                <w:sz w:val="22"/>
                <w:szCs w:val="22"/>
              </w:rPr>
              <w:t>95%</w:t>
            </w:r>
          </w:p>
        </w:tc>
        <w:tc>
          <w:tcPr>
            <w:tcW w:w="1343" w:type="dxa"/>
            <w:shd w:val="clear" w:color="auto" w:fill="auto"/>
            <w:noWrap/>
            <w:tcMar>
              <w:top w:w="14" w:type="dxa"/>
              <w:left w:w="72" w:type="dxa"/>
              <w:bottom w:w="14" w:type="dxa"/>
              <w:right w:w="144" w:type="dxa"/>
            </w:tcMar>
            <w:vAlign w:val="bottom"/>
            <w:hideMark/>
          </w:tcPr>
          <w:p w:rsidR="00FE1216" w:rsidRPr="00B61B00" w:rsidRDefault="00FE1216" w:rsidP="00B21F56">
            <w:pPr>
              <w:spacing w:line="240" w:lineRule="auto"/>
              <w:jc w:val="right"/>
              <w:rPr>
                <w:color w:val="000000"/>
                <w:sz w:val="22"/>
                <w:szCs w:val="22"/>
              </w:rPr>
            </w:pPr>
            <w:r w:rsidRPr="00B61B00">
              <w:rPr>
                <w:color w:val="000000"/>
                <w:sz w:val="22"/>
                <w:szCs w:val="22"/>
              </w:rPr>
              <w:t>66%</w:t>
            </w:r>
          </w:p>
        </w:tc>
      </w:tr>
    </w:tbl>
    <w:p w:rsidR="00AF0685" w:rsidRDefault="00AF0685" w:rsidP="00AF0685"/>
    <w:p w:rsidR="00AF0685" w:rsidRDefault="00DA138A" w:rsidP="0040232F">
      <w:pPr>
        <w:spacing w:line="240" w:lineRule="auto"/>
        <w:rPr>
          <w:rFonts w:ascii="Times New Roman" w:hAnsi="Times New Roman"/>
        </w:rPr>
      </w:pPr>
      <w:r>
        <w:rPr>
          <w:rFonts w:ascii="Times New Roman" w:hAnsi="Times New Roman"/>
        </w:rPr>
        <w:t>As expected</w:t>
      </w:r>
      <w:r w:rsidR="006B6AE0" w:rsidRPr="0040232F">
        <w:rPr>
          <w:rFonts w:ascii="Times New Roman" w:hAnsi="Times New Roman"/>
        </w:rPr>
        <w:t xml:space="preserve">, new teachers </w:t>
      </w:r>
      <w:r>
        <w:rPr>
          <w:rFonts w:ascii="Times New Roman" w:hAnsi="Times New Roman"/>
        </w:rPr>
        <w:t>tend to be</w:t>
      </w:r>
      <w:r w:rsidRPr="0040232F">
        <w:rPr>
          <w:rFonts w:ascii="Times New Roman" w:hAnsi="Times New Roman"/>
        </w:rPr>
        <w:t xml:space="preserve"> </w:t>
      </w:r>
      <w:r w:rsidR="006B6AE0" w:rsidRPr="0040232F">
        <w:rPr>
          <w:rFonts w:ascii="Times New Roman" w:hAnsi="Times New Roman"/>
        </w:rPr>
        <w:t xml:space="preserve">younger than experienced teachers and the rest of the educator workforce. The </w:t>
      </w:r>
      <w:r w:rsidR="00334E02" w:rsidRPr="0040232F">
        <w:rPr>
          <w:rFonts w:ascii="Times New Roman" w:hAnsi="Times New Roman"/>
        </w:rPr>
        <w:t>median</w:t>
      </w:r>
      <w:r w:rsidR="006B6AE0" w:rsidRPr="0040232F">
        <w:rPr>
          <w:rFonts w:ascii="Times New Roman" w:hAnsi="Times New Roman"/>
        </w:rPr>
        <w:t xml:space="preserve"> age for new teachers is </w:t>
      </w:r>
      <w:r w:rsidR="00334E02" w:rsidRPr="0040232F">
        <w:rPr>
          <w:rFonts w:ascii="Times New Roman" w:hAnsi="Times New Roman"/>
        </w:rPr>
        <w:t>28</w:t>
      </w:r>
      <w:r w:rsidR="00E15E7F">
        <w:rPr>
          <w:rFonts w:ascii="Times New Roman" w:hAnsi="Times New Roman"/>
        </w:rPr>
        <w:t>.</w:t>
      </w:r>
      <w:r w:rsidR="006B6AE0" w:rsidRPr="0040232F">
        <w:rPr>
          <w:rFonts w:ascii="Times New Roman" w:hAnsi="Times New Roman"/>
        </w:rPr>
        <w:t xml:space="preserve"> </w:t>
      </w:r>
      <w:r>
        <w:rPr>
          <w:rFonts w:ascii="Times New Roman" w:hAnsi="Times New Roman"/>
        </w:rPr>
        <w:t xml:space="preserve">Of all new teachers, </w:t>
      </w:r>
      <w:r w:rsidR="006B6AE0" w:rsidRPr="0040232F">
        <w:rPr>
          <w:rFonts w:ascii="Times New Roman" w:hAnsi="Times New Roman"/>
        </w:rPr>
        <w:t xml:space="preserve">36 percent </w:t>
      </w:r>
      <w:r>
        <w:rPr>
          <w:rFonts w:ascii="Times New Roman" w:hAnsi="Times New Roman"/>
        </w:rPr>
        <w:t xml:space="preserve">are </w:t>
      </w:r>
      <w:r w:rsidR="006B6AE0" w:rsidRPr="0040232F">
        <w:rPr>
          <w:rFonts w:ascii="Times New Roman" w:hAnsi="Times New Roman"/>
        </w:rPr>
        <w:t xml:space="preserve">25 </w:t>
      </w:r>
      <w:r>
        <w:rPr>
          <w:rFonts w:ascii="Times New Roman" w:hAnsi="Times New Roman"/>
        </w:rPr>
        <w:t xml:space="preserve">years old </w:t>
      </w:r>
      <w:r w:rsidR="006B6AE0" w:rsidRPr="0040232F">
        <w:rPr>
          <w:rFonts w:ascii="Times New Roman" w:hAnsi="Times New Roman"/>
        </w:rPr>
        <w:t>or younger, 33 percent</w:t>
      </w:r>
      <w:r>
        <w:rPr>
          <w:rFonts w:ascii="Times New Roman" w:hAnsi="Times New Roman"/>
        </w:rPr>
        <w:t xml:space="preserve"> are</w:t>
      </w:r>
      <w:r w:rsidR="006B6AE0" w:rsidRPr="0040232F">
        <w:rPr>
          <w:rFonts w:ascii="Times New Roman" w:hAnsi="Times New Roman"/>
        </w:rPr>
        <w:t xml:space="preserve"> between 26 and 32 </w:t>
      </w:r>
      <w:r>
        <w:rPr>
          <w:rFonts w:ascii="Times New Roman" w:hAnsi="Times New Roman"/>
        </w:rPr>
        <w:t xml:space="preserve">years old, </w:t>
      </w:r>
      <w:r w:rsidR="006B6AE0" w:rsidRPr="0040232F">
        <w:rPr>
          <w:rFonts w:ascii="Times New Roman" w:hAnsi="Times New Roman"/>
        </w:rPr>
        <w:t xml:space="preserve">and 13 percent </w:t>
      </w:r>
      <w:r>
        <w:rPr>
          <w:rFonts w:ascii="Times New Roman" w:hAnsi="Times New Roman"/>
        </w:rPr>
        <w:t xml:space="preserve">are </w:t>
      </w:r>
      <w:r w:rsidR="006B6AE0" w:rsidRPr="0040232F">
        <w:rPr>
          <w:rFonts w:ascii="Times New Roman" w:hAnsi="Times New Roman"/>
        </w:rPr>
        <w:t>between 33 and 40</w:t>
      </w:r>
      <w:r>
        <w:rPr>
          <w:rFonts w:ascii="Times New Roman" w:hAnsi="Times New Roman"/>
        </w:rPr>
        <w:t xml:space="preserve"> years old</w:t>
      </w:r>
      <w:r w:rsidR="006B6AE0" w:rsidRPr="0040232F">
        <w:rPr>
          <w:rFonts w:ascii="Times New Roman" w:hAnsi="Times New Roman"/>
        </w:rPr>
        <w:t>. The remaining 1</w:t>
      </w:r>
      <w:r w:rsidR="00770C24" w:rsidRPr="0040232F">
        <w:rPr>
          <w:rFonts w:ascii="Times New Roman" w:hAnsi="Times New Roman"/>
        </w:rPr>
        <w:t>8</w:t>
      </w:r>
      <w:r w:rsidR="006B6AE0" w:rsidRPr="0040232F">
        <w:rPr>
          <w:rFonts w:ascii="Times New Roman" w:hAnsi="Times New Roman"/>
        </w:rPr>
        <w:t xml:space="preserve"> percent are over 40 years old.</w:t>
      </w:r>
      <w:r w:rsidR="00D417AD" w:rsidRPr="0040232F">
        <w:rPr>
          <w:rFonts w:ascii="Times New Roman" w:hAnsi="Times New Roman"/>
        </w:rPr>
        <w:t xml:space="preserve"> The average age </w:t>
      </w:r>
      <w:r>
        <w:rPr>
          <w:rFonts w:ascii="Times New Roman" w:hAnsi="Times New Roman"/>
        </w:rPr>
        <w:t>for</w:t>
      </w:r>
      <w:r w:rsidRPr="0040232F">
        <w:rPr>
          <w:rFonts w:ascii="Times New Roman" w:hAnsi="Times New Roman"/>
        </w:rPr>
        <w:t xml:space="preserve"> </w:t>
      </w:r>
      <w:r w:rsidR="006B0F04" w:rsidRPr="0040232F">
        <w:rPr>
          <w:rFonts w:ascii="Times New Roman" w:hAnsi="Times New Roman"/>
        </w:rPr>
        <w:t>experienced</w:t>
      </w:r>
      <w:r w:rsidR="007E11D6" w:rsidRPr="0040232F">
        <w:rPr>
          <w:rFonts w:ascii="Times New Roman" w:hAnsi="Times New Roman"/>
        </w:rPr>
        <w:t xml:space="preserve"> teachers</w:t>
      </w:r>
      <w:r w:rsidR="00D417AD" w:rsidRPr="0040232F">
        <w:rPr>
          <w:rFonts w:ascii="Times New Roman" w:hAnsi="Times New Roman"/>
        </w:rPr>
        <w:t xml:space="preserve"> is 43.5, and the average ages for principals and superintendents are 49.2 and 55.</w:t>
      </w:r>
      <w:r w:rsidR="00E15E7F">
        <w:rPr>
          <w:rFonts w:ascii="Times New Roman" w:hAnsi="Times New Roman"/>
        </w:rPr>
        <w:t>4</w:t>
      </w:r>
      <w:r w:rsidR="00D417AD" w:rsidRPr="0040232F">
        <w:rPr>
          <w:rFonts w:ascii="Times New Roman" w:hAnsi="Times New Roman"/>
        </w:rPr>
        <w:t xml:space="preserve">, respectively. </w:t>
      </w:r>
      <w:r w:rsidR="00E15E7F">
        <w:rPr>
          <w:rFonts w:ascii="Times New Roman" w:hAnsi="Times New Roman"/>
        </w:rPr>
        <w:t>V</w:t>
      </w:r>
      <w:r w:rsidR="00D417AD" w:rsidRPr="0040232F">
        <w:rPr>
          <w:rFonts w:ascii="Times New Roman" w:hAnsi="Times New Roman"/>
        </w:rPr>
        <w:t xml:space="preserve">ery few </w:t>
      </w:r>
      <w:r w:rsidR="00E15E7F">
        <w:rPr>
          <w:rFonts w:ascii="Times New Roman" w:hAnsi="Times New Roman"/>
        </w:rPr>
        <w:t xml:space="preserve">teachers </w:t>
      </w:r>
      <w:r w:rsidR="00D417AD" w:rsidRPr="0040232F">
        <w:rPr>
          <w:rFonts w:ascii="Times New Roman" w:hAnsi="Times New Roman"/>
        </w:rPr>
        <w:t xml:space="preserve">teach beyond age 65, </w:t>
      </w:r>
      <w:r w:rsidR="00B05308" w:rsidRPr="0040232F">
        <w:rPr>
          <w:rFonts w:ascii="Times New Roman" w:hAnsi="Times New Roman"/>
        </w:rPr>
        <w:t xml:space="preserve">the age at which </w:t>
      </w:r>
      <w:r w:rsidR="006B7D8D">
        <w:rPr>
          <w:rFonts w:ascii="Times New Roman" w:hAnsi="Times New Roman"/>
        </w:rPr>
        <w:t>one is eligible for</w:t>
      </w:r>
      <w:r w:rsidR="008A76E6" w:rsidRPr="0040232F">
        <w:rPr>
          <w:rFonts w:ascii="Times New Roman" w:hAnsi="Times New Roman"/>
        </w:rPr>
        <w:t xml:space="preserve"> full social security benefits</w:t>
      </w:r>
      <w:r w:rsidR="00D417AD" w:rsidRPr="0040232F">
        <w:rPr>
          <w:rFonts w:ascii="Times New Roman" w:hAnsi="Times New Roman"/>
        </w:rPr>
        <w:t>. Principals have the highest proportion of individuals in the 41-</w:t>
      </w:r>
      <w:r w:rsidR="00934AC2" w:rsidRPr="0040232F">
        <w:rPr>
          <w:rFonts w:ascii="Times New Roman" w:hAnsi="Times New Roman"/>
        </w:rPr>
        <w:t>4</w:t>
      </w:r>
      <w:r w:rsidR="00934AC2">
        <w:rPr>
          <w:rFonts w:ascii="Times New Roman" w:hAnsi="Times New Roman"/>
        </w:rPr>
        <w:t>8</w:t>
      </w:r>
      <w:r w:rsidR="00934AC2" w:rsidRPr="0040232F">
        <w:rPr>
          <w:rFonts w:ascii="Times New Roman" w:hAnsi="Times New Roman"/>
        </w:rPr>
        <w:t xml:space="preserve"> </w:t>
      </w:r>
      <w:r w:rsidR="00D417AD" w:rsidRPr="0040232F">
        <w:rPr>
          <w:rFonts w:ascii="Times New Roman" w:hAnsi="Times New Roman"/>
        </w:rPr>
        <w:t>years age group (2</w:t>
      </w:r>
      <w:r w:rsidR="00934AC2">
        <w:rPr>
          <w:rFonts w:ascii="Times New Roman" w:hAnsi="Times New Roman"/>
        </w:rPr>
        <w:t>8</w:t>
      </w:r>
      <w:r w:rsidR="00D417AD" w:rsidRPr="0040232F">
        <w:rPr>
          <w:rFonts w:ascii="Times New Roman" w:hAnsi="Times New Roman"/>
        </w:rPr>
        <w:t xml:space="preserve"> percent). Superintendents are generally older than the other </w:t>
      </w:r>
      <w:r w:rsidR="006B7D8D">
        <w:rPr>
          <w:rFonts w:ascii="Times New Roman" w:hAnsi="Times New Roman"/>
        </w:rPr>
        <w:t xml:space="preserve">educator </w:t>
      </w:r>
      <w:r w:rsidR="00D417AD" w:rsidRPr="0040232F">
        <w:rPr>
          <w:rFonts w:ascii="Times New Roman" w:hAnsi="Times New Roman"/>
        </w:rPr>
        <w:t>groups. About 5</w:t>
      </w:r>
      <w:r w:rsidR="00934AC2">
        <w:rPr>
          <w:rFonts w:ascii="Times New Roman" w:hAnsi="Times New Roman"/>
        </w:rPr>
        <w:t>4</w:t>
      </w:r>
      <w:r w:rsidR="00D417AD" w:rsidRPr="0040232F">
        <w:rPr>
          <w:rFonts w:ascii="Times New Roman" w:hAnsi="Times New Roman"/>
        </w:rPr>
        <w:t xml:space="preserve"> percent of superintendents are age 57 or above and 1</w:t>
      </w:r>
      <w:r w:rsidR="00934AC2">
        <w:rPr>
          <w:rFonts w:ascii="Times New Roman" w:hAnsi="Times New Roman"/>
        </w:rPr>
        <w:t>4</w:t>
      </w:r>
      <w:r w:rsidR="00D417AD" w:rsidRPr="0040232F">
        <w:rPr>
          <w:rFonts w:ascii="Times New Roman" w:hAnsi="Times New Roman"/>
        </w:rPr>
        <w:t xml:space="preserve"> percent are age 65 or above</w:t>
      </w:r>
      <w:r w:rsidR="005C781F" w:rsidRPr="0040232F">
        <w:rPr>
          <w:rFonts w:ascii="Times New Roman" w:hAnsi="Times New Roman"/>
        </w:rPr>
        <w:t xml:space="preserve"> (</w:t>
      </w:r>
      <w:r w:rsidR="00F93575">
        <w:rPr>
          <w:rFonts w:ascii="Times New Roman" w:hAnsi="Times New Roman"/>
        </w:rPr>
        <w:t>S</w:t>
      </w:r>
      <w:r w:rsidR="005C781F" w:rsidRPr="0040232F">
        <w:rPr>
          <w:rFonts w:ascii="Times New Roman" w:hAnsi="Times New Roman"/>
        </w:rPr>
        <w:t>ee Chart 1.1)</w:t>
      </w:r>
      <w:r w:rsidR="00DF4EBC" w:rsidRPr="0040232F">
        <w:rPr>
          <w:rFonts w:ascii="Times New Roman" w:hAnsi="Times New Roman"/>
        </w:rPr>
        <w:t xml:space="preserve">. </w:t>
      </w:r>
    </w:p>
    <w:p w:rsidR="00446709" w:rsidRPr="0040232F" w:rsidRDefault="00446709" w:rsidP="0040232F">
      <w:pPr>
        <w:spacing w:line="240" w:lineRule="auto"/>
        <w:rPr>
          <w:rFonts w:ascii="Times New Roman" w:hAnsi="Times New Roman"/>
        </w:rPr>
      </w:pPr>
    </w:p>
    <w:p w:rsidR="00AF0685" w:rsidRPr="00446709" w:rsidRDefault="00AF0685" w:rsidP="00446709">
      <w:pPr>
        <w:pStyle w:val="Heading2"/>
        <w:spacing w:line="240" w:lineRule="auto"/>
        <w:rPr>
          <w:i w:val="0"/>
          <w:sz w:val="21"/>
          <w:szCs w:val="21"/>
        </w:rPr>
      </w:pPr>
      <w:r w:rsidRPr="00446709">
        <w:rPr>
          <w:i w:val="0"/>
          <w:sz w:val="21"/>
          <w:szCs w:val="21"/>
        </w:rPr>
        <w:t>Chart 1.1 Age Distribution of Massachusetts Educators, 2012-2013</w:t>
      </w:r>
    </w:p>
    <w:p w:rsidR="00AF0685" w:rsidRDefault="00433E5F" w:rsidP="00AF0685">
      <w:r w:rsidRPr="00433E5F">
        <w:rPr>
          <w:noProof/>
          <w:lang w:eastAsia="zh-CN" w:bidi="km-KH"/>
        </w:rPr>
        <w:drawing>
          <wp:inline distT="0" distB="0" distL="0" distR="0">
            <wp:extent cx="5029200" cy="3409950"/>
            <wp:effectExtent l="19050" t="0" r="19050" b="0"/>
            <wp:docPr id="14" name="Chart 1" descr="Chart 1.1 Age Distribution of Massachusetts Educators, 2012-2013&#10;&#10;Teachers (%):&#10;&#10;25 and younger 3.76&#10;26 - 32 18.71&#10;33 - 40 20.99&#10;41 - 48 20.54&#10;49 - 56 18.63&#10;57 - 64 15.23&#10;65 and older 2.14&#10;&#10;Principals:&#10;25 and younger 0.00&#10;26 - 32 2.06&#10;33 - 40 18.07&#10;41 - 48 28.32&#10;49 - 56 25.18&#10;57 - 64 22.71&#10;65 and older 3.66&#10;&#10;&#10;Superintendents: &#10;25 and younger 0.00&#10;26 - 32 0.61&#10;33 - 40 6.36&#10;41 - 48 16.67&#10;49 - 56 22.73&#10;57 - 64 40.00&#10;65 and older 13.64&#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0685" w:rsidRDefault="00AF0685" w:rsidP="00380434">
      <w:pPr>
        <w:spacing w:line="240" w:lineRule="auto"/>
      </w:pPr>
    </w:p>
    <w:p w:rsidR="00997102" w:rsidRDefault="00997102" w:rsidP="00380434">
      <w:pPr>
        <w:spacing w:line="240" w:lineRule="auto"/>
      </w:pPr>
    </w:p>
    <w:p w:rsidR="002C3A06" w:rsidRPr="0013264B" w:rsidRDefault="002C3A06" w:rsidP="0013264B">
      <w:pPr>
        <w:pStyle w:val="Heading2"/>
      </w:pPr>
      <w:bookmarkStart w:id="5" w:name="_Toc374114881"/>
      <w:r w:rsidRPr="0013264B">
        <w:t>New Teacher Hiring and Years of Service</w:t>
      </w:r>
      <w:bookmarkEnd w:id="5"/>
    </w:p>
    <w:p w:rsidR="00871167" w:rsidRPr="0040232F" w:rsidRDefault="00871167" w:rsidP="0040232F">
      <w:pPr>
        <w:spacing w:line="240" w:lineRule="auto"/>
        <w:rPr>
          <w:rFonts w:ascii="Times New Roman" w:hAnsi="Times New Roman"/>
        </w:rPr>
      </w:pPr>
      <w:r w:rsidRPr="0040232F">
        <w:rPr>
          <w:rFonts w:ascii="Times New Roman" w:hAnsi="Times New Roman"/>
        </w:rPr>
        <w:t>All Massachusetts districts and schools with sufficient data are classified into one of five accountability and assistance levels</w:t>
      </w:r>
      <w:r w:rsidR="008E64B1">
        <w:rPr>
          <w:rFonts w:ascii="Times New Roman" w:hAnsi="Times New Roman"/>
        </w:rPr>
        <w:t>;</w:t>
      </w:r>
      <w:r w:rsidRPr="0040232F">
        <w:rPr>
          <w:rFonts w:ascii="Times New Roman" w:hAnsi="Times New Roman"/>
        </w:rPr>
        <w:t xml:space="preserve"> the highest performing </w:t>
      </w:r>
      <w:r w:rsidR="008E64B1">
        <w:rPr>
          <w:rFonts w:ascii="Times New Roman" w:hAnsi="Times New Roman"/>
        </w:rPr>
        <w:t>districts and school</w:t>
      </w:r>
      <w:r w:rsidR="00B41339">
        <w:rPr>
          <w:rFonts w:ascii="Times New Roman" w:hAnsi="Times New Roman"/>
        </w:rPr>
        <w:t>s</w:t>
      </w:r>
      <w:r w:rsidR="008E64B1">
        <w:rPr>
          <w:rFonts w:ascii="Times New Roman" w:hAnsi="Times New Roman"/>
        </w:rPr>
        <w:t xml:space="preserve"> are placed </w:t>
      </w:r>
      <w:r w:rsidRPr="0040232F">
        <w:rPr>
          <w:rFonts w:ascii="Times New Roman" w:hAnsi="Times New Roman"/>
        </w:rPr>
        <w:t xml:space="preserve">in Level 1 and </w:t>
      </w:r>
      <w:r w:rsidR="008E64B1">
        <w:rPr>
          <w:rFonts w:ascii="Times New Roman" w:hAnsi="Times New Roman"/>
        </w:rPr>
        <w:t xml:space="preserve">the </w:t>
      </w:r>
      <w:r w:rsidRPr="0040232F">
        <w:rPr>
          <w:rFonts w:ascii="Times New Roman" w:hAnsi="Times New Roman"/>
        </w:rPr>
        <w:t xml:space="preserve">lowest performing </w:t>
      </w:r>
      <w:r w:rsidR="008E64B1">
        <w:rPr>
          <w:rFonts w:ascii="Times New Roman" w:hAnsi="Times New Roman"/>
        </w:rPr>
        <w:t xml:space="preserve">are placed </w:t>
      </w:r>
      <w:r w:rsidRPr="0040232F">
        <w:rPr>
          <w:rFonts w:ascii="Times New Roman" w:hAnsi="Times New Roman"/>
        </w:rPr>
        <w:t>in Level 5.</w:t>
      </w:r>
      <w:r w:rsidRPr="0040232F">
        <w:rPr>
          <w:rStyle w:val="FootnoteReference"/>
          <w:rFonts w:ascii="Times New Roman" w:hAnsi="Times New Roman"/>
        </w:rPr>
        <w:footnoteReference w:id="5"/>
      </w:r>
      <w:r w:rsidRPr="0040232F">
        <w:rPr>
          <w:rFonts w:ascii="Times New Roman" w:hAnsi="Times New Roman"/>
        </w:rPr>
        <w:t xml:space="preserve"> A school’s accountability level drives the amount of support and intervention provided by ESE. Because of the additional attention </w:t>
      </w:r>
      <w:r w:rsidR="007661D4">
        <w:rPr>
          <w:rFonts w:ascii="Times New Roman" w:hAnsi="Times New Roman"/>
        </w:rPr>
        <w:t xml:space="preserve">that </w:t>
      </w:r>
      <w:r w:rsidRPr="0040232F">
        <w:rPr>
          <w:rFonts w:ascii="Times New Roman" w:hAnsi="Times New Roman"/>
        </w:rPr>
        <w:t xml:space="preserve">Level 3 and </w:t>
      </w:r>
      <w:r w:rsidR="00A85314">
        <w:rPr>
          <w:rFonts w:ascii="Times New Roman" w:hAnsi="Times New Roman"/>
        </w:rPr>
        <w:t xml:space="preserve">Level </w:t>
      </w:r>
      <w:r w:rsidRPr="0040232F">
        <w:rPr>
          <w:rFonts w:ascii="Times New Roman" w:hAnsi="Times New Roman"/>
        </w:rPr>
        <w:t>4 schools receive from ESE and the importance of closing the proficiency gap among students</w:t>
      </w:r>
      <w:r w:rsidR="007661D4">
        <w:rPr>
          <w:rFonts w:ascii="Times New Roman" w:hAnsi="Times New Roman"/>
        </w:rPr>
        <w:t xml:space="preserve"> with low incomes</w:t>
      </w:r>
      <w:r w:rsidRPr="0040232F">
        <w:rPr>
          <w:rFonts w:ascii="Times New Roman" w:hAnsi="Times New Roman"/>
        </w:rPr>
        <w:t>, we provide additional analyses in the remainder of the report by new teachers’ school accountability level and low-income enrollment.</w:t>
      </w:r>
    </w:p>
    <w:p w:rsidR="00871167" w:rsidRDefault="00871167" w:rsidP="0040232F">
      <w:pPr>
        <w:spacing w:line="240" w:lineRule="auto"/>
      </w:pPr>
    </w:p>
    <w:p w:rsidR="00997102" w:rsidRDefault="00997102" w:rsidP="0040232F">
      <w:pPr>
        <w:spacing w:line="240" w:lineRule="auto"/>
        <w:rPr>
          <w:rFonts w:ascii="Times New Roman" w:hAnsi="Times New Roman"/>
        </w:rPr>
      </w:pPr>
    </w:p>
    <w:p w:rsidR="00D475AB" w:rsidRDefault="00DF5010" w:rsidP="0040232F">
      <w:pPr>
        <w:spacing w:line="240" w:lineRule="auto"/>
        <w:rPr>
          <w:rFonts w:ascii="Times New Roman" w:hAnsi="Times New Roman"/>
        </w:rPr>
      </w:pPr>
      <w:r>
        <w:rPr>
          <w:rFonts w:ascii="Times New Roman" w:hAnsi="Times New Roman"/>
        </w:rPr>
        <w:t>The</w:t>
      </w:r>
      <w:r w:rsidR="002C3A06" w:rsidRPr="0040232F">
        <w:rPr>
          <w:rFonts w:ascii="Times New Roman" w:hAnsi="Times New Roman"/>
        </w:rPr>
        <w:t xml:space="preserve"> </w:t>
      </w:r>
      <w:r w:rsidR="002948B5" w:rsidRPr="0040232F">
        <w:rPr>
          <w:rFonts w:ascii="Times New Roman" w:hAnsi="Times New Roman"/>
        </w:rPr>
        <w:t>lowest performing</w:t>
      </w:r>
      <w:r w:rsidR="00141F7D" w:rsidRPr="0040232F">
        <w:rPr>
          <w:rFonts w:ascii="Times New Roman" w:hAnsi="Times New Roman"/>
        </w:rPr>
        <w:t xml:space="preserve"> schools</w:t>
      </w:r>
      <w:r w:rsidR="002C3A06" w:rsidRPr="0040232F">
        <w:rPr>
          <w:rFonts w:ascii="Times New Roman" w:hAnsi="Times New Roman"/>
        </w:rPr>
        <w:t xml:space="preserve"> in Massachusetts</w:t>
      </w:r>
      <w:r>
        <w:rPr>
          <w:rFonts w:ascii="Times New Roman" w:hAnsi="Times New Roman"/>
        </w:rPr>
        <w:t xml:space="preserve"> have the largest percentage of new teachers</w:t>
      </w:r>
      <w:r w:rsidR="002C3A06" w:rsidRPr="0040232F">
        <w:rPr>
          <w:rFonts w:ascii="Times New Roman" w:hAnsi="Times New Roman"/>
        </w:rPr>
        <w:t>.</w:t>
      </w:r>
      <w:r w:rsidR="00D2641B" w:rsidRPr="0040232F">
        <w:rPr>
          <w:rFonts w:ascii="Times New Roman" w:hAnsi="Times New Roman"/>
        </w:rPr>
        <w:t xml:space="preserve"> </w:t>
      </w:r>
      <w:r w:rsidR="002C3A06" w:rsidRPr="0040232F">
        <w:rPr>
          <w:rFonts w:ascii="Times New Roman" w:hAnsi="Times New Roman"/>
        </w:rPr>
        <w:t xml:space="preserve">As </w:t>
      </w:r>
      <w:r w:rsidR="002948B5" w:rsidRPr="0040232F">
        <w:rPr>
          <w:rFonts w:ascii="Times New Roman" w:hAnsi="Times New Roman"/>
        </w:rPr>
        <w:t xml:space="preserve">seen in </w:t>
      </w:r>
      <w:r w:rsidR="002C3A06" w:rsidRPr="0040232F">
        <w:rPr>
          <w:rFonts w:ascii="Times New Roman" w:hAnsi="Times New Roman"/>
        </w:rPr>
        <w:t xml:space="preserve">Table </w:t>
      </w:r>
      <w:r w:rsidR="007212AC" w:rsidRPr="0040232F">
        <w:rPr>
          <w:rFonts w:ascii="Times New Roman" w:hAnsi="Times New Roman"/>
        </w:rPr>
        <w:t>1</w:t>
      </w:r>
      <w:r w:rsidR="002C3A06" w:rsidRPr="0040232F">
        <w:rPr>
          <w:rFonts w:ascii="Times New Roman" w:hAnsi="Times New Roman"/>
        </w:rPr>
        <w:t>.</w:t>
      </w:r>
      <w:r w:rsidR="007212AC" w:rsidRPr="0040232F">
        <w:rPr>
          <w:rFonts w:ascii="Times New Roman" w:hAnsi="Times New Roman"/>
        </w:rPr>
        <w:t>2</w:t>
      </w:r>
      <w:r w:rsidR="002C3A06" w:rsidRPr="0040232F">
        <w:rPr>
          <w:rFonts w:ascii="Times New Roman" w:hAnsi="Times New Roman"/>
        </w:rPr>
        <w:t xml:space="preserve"> </w:t>
      </w:r>
      <w:r w:rsidR="002948B5" w:rsidRPr="0040232F">
        <w:rPr>
          <w:rFonts w:ascii="Times New Roman" w:hAnsi="Times New Roman"/>
        </w:rPr>
        <w:t>below</w:t>
      </w:r>
      <w:r w:rsidR="002C3A06" w:rsidRPr="0040232F">
        <w:rPr>
          <w:rFonts w:ascii="Times New Roman" w:hAnsi="Times New Roman"/>
        </w:rPr>
        <w:t>, Level 3</w:t>
      </w:r>
      <w:r>
        <w:rPr>
          <w:rFonts w:ascii="Times New Roman" w:hAnsi="Times New Roman"/>
        </w:rPr>
        <w:t xml:space="preserve">, Level </w:t>
      </w:r>
      <w:r w:rsidR="002C3A06" w:rsidRPr="0040232F">
        <w:rPr>
          <w:rFonts w:ascii="Times New Roman" w:hAnsi="Times New Roman"/>
        </w:rPr>
        <w:t>4</w:t>
      </w:r>
      <w:r>
        <w:rPr>
          <w:rFonts w:ascii="Times New Roman" w:hAnsi="Times New Roman"/>
        </w:rPr>
        <w:t xml:space="preserve">, </w:t>
      </w:r>
      <w:r w:rsidR="005855E8" w:rsidRPr="0040232F">
        <w:rPr>
          <w:rFonts w:ascii="Times New Roman" w:hAnsi="Times New Roman"/>
        </w:rPr>
        <w:t>and high</w:t>
      </w:r>
      <w:r>
        <w:rPr>
          <w:rFonts w:ascii="Times New Roman" w:hAnsi="Times New Roman"/>
        </w:rPr>
        <w:t>-</w:t>
      </w:r>
      <w:r w:rsidR="005855E8" w:rsidRPr="0040232F">
        <w:rPr>
          <w:rFonts w:ascii="Times New Roman" w:hAnsi="Times New Roman"/>
        </w:rPr>
        <w:t xml:space="preserve">poverty schools </w:t>
      </w:r>
      <w:r w:rsidR="002C3A06" w:rsidRPr="0040232F">
        <w:rPr>
          <w:rFonts w:ascii="Times New Roman" w:hAnsi="Times New Roman"/>
        </w:rPr>
        <w:t>employ a higher percent</w:t>
      </w:r>
      <w:r>
        <w:rPr>
          <w:rFonts w:ascii="Times New Roman" w:hAnsi="Times New Roman"/>
        </w:rPr>
        <w:t>age</w:t>
      </w:r>
      <w:r w:rsidR="002C3A06" w:rsidRPr="0040232F">
        <w:rPr>
          <w:rFonts w:ascii="Times New Roman" w:hAnsi="Times New Roman"/>
        </w:rPr>
        <w:t xml:space="preserve"> of new teachers</w:t>
      </w:r>
      <w:r w:rsidR="00C3511C" w:rsidRPr="0040232F">
        <w:rPr>
          <w:rFonts w:ascii="Times New Roman" w:hAnsi="Times New Roman"/>
        </w:rPr>
        <w:t>.</w:t>
      </w:r>
      <w:r w:rsidR="005F4122" w:rsidRPr="0040232F">
        <w:rPr>
          <w:rFonts w:ascii="Times New Roman" w:hAnsi="Times New Roman"/>
        </w:rPr>
        <w:t xml:space="preserve"> </w:t>
      </w:r>
      <w:r w:rsidR="00D475AB" w:rsidRPr="0040232F">
        <w:rPr>
          <w:rFonts w:ascii="Times New Roman" w:hAnsi="Times New Roman"/>
        </w:rPr>
        <w:t>Charter schools also employ a much higher percent</w:t>
      </w:r>
      <w:r>
        <w:rPr>
          <w:rFonts w:ascii="Times New Roman" w:hAnsi="Times New Roman"/>
        </w:rPr>
        <w:t>age</w:t>
      </w:r>
      <w:r w:rsidR="00D475AB" w:rsidRPr="0040232F">
        <w:rPr>
          <w:rFonts w:ascii="Times New Roman" w:hAnsi="Times New Roman"/>
        </w:rPr>
        <w:t xml:space="preserve"> of new teachers compared </w:t>
      </w:r>
      <w:r w:rsidR="00B41339">
        <w:rPr>
          <w:rFonts w:ascii="Times New Roman" w:hAnsi="Times New Roman"/>
        </w:rPr>
        <w:t>to</w:t>
      </w:r>
      <w:r w:rsidR="00B41339" w:rsidRPr="0040232F">
        <w:rPr>
          <w:rFonts w:ascii="Times New Roman" w:hAnsi="Times New Roman"/>
        </w:rPr>
        <w:t xml:space="preserve"> </w:t>
      </w:r>
      <w:r w:rsidR="00D475AB" w:rsidRPr="0040232F">
        <w:rPr>
          <w:rFonts w:ascii="Times New Roman" w:hAnsi="Times New Roman"/>
        </w:rPr>
        <w:t xml:space="preserve">non-charter public schools. </w:t>
      </w:r>
      <w:r w:rsidR="007A6056">
        <w:rPr>
          <w:rFonts w:ascii="Times New Roman" w:hAnsi="Times New Roman"/>
        </w:rPr>
        <w:t>L</w:t>
      </w:r>
      <w:r w:rsidR="007A6056" w:rsidRPr="0040232F">
        <w:rPr>
          <w:rFonts w:ascii="Times New Roman" w:hAnsi="Times New Roman"/>
        </w:rPr>
        <w:t xml:space="preserve">ater in the report </w:t>
      </w:r>
      <w:r w:rsidR="00D475AB" w:rsidRPr="0040232F">
        <w:rPr>
          <w:rFonts w:ascii="Times New Roman" w:hAnsi="Times New Roman"/>
        </w:rPr>
        <w:t xml:space="preserve">we dig deeper into the performance and retention of first-year charter school teachers. </w:t>
      </w:r>
    </w:p>
    <w:p w:rsidR="00DB7B53" w:rsidRPr="0040232F" w:rsidRDefault="00DB7B53" w:rsidP="0040232F">
      <w:pPr>
        <w:spacing w:line="240" w:lineRule="auto"/>
        <w:rPr>
          <w:rFonts w:ascii="Times New Roman" w:hAnsi="Times New Roman"/>
        </w:rPr>
      </w:pPr>
    </w:p>
    <w:p w:rsidR="002C3A06" w:rsidRPr="00446709" w:rsidRDefault="002C3A06" w:rsidP="00446709">
      <w:pPr>
        <w:pStyle w:val="Heading2"/>
        <w:spacing w:line="240" w:lineRule="auto"/>
        <w:rPr>
          <w:i w:val="0"/>
          <w:sz w:val="21"/>
          <w:szCs w:val="21"/>
        </w:rPr>
      </w:pPr>
      <w:r w:rsidRPr="00446709">
        <w:rPr>
          <w:i w:val="0"/>
          <w:sz w:val="21"/>
          <w:szCs w:val="21"/>
        </w:rPr>
        <w:t>T</w:t>
      </w:r>
      <w:r w:rsidR="00C42CE6" w:rsidRPr="00446709">
        <w:rPr>
          <w:i w:val="0"/>
          <w:sz w:val="21"/>
          <w:szCs w:val="21"/>
        </w:rPr>
        <w:t>able 1</w:t>
      </w:r>
      <w:r w:rsidRPr="00446709">
        <w:rPr>
          <w:i w:val="0"/>
          <w:sz w:val="21"/>
          <w:szCs w:val="21"/>
        </w:rPr>
        <w:t>.</w:t>
      </w:r>
      <w:r w:rsidR="00C42CE6" w:rsidRPr="00446709">
        <w:rPr>
          <w:i w:val="0"/>
          <w:sz w:val="21"/>
          <w:szCs w:val="21"/>
        </w:rPr>
        <w:t>2</w:t>
      </w:r>
      <w:r w:rsidRPr="00446709">
        <w:rPr>
          <w:i w:val="0"/>
          <w:sz w:val="21"/>
          <w:szCs w:val="21"/>
        </w:rPr>
        <w:t xml:space="preserve">: </w:t>
      </w:r>
      <w:r w:rsidR="007873CA">
        <w:rPr>
          <w:i w:val="0"/>
          <w:sz w:val="21"/>
          <w:szCs w:val="21"/>
        </w:rPr>
        <w:t>Percentage</w:t>
      </w:r>
      <w:r w:rsidR="007873CA" w:rsidRPr="00446709">
        <w:rPr>
          <w:i w:val="0"/>
          <w:sz w:val="21"/>
          <w:szCs w:val="21"/>
        </w:rPr>
        <w:t xml:space="preserve"> </w:t>
      </w:r>
      <w:r w:rsidRPr="00446709">
        <w:rPr>
          <w:i w:val="0"/>
          <w:sz w:val="21"/>
          <w:szCs w:val="21"/>
        </w:rPr>
        <w:t>of 2012-13 Teachers who are New Teachers, by School Characteristics</w:t>
      </w:r>
    </w:p>
    <w:tbl>
      <w:tblPr>
        <w:tblW w:w="46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
      <w:tblGrid>
        <w:gridCol w:w="2790"/>
        <w:gridCol w:w="1825"/>
      </w:tblGrid>
      <w:tr w:rsidR="002C3A06" w:rsidRPr="00380434" w:rsidTr="00380434">
        <w:trPr>
          <w:trHeight w:val="222"/>
        </w:trPr>
        <w:tc>
          <w:tcPr>
            <w:tcW w:w="2790" w:type="dxa"/>
            <w:tcBorders>
              <w:top w:val="single" w:sz="4" w:space="0" w:color="auto"/>
              <w:left w:val="single" w:sz="4" w:space="0" w:color="auto"/>
              <w:bottom w:val="single" w:sz="12" w:space="0" w:color="auto"/>
              <w:right w:val="single" w:sz="4" w:space="0" w:color="auto"/>
              <w:tl2br w:val="nil"/>
              <w:tr2bl w:val="nil"/>
            </w:tcBorders>
            <w:noWrap/>
            <w:tcMar>
              <w:top w:w="43" w:type="dxa"/>
              <w:bottom w:w="43" w:type="dxa"/>
            </w:tcMar>
            <w:vAlign w:val="center"/>
            <w:hideMark/>
          </w:tcPr>
          <w:p w:rsidR="002C3A06" w:rsidRPr="00380434" w:rsidRDefault="002C3A06" w:rsidP="0040232F">
            <w:pPr>
              <w:spacing w:line="240" w:lineRule="auto"/>
              <w:rPr>
                <w:rFonts w:ascii="Arial Narrow" w:hAnsi="Arial Narrow"/>
                <w:b/>
                <w:color w:val="000000"/>
                <w:sz w:val="21"/>
                <w:szCs w:val="21"/>
              </w:rPr>
            </w:pPr>
            <w:r w:rsidRPr="00380434">
              <w:rPr>
                <w:rFonts w:ascii="Arial Narrow" w:hAnsi="Arial Narrow"/>
                <w:b/>
                <w:color w:val="000000"/>
                <w:sz w:val="21"/>
                <w:szCs w:val="21"/>
              </w:rPr>
              <w:t>Statewide</w:t>
            </w:r>
          </w:p>
        </w:tc>
        <w:tc>
          <w:tcPr>
            <w:tcW w:w="1825" w:type="dxa"/>
            <w:tcBorders>
              <w:top w:val="single" w:sz="4" w:space="0" w:color="auto"/>
              <w:left w:val="single" w:sz="4" w:space="0" w:color="auto"/>
              <w:bottom w:val="single" w:sz="12" w:space="0" w:color="auto"/>
              <w:right w:val="single" w:sz="4" w:space="0" w:color="auto"/>
              <w:tl2br w:val="nil"/>
              <w:tr2bl w:val="nil"/>
            </w:tcBorders>
            <w:noWrap/>
            <w:tcMar>
              <w:top w:w="43" w:type="dxa"/>
              <w:bottom w:w="43" w:type="dxa"/>
            </w:tcMar>
            <w:vAlign w:val="center"/>
            <w:hideMark/>
          </w:tcPr>
          <w:p w:rsidR="002C3A06" w:rsidRPr="00380434" w:rsidRDefault="002C3A06" w:rsidP="0040232F">
            <w:pPr>
              <w:spacing w:line="240" w:lineRule="auto"/>
              <w:jc w:val="center"/>
              <w:rPr>
                <w:rFonts w:ascii="Arial Narrow" w:hAnsi="Arial Narrow"/>
                <w:b/>
                <w:color w:val="000000"/>
                <w:sz w:val="21"/>
                <w:szCs w:val="21"/>
              </w:rPr>
            </w:pPr>
            <w:r w:rsidRPr="00380434">
              <w:rPr>
                <w:rFonts w:ascii="Arial Narrow" w:hAnsi="Arial Narrow"/>
                <w:b/>
                <w:color w:val="000000"/>
                <w:sz w:val="21"/>
                <w:szCs w:val="21"/>
              </w:rPr>
              <w:t>7.1</w:t>
            </w:r>
          </w:p>
        </w:tc>
      </w:tr>
      <w:tr w:rsidR="002C3A06" w:rsidRPr="00380434" w:rsidTr="00380434">
        <w:trPr>
          <w:trHeight w:val="132"/>
        </w:trPr>
        <w:tc>
          <w:tcPr>
            <w:tcW w:w="4615" w:type="dxa"/>
            <w:gridSpan w:val="2"/>
            <w:shd w:val="clear" w:color="auto" w:fill="D9D9D9" w:themeFill="background1" w:themeFillShade="D9"/>
            <w:noWrap/>
            <w:tcMar>
              <w:top w:w="43" w:type="dxa"/>
              <w:bottom w:w="43" w:type="dxa"/>
            </w:tcMar>
            <w:vAlign w:val="center"/>
            <w:hideMark/>
          </w:tcPr>
          <w:p w:rsidR="002C3A06" w:rsidRPr="00380434" w:rsidRDefault="00D2641B" w:rsidP="0040232F">
            <w:pPr>
              <w:spacing w:line="240" w:lineRule="auto"/>
              <w:rPr>
                <w:rFonts w:ascii="Arial Narrow" w:hAnsi="Arial Narrow"/>
                <w:b/>
                <w:color w:val="000000"/>
                <w:sz w:val="21"/>
                <w:szCs w:val="21"/>
              </w:rPr>
            </w:pPr>
            <w:r w:rsidRPr="00380434">
              <w:rPr>
                <w:rFonts w:ascii="Arial Narrow" w:hAnsi="Arial Narrow"/>
                <w:b/>
                <w:color w:val="000000"/>
                <w:sz w:val="21"/>
                <w:szCs w:val="21"/>
              </w:rPr>
              <w:t>School Accountability Level</w:t>
            </w:r>
          </w:p>
        </w:tc>
      </w:tr>
      <w:tr w:rsidR="002C3A06" w:rsidRPr="00380434" w:rsidTr="00380434">
        <w:trPr>
          <w:trHeight w:val="159"/>
        </w:trPr>
        <w:tc>
          <w:tcPr>
            <w:tcW w:w="2790" w:type="dxa"/>
            <w:noWrap/>
            <w:tcMar>
              <w:top w:w="43" w:type="dxa"/>
              <w:bottom w:w="43" w:type="dxa"/>
            </w:tcMar>
            <w:vAlign w:val="center"/>
            <w:hideMark/>
          </w:tcPr>
          <w:p w:rsidR="002C3A06" w:rsidRPr="00380434" w:rsidRDefault="002C3A06" w:rsidP="0040232F">
            <w:pPr>
              <w:spacing w:line="240" w:lineRule="auto"/>
              <w:jc w:val="right"/>
              <w:rPr>
                <w:rFonts w:ascii="Arial Narrow" w:hAnsi="Arial Narrow"/>
                <w:color w:val="000000"/>
                <w:sz w:val="21"/>
                <w:szCs w:val="21"/>
              </w:rPr>
            </w:pPr>
            <w:r w:rsidRPr="00380434">
              <w:rPr>
                <w:rFonts w:ascii="Arial Narrow" w:hAnsi="Arial Narrow"/>
                <w:color w:val="000000"/>
                <w:sz w:val="21"/>
                <w:szCs w:val="21"/>
              </w:rPr>
              <w:t>Level 1</w:t>
            </w:r>
          </w:p>
        </w:tc>
        <w:tc>
          <w:tcPr>
            <w:tcW w:w="1825" w:type="dxa"/>
            <w:noWrap/>
            <w:tcMar>
              <w:top w:w="43" w:type="dxa"/>
              <w:bottom w:w="43" w:type="dxa"/>
            </w:tcMar>
            <w:vAlign w:val="center"/>
            <w:hideMark/>
          </w:tcPr>
          <w:p w:rsidR="002C3A06" w:rsidRPr="00380434" w:rsidRDefault="002C3A06" w:rsidP="0040232F">
            <w:pPr>
              <w:spacing w:line="240" w:lineRule="auto"/>
              <w:jc w:val="center"/>
              <w:rPr>
                <w:rFonts w:ascii="Arial Narrow" w:hAnsi="Arial Narrow"/>
                <w:color w:val="000000"/>
                <w:sz w:val="21"/>
                <w:szCs w:val="21"/>
              </w:rPr>
            </w:pPr>
            <w:r w:rsidRPr="00380434">
              <w:rPr>
                <w:rFonts w:ascii="Arial Narrow" w:hAnsi="Arial Narrow"/>
                <w:color w:val="000000"/>
                <w:sz w:val="21"/>
                <w:szCs w:val="21"/>
              </w:rPr>
              <w:t>6.8</w:t>
            </w:r>
          </w:p>
        </w:tc>
      </w:tr>
      <w:tr w:rsidR="002C3A06" w:rsidRPr="00380434" w:rsidTr="00380434">
        <w:trPr>
          <w:trHeight w:val="150"/>
        </w:trPr>
        <w:tc>
          <w:tcPr>
            <w:tcW w:w="2790" w:type="dxa"/>
            <w:noWrap/>
            <w:tcMar>
              <w:top w:w="43" w:type="dxa"/>
              <w:bottom w:w="43" w:type="dxa"/>
            </w:tcMar>
            <w:vAlign w:val="center"/>
            <w:hideMark/>
          </w:tcPr>
          <w:p w:rsidR="002C3A06" w:rsidRPr="00380434" w:rsidRDefault="002C3A06" w:rsidP="0040232F">
            <w:pPr>
              <w:spacing w:line="240" w:lineRule="auto"/>
              <w:jc w:val="right"/>
              <w:rPr>
                <w:rFonts w:ascii="Arial Narrow" w:hAnsi="Arial Narrow"/>
                <w:color w:val="000000"/>
                <w:sz w:val="21"/>
                <w:szCs w:val="21"/>
              </w:rPr>
            </w:pPr>
            <w:r w:rsidRPr="00380434">
              <w:rPr>
                <w:rFonts w:ascii="Arial Narrow" w:hAnsi="Arial Narrow"/>
                <w:color w:val="000000"/>
                <w:sz w:val="21"/>
                <w:szCs w:val="21"/>
              </w:rPr>
              <w:t>Level 2</w:t>
            </w:r>
          </w:p>
        </w:tc>
        <w:tc>
          <w:tcPr>
            <w:tcW w:w="1825" w:type="dxa"/>
            <w:noWrap/>
            <w:tcMar>
              <w:top w:w="43" w:type="dxa"/>
              <w:bottom w:w="43" w:type="dxa"/>
            </w:tcMar>
            <w:vAlign w:val="center"/>
            <w:hideMark/>
          </w:tcPr>
          <w:p w:rsidR="002C3A06" w:rsidRPr="00380434" w:rsidRDefault="002C3A06" w:rsidP="0040232F">
            <w:pPr>
              <w:spacing w:line="240" w:lineRule="auto"/>
              <w:jc w:val="center"/>
              <w:rPr>
                <w:rFonts w:ascii="Arial Narrow" w:hAnsi="Arial Narrow"/>
                <w:color w:val="000000"/>
                <w:sz w:val="21"/>
                <w:szCs w:val="21"/>
              </w:rPr>
            </w:pPr>
            <w:r w:rsidRPr="00380434">
              <w:rPr>
                <w:rFonts w:ascii="Arial Narrow" w:hAnsi="Arial Narrow"/>
                <w:color w:val="000000"/>
                <w:sz w:val="21"/>
                <w:szCs w:val="21"/>
              </w:rPr>
              <w:t>5.9</w:t>
            </w:r>
          </w:p>
        </w:tc>
      </w:tr>
      <w:tr w:rsidR="002C3A06" w:rsidRPr="00380434" w:rsidTr="00380434">
        <w:trPr>
          <w:trHeight w:val="240"/>
        </w:trPr>
        <w:tc>
          <w:tcPr>
            <w:tcW w:w="2790" w:type="dxa"/>
            <w:tcBorders>
              <w:bottom w:val="single" w:sz="4" w:space="0" w:color="auto"/>
            </w:tcBorders>
            <w:noWrap/>
            <w:tcMar>
              <w:top w:w="43" w:type="dxa"/>
              <w:bottom w:w="43" w:type="dxa"/>
            </w:tcMar>
            <w:vAlign w:val="center"/>
            <w:hideMark/>
          </w:tcPr>
          <w:p w:rsidR="002C3A06" w:rsidRPr="00380434" w:rsidRDefault="002C3A06" w:rsidP="0040232F">
            <w:pPr>
              <w:spacing w:line="240" w:lineRule="auto"/>
              <w:jc w:val="right"/>
              <w:rPr>
                <w:rFonts w:ascii="Arial Narrow" w:hAnsi="Arial Narrow"/>
                <w:color w:val="000000"/>
                <w:sz w:val="21"/>
                <w:szCs w:val="21"/>
              </w:rPr>
            </w:pPr>
            <w:r w:rsidRPr="00380434">
              <w:rPr>
                <w:rFonts w:ascii="Arial Narrow" w:hAnsi="Arial Narrow"/>
                <w:color w:val="000000"/>
                <w:sz w:val="21"/>
                <w:szCs w:val="21"/>
              </w:rPr>
              <w:t>Level 3</w:t>
            </w:r>
          </w:p>
        </w:tc>
        <w:tc>
          <w:tcPr>
            <w:tcW w:w="1825" w:type="dxa"/>
            <w:tcBorders>
              <w:bottom w:val="single" w:sz="4" w:space="0" w:color="auto"/>
            </w:tcBorders>
            <w:noWrap/>
            <w:tcMar>
              <w:top w:w="43" w:type="dxa"/>
              <w:bottom w:w="43" w:type="dxa"/>
            </w:tcMar>
            <w:vAlign w:val="center"/>
            <w:hideMark/>
          </w:tcPr>
          <w:p w:rsidR="002C3A06" w:rsidRPr="00380434" w:rsidRDefault="002C3A06" w:rsidP="0040232F">
            <w:pPr>
              <w:spacing w:line="240" w:lineRule="auto"/>
              <w:jc w:val="center"/>
              <w:rPr>
                <w:rFonts w:ascii="Arial Narrow" w:hAnsi="Arial Narrow"/>
                <w:color w:val="000000"/>
                <w:sz w:val="21"/>
                <w:szCs w:val="21"/>
              </w:rPr>
            </w:pPr>
            <w:r w:rsidRPr="00380434">
              <w:rPr>
                <w:rFonts w:ascii="Arial Narrow" w:hAnsi="Arial Narrow"/>
                <w:color w:val="000000"/>
                <w:sz w:val="21"/>
                <w:szCs w:val="21"/>
              </w:rPr>
              <w:t>8.8</w:t>
            </w:r>
          </w:p>
        </w:tc>
      </w:tr>
      <w:tr w:rsidR="002C3A06" w:rsidRPr="00380434" w:rsidTr="00AB3896">
        <w:trPr>
          <w:trHeight w:val="145"/>
        </w:trPr>
        <w:tc>
          <w:tcPr>
            <w:tcW w:w="2790" w:type="dxa"/>
            <w:tcBorders>
              <w:bottom w:val="single" w:sz="12" w:space="0" w:color="auto"/>
            </w:tcBorders>
            <w:noWrap/>
            <w:tcMar>
              <w:top w:w="43" w:type="dxa"/>
              <w:bottom w:w="43" w:type="dxa"/>
            </w:tcMar>
            <w:vAlign w:val="center"/>
            <w:hideMark/>
          </w:tcPr>
          <w:p w:rsidR="002C3A06" w:rsidRPr="00380434" w:rsidRDefault="002C3A06" w:rsidP="0040232F">
            <w:pPr>
              <w:spacing w:line="240" w:lineRule="auto"/>
              <w:jc w:val="right"/>
              <w:rPr>
                <w:rFonts w:ascii="Arial Narrow" w:hAnsi="Arial Narrow"/>
                <w:color w:val="000000"/>
                <w:sz w:val="21"/>
                <w:szCs w:val="21"/>
              </w:rPr>
            </w:pPr>
            <w:r w:rsidRPr="00380434">
              <w:rPr>
                <w:rFonts w:ascii="Arial Narrow" w:hAnsi="Arial Narrow"/>
                <w:color w:val="000000"/>
                <w:sz w:val="21"/>
                <w:szCs w:val="21"/>
              </w:rPr>
              <w:t>Level 4</w:t>
            </w:r>
          </w:p>
        </w:tc>
        <w:tc>
          <w:tcPr>
            <w:tcW w:w="1825" w:type="dxa"/>
            <w:tcBorders>
              <w:bottom w:val="single" w:sz="12" w:space="0" w:color="auto"/>
            </w:tcBorders>
            <w:noWrap/>
            <w:tcMar>
              <w:top w:w="43" w:type="dxa"/>
              <w:bottom w:w="43" w:type="dxa"/>
            </w:tcMar>
            <w:vAlign w:val="center"/>
            <w:hideMark/>
          </w:tcPr>
          <w:p w:rsidR="002C3A06" w:rsidRPr="00380434" w:rsidRDefault="002C3A06" w:rsidP="0040232F">
            <w:pPr>
              <w:spacing w:line="240" w:lineRule="auto"/>
              <w:jc w:val="center"/>
              <w:rPr>
                <w:rFonts w:ascii="Arial Narrow" w:hAnsi="Arial Narrow"/>
                <w:color w:val="000000"/>
                <w:sz w:val="21"/>
                <w:szCs w:val="21"/>
              </w:rPr>
            </w:pPr>
            <w:r w:rsidRPr="00380434">
              <w:rPr>
                <w:rFonts w:ascii="Arial Narrow" w:hAnsi="Arial Narrow"/>
                <w:color w:val="000000"/>
                <w:sz w:val="21"/>
                <w:szCs w:val="21"/>
              </w:rPr>
              <w:t>15.9</w:t>
            </w:r>
          </w:p>
        </w:tc>
      </w:tr>
      <w:tr w:rsidR="00D2641B" w:rsidRPr="00380434" w:rsidTr="00380434">
        <w:trPr>
          <w:trHeight w:val="121"/>
        </w:trPr>
        <w:tc>
          <w:tcPr>
            <w:tcW w:w="4615" w:type="dxa"/>
            <w:gridSpan w:val="2"/>
            <w:tcBorders>
              <w:top w:val="single" w:sz="12" w:space="0" w:color="auto"/>
            </w:tcBorders>
            <w:shd w:val="clear" w:color="auto" w:fill="D9D9D9" w:themeFill="background1" w:themeFillShade="D9"/>
            <w:noWrap/>
            <w:tcMar>
              <w:top w:w="43" w:type="dxa"/>
              <w:bottom w:w="43" w:type="dxa"/>
            </w:tcMar>
            <w:vAlign w:val="center"/>
          </w:tcPr>
          <w:p w:rsidR="00D2641B" w:rsidRPr="00380434" w:rsidRDefault="00D2641B" w:rsidP="0040232F">
            <w:pPr>
              <w:spacing w:line="240" w:lineRule="auto"/>
              <w:rPr>
                <w:rFonts w:ascii="Arial Narrow" w:hAnsi="Arial Narrow"/>
                <w:b/>
                <w:color w:val="000000"/>
                <w:sz w:val="21"/>
                <w:szCs w:val="21"/>
              </w:rPr>
            </w:pPr>
            <w:r w:rsidRPr="00380434">
              <w:rPr>
                <w:rFonts w:ascii="Arial Narrow" w:hAnsi="Arial Narrow"/>
                <w:b/>
                <w:color w:val="000000"/>
                <w:sz w:val="21"/>
                <w:szCs w:val="21"/>
              </w:rPr>
              <w:t>Low-Income Enrollment</w:t>
            </w:r>
          </w:p>
        </w:tc>
      </w:tr>
      <w:tr w:rsidR="00D2641B" w:rsidRPr="00380434" w:rsidTr="00380434">
        <w:trPr>
          <w:trHeight w:val="211"/>
        </w:trPr>
        <w:tc>
          <w:tcPr>
            <w:tcW w:w="2790" w:type="dxa"/>
            <w:tcBorders>
              <w:top w:val="single" w:sz="12" w:space="0" w:color="auto"/>
            </w:tcBorders>
            <w:noWrap/>
            <w:tcMar>
              <w:top w:w="43" w:type="dxa"/>
              <w:bottom w:w="43" w:type="dxa"/>
            </w:tcMar>
            <w:vAlign w:val="center"/>
          </w:tcPr>
          <w:p w:rsidR="00D2641B" w:rsidRPr="00380434" w:rsidRDefault="00B41339" w:rsidP="0040232F">
            <w:pPr>
              <w:spacing w:line="240" w:lineRule="auto"/>
              <w:jc w:val="right"/>
              <w:rPr>
                <w:rFonts w:ascii="Arial Narrow" w:hAnsi="Arial Narrow"/>
                <w:color w:val="000000"/>
                <w:sz w:val="21"/>
                <w:szCs w:val="21"/>
              </w:rPr>
            </w:pPr>
            <w:r>
              <w:rPr>
                <w:rFonts w:ascii="Arial Narrow" w:hAnsi="Arial Narrow"/>
                <w:color w:val="000000"/>
                <w:sz w:val="21"/>
                <w:szCs w:val="21"/>
              </w:rPr>
              <w:t>Low Poverty</w:t>
            </w:r>
          </w:p>
        </w:tc>
        <w:tc>
          <w:tcPr>
            <w:tcW w:w="1825" w:type="dxa"/>
            <w:tcBorders>
              <w:top w:val="single" w:sz="12" w:space="0" w:color="auto"/>
            </w:tcBorders>
            <w:tcMar>
              <w:top w:w="43" w:type="dxa"/>
              <w:bottom w:w="43" w:type="dxa"/>
            </w:tcMar>
            <w:vAlign w:val="center"/>
          </w:tcPr>
          <w:p w:rsidR="00D2641B" w:rsidRPr="00380434" w:rsidRDefault="00D2641B" w:rsidP="0040232F">
            <w:pPr>
              <w:spacing w:line="240" w:lineRule="auto"/>
              <w:jc w:val="center"/>
              <w:rPr>
                <w:rFonts w:ascii="Arial Narrow" w:hAnsi="Arial Narrow"/>
                <w:color w:val="000000"/>
                <w:sz w:val="21"/>
                <w:szCs w:val="21"/>
              </w:rPr>
            </w:pPr>
            <w:r w:rsidRPr="00380434">
              <w:rPr>
                <w:rFonts w:ascii="Arial Narrow" w:hAnsi="Arial Narrow"/>
                <w:color w:val="000000"/>
                <w:sz w:val="21"/>
                <w:szCs w:val="21"/>
              </w:rPr>
              <w:t>5.4</w:t>
            </w:r>
          </w:p>
        </w:tc>
      </w:tr>
      <w:tr w:rsidR="00D2641B" w:rsidRPr="00380434" w:rsidTr="00380434">
        <w:trPr>
          <w:trHeight w:val="157"/>
        </w:trPr>
        <w:tc>
          <w:tcPr>
            <w:tcW w:w="2790" w:type="dxa"/>
            <w:tcBorders>
              <w:top w:val="single" w:sz="12" w:space="0" w:color="auto"/>
            </w:tcBorders>
            <w:noWrap/>
            <w:tcMar>
              <w:top w:w="43" w:type="dxa"/>
              <w:bottom w:w="43" w:type="dxa"/>
            </w:tcMar>
            <w:vAlign w:val="center"/>
          </w:tcPr>
          <w:p w:rsidR="00D2641B" w:rsidRPr="00380434" w:rsidRDefault="00B41339" w:rsidP="0040232F">
            <w:pPr>
              <w:spacing w:line="240" w:lineRule="auto"/>
              <w:jc w:val="right"/>
              <w:rPr>
                <w:rFonts w:ascii="Arial Narrow" w:hAnsi="Arial Narrow"/>
                <w:color w:val="000000"/>
                <w:sz w:val="21"/>
                <w:szCs w:val="21"/>
              </w:rPr>
            </w:pPr>
            <w:r>
              <w:rPr>
                <w:rFonts w:ascii="Arial Narrow" w:hAnsi="Arial Narrow"/>
                <w:color w:val="000000"/>
                <w:sz w:val="21"/>
                <w:szCs w:val="21"/>
              </w:rPr>
              <w:t>High Poverty</w:t>
            </w:r>
          </w:p>
        </w:tc>
        <w:tc>
          <w:tcPr>
            <w:tcW w:w="1825" w:type="dxa"/>
            <w:tcBorders>
              <w:top w:val="single" w:sz="12" w:space="0" w:color="auto"/>
            </w:tcBorders>
            <w:tcMar>
              <w:top w:w="43" w:type="dxa"/>
              <w:bottom w:w="43" w:type="dxa"/>
            </w:tcMar>
            <w:vAlign w:val="center"/>
          </w:tcPr>
          <w:p w:rsidR="00D2641B" w:rsidRPr="00380434" w:rsidRDefault="000B301C" w:rsidP="0040232F">
            <w:pPr>
              <w:spacing w:line="240" w:lineRule="auto"/>
              <w:jc w:val="center"/>
              <w:rPr>
                <w:rFonts w:ascii="Arial Narrow" w:hAnsi="Arial Narrow"/>
                <w:color w:val="000000"/>
                <w:sz w:val="21"/>
                <w:szCs w:val="21"/>
              </w:rPr>
            </w:pPr>
            <w:r w:rsidRPr="00380434">
              <w:rPr>
                <w:rFonts w:ascii="Arial Narrow" w:hAnsi="Arial Narrow"/>
                <w:color w:val="000000"/>
                <w:sz w:val="21"/>
                <w:szCs w:val="21"/>
              </w:rPr>
              <w:t>12.2</w:t>
            </w:r>
          </w:p>
        </w:tc>
      </w:tr>
      <w:tr w:rsidR="002C3A06" w:rsidRPr="00380434" w:rsidTr="00380434">
        <w:trPr>
          <w:trHeight w:val="24"/>
        </w:trPr>
        <w:tc>
          <w:tcPr>
            <w:tcW w:w="4615" w:type="dxa"/>
            <w:gridSpan w:val="2"/>
            <w:tcBorders>
              <w:top w:val="single" w:sz="12" w:space="0" w:color="auto"/>
            </w:tcBorders>
            <w:shd w:val="clear" w:color="auto" w:fill="D9D9D9" w:themeFill="background1" w:themeFillShade="D9"/>
            <w:noWrap/>
            <w:tcMar>
              <w:top w:w="43" w:type="dxa"/>
              <w:bottom w:w="43" w:type="dxa"/>
            </w:tcMar>
            <w:vAlign w:val="center"/>
            <w:hideMark/>
          </w:tcPr>
          <w:p w:rsidR="002C3A06" w:rsidRPr="00380434" w:rsidRDefault="002C3A06" w:rsidP="0040232F">
            <w:pPr>
              <w:spacing w:line="240" w:lineRule="auto"/>
              <w:rPr>
                <w:rFonts w:ascii="Arial Narrow" w:hAnsi="Arial Narrow"/>
                <w:b/>
                <w:color w:val="000000"/>
                <w:sz w:val="21"/>
                <w:szCs w:val="21"/>
              </w:rPr>
            </w:pPr>
            <w:r w:rsidRPr="00380434">
              <w:rPr>
                <w:rFonts w:ascii="Arial Narrow" w:hAnsi="Arial Narrow"/>
                <w:b/>
                <w:color w:val="000000"/>
                <w:sz w:val="21"/>
                <w:szCs w:val="21"/>
              </w:rPr>
              <w:t>Charter Status</w:t>
            </w:r>
          </w:p>
        </w:tc>
      </w:tr>
      <w:tr w:rsidR="002C3A06" w:rsidRPr="00380434" w:rsidTr="00380434">
        <w:trPr>
          <w:trHeight w:val="141"/>
        </w:trPr>
        <w:tc>
          <w:tcPr>
            <w:tcW w:w="2790" w:type="dxa"/>
            <w:noWrap/>
            <w:tcMar>
              <w:top w:w="43" w:type="dxa"/>
              <w:bottom w:w="43" w:type="dxa"/>
            </w:tcMar>
            <w:vAlign w:val="center"/>
            <w:hideMark/>
          </w:tcPr>
          <w:p w:rsidR="002C3A06" w:rsidRPr="00380434" w:rsidRDefault="005855E8" w:rsidP="0040232F">
            <w:pPr>
              <w:spacing w:line="240" w:lineRule="auto"/>
              <w:jc w:val="right"/>
              <w:rPr>
                <w:rFonts w:ascii="Arial Narrow" w:hAnsi="Arial Narrow"/>
                <w:color w:val="000000"/>
                <w:sz w:val="21"/>
                <w:szCs w:val="21"/>
              </w:rPr>
            </w:pPr>
            <w:r w:rsidRPr="00380434">
              <w:rPr>
                <w:rFonts w:ascii="Arial Narrow" w:hAnsi="Arial Narrow"/>
                <w:color w:val="000000"/>
                <w:sz w:val="21"/>
                <w:szCs w:val="21"/>
              </w:rPr>
              <w:t>Non-c</w:t>
            </w:r>
            <w:r w:rsidR="002C3A06" w:rsidRPr="00380434">
              <w:rPr>
                <w:rFonts w:ascii="Arial Narrow" w:hAnsi="Arial Narrow"/>
                <w:color w:val="000000"/>
                <w:sz w:val="21"/>
                <w:szCs w:val="21"/>
              </w:rPr>
              <w:t>harter Schools</w:t>
            </w:r>
          </w:p>
        </w:tc>
        <w:tc>
          <w:tcPr>
            <w:tcW w:w="1825" w:type="dxa"/>
            <w:noWrap/>
            <w:tcMar>
              <w:top w:w="43" w:type="dxa"/>
              <w:bottom w:w="43" w:type="dxa"/>
            </w:tcMar>
            <w:vAlign w:val="center"/>
            <w:hideMark/>
          </w:tcPr>
          <w:p w:rsidR="002C3A06" w:rsidRPr="00380434" w:rsidRDefault="005855E8" w:rsidP="0040232F">
            <w:pPr>
              <w:spacing w:line="240" w:lineRule="auto"/>
              <w:jc w:val="center"/>
              <w:rPr>
                <w:rFonts w:ascii="Arial Narrow" w:hAnsi="Arial Narrow"/>
                <w:color w:val="000000"/>
                <w:sz w:val="21"/>
                <w:szCs w:val="21"/>
              </w:rPr>
            </w:pPr>
            <w:r w:rsidRPr="00380434">
              <w:rPr>
                <w:rFonts w:ascii="Arial Narrow" w:hAnsi="Arial Narrow"/>
                <w:color w:val="000000"/>
                <w:sz w:val="21"/>
                <w:szCs w:val="21"/>
              </w:rPr>
              <w:t>6.6</w:t>
            </w:r>
          </w:p>
        </w:tc>
      </w:tr>
      <w:tr w:rsidR="002C3A06" w:rsidRPr="00380434" w:rsidTr="00AB3896">
        <w:trPr>
          <w:trHeight w:val="109"/>
        </w:trPr>
        <w:tc>
          <w:tcPr>
            <w:tcW w:w="2790" w:type="dxa"/>
            <w:noWrap/>
            <w:tcMar>
              <w:top w:w="43" w:type="dxa"/>
              <w:bottom w:w="43" w:type="dxa"/>
            </w:tcMar>
            <w:vAlign w:val="center"/>
            <w:hideMark/>
          </w:tcPr>
          <w:p w:rsidR="002C3A06" w:rsidRPr="00380434" w:rsidRDefault="005855E8" w:rsidP="0040232F">
            <w:pPr>
              <w:spacing w:line="240" w:lineRule="auto"/>
              <w:jc w:val="right"/>
              <w:rPr>
                <w:rFonts w:ascii="Arial Narrow" w:hAnsi="Arial Narrow"/>
                <w:color w:val="000000"/>
                <w:sz w:val="21"/>
                <w:szCs w:val="21"/>
              </w:rPr>
            </w:pPr>
            <w:r w:rsidRPr="00380434">
              <w:rPr>
                <w:rFonts w:ascii="Arial Narrow" w:hAnsi="Arial Narrow"/>
                <w:color w:val="000000"/>
                <w:sz w:val="21"/>
                <w:szCs w:val="21"/>
              </w:rPr>
              <w:t>C</w:t>
            </w:r>
            <w:r w:rsidR="002C3A06" w:rsidRPr="00380434">
              <w:rPr>
                <w:rFonts w:ascii="Arial Narrow" w:hAnsi="Arial Narrow"/>
                <w:color w:val="000000"/>
                <w:sz w:val="21"/>
                <w:szCs w:val="21"/>
              </w:rPr>
              <w:t>harter schools</w:t>
            </w:r>
          </w:p>
        </w:tc>
        <w:tc>
          <w:tcPr>
            <w:tcW w:w="1825" w:type="dxa"/>
            <w:noWrap/>
            <w:tcMar>
              <w:top w:w="43" w:type="dxa"/>
              <w:bottom w:w="43" w:type="dxa"/>
            </w:tcMar>
            <w:vAlign w:val="center"/>
            <w:hideMark/>
          </w:tcPr>
          <w:p w:rsidR="002C3A06" w:rsidRPr="00380434" w:rsidRDefault="005855E8" w:rsidP="0040232F">
            <w:pPr>
              <w:spacing w:line="240" w:lineRule="auto"/>
              <w:jc w:val="center"/>
              <w:rPr>
                <w:rFonts w:ascii="Arial Narrow" w:hAnsi="Arial Narrow"/>
                <w:color w:val="000000"/>
                <w:sz w:val="21"/>
                <w:szCs w:val="21"/>
              </w:rPr>
            </w:pPr>
            <w:r w:rsidRPr="00380434">
              <w:rPr>
                <w:rFonts w:ascii="Arial Narrow" w:hAnsi="Arial Narrow"/>
                <w:color w:val="000000"/>
                <w:sz w:val="21"/>
                <w:szCs w:val="21"/>
              </w:rPr>
              <w:t>28.3</w:t>
            </w:r>
          </w:p>
        </w:tc>
      </w:tr>
    </w:tbl>
    <w:p w:rsidR="002C3A06" w:rsidRDefault="002C3A06" w:rsidP="00DB7B53">
      <w:pPr>
        <w:spacing w:line="240" w:lineRule="auto"/>
      </w:pPr>
    </w:p>
    <w:p w:rsidR="00DB7B53" w:rsidRDefault="00DB7B53" w:rsidP="0040232F">
      <w:pPr>
        <w:spacing w:line="240" w:lineRule="auto"/>
        <w:rPr>
          <w:rFonts w:ascii="Times New Roman" w:hAnsi="Times New Roman"/>
        </w:rPr>
      </w:pPr>
    </w:p>
    <w:p w:rsidR="002C3A06" w:rsidRPr="0040232F" w:rsidRDefault="002C3A06" w:rsidP="0040232F">
      <w:pPr>
        <w:spacing w:line="240" w:lineRule="auto"/>
        <w:rPr>
          <w:rFonts w:ascii="Times New Roman" w:hAnsi="Times New Roman"/>
        </w:rPr>
      </w:pPr>
      <w:r w:rsidRPr="0040232F">
        <w:rPr>
          <w:rFonts w:ascii="Times New Roman" w:hAnsi="Times New Roman"/>
        </w:rPr>
        <w:t>The share of new teachers also varies by grade level, subject area, and student population taught (</w:t>
      </w:r>
      <w:r w:rsidR="003F701A">
        <w:rPr>
          <w:rFonts w:ascii="Times New Roman" w:hAnsi="Times New Roman"/>
        </w:rPr>
        <w:t>S</w:t>
      </w:r>
      <w:r w:rsidRPr="0040232F">
        <w:rPr>
          <w:rFonts w:ascii="Times New Roman" w:hAnsi="Times New Roman"/>
        </w:rPr>
        <w:t xml:space="preserve">ee Chart </w:t>
      </w:r>
      <w:r w:rsidR="000A5E3D" w:rsidRPr="0040232F">
        <w:rPr>
          <w:rFonts w:ascii="Times New Roman" w:hAnsi="Times New Roman"/>
        </w:rPr>
        <w:t>1</w:t>
      </w:r>
      <w:r w:rsidRPr="0040232F">
        <w:rPr>
          <w:rFonts w:ascii="Times New Roman" w:hAnsi="Times New Roman"/>
        </w:rPr>
        <w:t>.</w:t>
      </w:r>
      <w:r w:rsidR="000A5E3D" w:rsidRPr="0040232F">
        <w:rPr>
          <w:rFonts w:ascii="Times New Roman" w:hAnsi="Times New Roman"/>
        </w:rPr>
        <w:t>2</w:t>
      </w:r>
      <w:r w:rsidRPr="0040232F">
        <w:rPr>
          <w:rFonts w:ascii="Times New Roman" w:hAnsi="Times New Roman"/>
        </w:rPr>
        <w:t>).</w:t>
      </w:r>
      <w:r w:rsidR="00CB6FB8" w:rsidRPr="0040232F">
        <w:rPr>
          <w:rFonts w:ascii="Times New Roman" w:hAnsi="Times New Roman"/>
        </w:rPr>
        <w:t xml:space="preserve"> High schools and shortage subject areas</w:t>
      </w:r>
      <w:r w:rsidR="003F701A">
        <w:rPr>
          <w:rFonts w:ascii="Times New Roman" w:hAnsi="Times New Roman"/>
        </w:rPr>
        <w:t>—</w:t>
      </w:r>
      <w:r w:rsidR="00CB6FB8" w:rsidRPr="0040232F">
        <w:rPr>
          <w:rFonts w:ascii="Times New Roman" w:hAnsi="Times New Roman"/>
        </w:rPr>
        <w:t>with the exception of early childhood education</w:t>
      </w:r>
      <w:r w:rsidR="003F701A">
        <w:rPr>
          <w:rFonts w:ascii="Times New Roman" w:hAnsi="Times New Roman"/>
        </w:rPr>
        <w:t>—</w:t>
      </w:r>
      <w:r w:rsidR="00CB6FB8" w:rsidRPr="0040232F">
        <w:rPr>
          <w:rFonts w:ascii="Times New Roman" w:hAnsi="Times New Roman"/>
        </w:rPr>
        <w:t xml:space="preserve"> had higher than average shares of first-year teachers in </w:t>
      </w:r>
      <w:r w:rsidR="003F701A">
        <w:rPr>
          <w:rFonts w:ascii="Times New Roman" w:hAnsi="Times New Roman"/>
        </w:rPr>
        <w:t xml:space="preserve">the </w:t>
      </w:r>
      <w:r w:rsidR="00CB6FB8" w:rsidRPr="0040232F">
        <w:rPr>
          <w:rFonts w:ascii="Times New Roman" w:hAnsi="Times New Roman"/>
        </w:rPr>
        <w:t>2012-</w:t>
      </w:r>
      <w:r w:rsidR="003F701A">
        <w:rPr>
          <w:rFonts w:ascii="Times New Roman" w:hAnsi="Times New Roman"/>
        </w:rPr>
        <w:t>20</w:t>
      </w:r>
      <w:r w:rsidR="00CB6FB8" w:rsidRPr="0040232F">
        <w:rPr>
          <w:rFonts w:ascii="Times New Roman" w:hAnsi="Times New Roman"/>
        </w:rPr>
        <w:t>13</w:t>
      </w:r>
      <w:r w:rsidR="003F701A">
        <w:rPr>
          <w:rFonts w:ascii="Times New Roman" w:hAnsi="Times New Roman"/>
        </w:rPr>
        <w:t xml:space="preserve"> school year</w:t>
      </w:r>
      <w:r w:rsidR="00CB6FB8" w:rsidRPr="0040232F">
        <w:rPr>
          <w:rFonts w:ascii="Times New Roman" w:hAnsi="Times New Roman"/>
        </w:rPr>
        <w:t>, indicating that retention rates may be lower in these subject areas</w:t>
      </w:r>
      <w:r w:rsidR="005B5258">
        <w:rPr>
          <w:rFonts w:ascii="Times New Roman" w:hAnsi="Times New Roman"/>
        </w:rPr>
        <w:t xml:space="preserve">. </w:t>
      </w:r>
    </w:p>
    <w:p w:rsidR="002C3A06" w:rsidRPr="00446709" w:rsidRDefault="002C3A06" w:rsidP="00446709">
      <w:pPr>
        <w:pStyle w:val="Heading2"/>
        <w:spacing w:line="240" w:lineRule="auto"/>
        <w:rPr>
          <w:i w:val="0"/>
          <w:sz w:val="21"/>
          <w:szCs w:val="21"/>
        </w:rPr>
      </w:pPr>
      <w:r w:rsidRPr="00446709">
        <w:rPr>
          <w:i w:val="0"/>
          <w:sz w:val="21"/>
          <w:szCs w:val="21"/>
        </w:rPr>
        <w:t xml:space="preserve">Chart </w:t>
      </w:r>
      <w:r w:rsidR="000A5E3D" w:rsidRPr="00446709">
        <w:rPr>
          <w:i w:val="0"/>
          <w:sz w:val="21"/>
          <w:szCs w:val="21"/>
        </w:rPr>
        <w:t>1</w:t>
      </w:r>
      <w:r w:rsidRPr="00446709">
        <w:rPr>
          <w:i w:val="0"/>
          <w:sz w:val="21"/>
          <w:szCs w:val="21"/>
        </w:rPr>
        <w:t>.</w:t>
      </w:r>
      <w:r w:rsidR="000A5E3D" w:rsidRPr="00446709">
        <w:rPr>
          <w:i w:val="0"/>
          <w:sz w:val="21"/>
          <w:szCs w:val="21"/>
        </w:rPr>
        <w:t>2</w:t>
      </w:r>
      <w:r w:rsidRPr="00446709">
        <w:rPr>
          <w:i w:val="0"/>
          <w:sz w:val="21"/>
          <w:szCs w:val="21"/>
        </w:rPr>
        <w:t xml:space="preserve">: 2012-13 Teachers who are </w:t>
      </w:r>
      <w:r w:rsidR="007F36BA" w:rsidRPr="00446709">
        <w:rPr>
          <w:i w:val="0"/>
          <w:sz w:val="21"/>
          <w:szCs w:val="21"/>
        </w:rPr>
        <w:t>First-Year</w:t>
      </w:r>
      <w:r w:rsidRPr="00446709">
        <w:rPr>
          <w:i w:val="0"/>
          <w:sz w:val="21"/>
          <w:szCs w:val="21"/>
        </w:rPr>
        <w:t xml:space="preserve"> Teachers</w:t>
      </w:r>
      <w:r w:rsidR="007F36BA" w:rsidRPr="00446709">
        <w:rPr>
          <w:i w:val="0"/>
          <w:sz w:val="21"/>
          <w:szCs w:val="21"/>
        </w:rPr>
        <w:t xml:space="preserve">, </w:t>
      </w:r>
      <w:r w:rsidRPr="00446709">
        <w:rPr>
          <w:i w:val="0"/>
          <w:sz w:val="21"/>
          <w:szCs w:val="21"/>
        </w:rPr>
        <w:t>by Teaching Assignment</w:t>
      </w:r>
    </w:p>
    <w:p w:rsidR="002C3A06" w:rsidRPr="002F451B" w:rsidRDefault="002C3A06" w:rsidP="0040232F">
      <w:pPr>
        <w:spacing w:line="240" w:lineRule="auto"/>
      </w:pPr>
      <w:r w:rsidRPr="002F451B">
        <w:rPr>
          <w:noProof/>
          <w:lang w:eastAsia="zh-CN" w:bidi="km-KH"/>
        </w:rPr>
        <w:drawing>
          <wp:inline distT="0" distB="0" distL="0" distR="0">
            <wp:extent cx="5723724" cy="3840480"/>
            <wp:effectExtent l="19050" t="0" r="10326" b="7620"/>
            <wp:docPr id="63" name="Chart 19" descr="All Teachers 7.1%&#10;Grade Level, Elementary 6.9%&#10;Grade Level, Middle 7.3%&#10;Grade Level, High School 8.2%&#10;Subject (Middle/Secondary Grades Only), Math 8.4%&#10;Subject (Middle/Secondary Grades Only), Science 8.7%&#10;Subject (Middle/Secondary Grades Only), English Language &#10;Arts, 8.1%&#10;Subject (Middle/Secondary Grades Only), Foreign Languages 8.0%&#10;Students Taught, Early Childhood (PK-2) 6.2%&#10;Students Taught, Special Education 8.6%&#10;Students Taught, English Language Learners 10.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3A06" w:rsidRDefault="002C3A06" w:rsidP="0040232F">
      <w:pPr>
        <w:spacing w:line="240" w:lineRule="auto"/>
      </w:pPr>
    </w:p>
    <w:p w:rsidR="00AB3896" w:rsidRDefault="00AB3896" w:rsidP="0040232F">
      <w:pPr>
        <w:spacing w:line="240" w:lineRule="auto"/>
        <w:rPr>
          <w:rFonts w:ascii="Times New Roman" w:hAnsi="Times New Roman"/>
        </w:rPr>
      </w:pPr>
    </w:p>
    <w:p w:rsidR="00FE1216" w:rsidRPr="0040232F" w:rsidRDefault="00FE1216" w:rsidP="0040232F">
      <w:pPr>
        <w:spacing w:line="240" w:lineRule="auto"/>
        <w:rPr>
          <w:rFonts w:ascii="Times New Roman" w:hAnsi="Times New Roman"/>
        </w:rPr>
      </w:pPr>
      <w:r w:rsidRPr="0040232F">
        <w:rPr>
          <w:rFonts w:ascii="Times New Roman" w:hAnsi="Times New Roman"/>
        </w:rPr>
        <w:t>Across all Massachusetts educators</w:t>
      </w:r>
      <w:r w:rsidR="004960EB" w:rsidRPr="004960EB">
        <w:rPr>
          <w:rFonts w:ascii="Times New Roman" w:hAnsi="Times New Roman"/>
        </w:rPr>
        <w:t xml:space="preserve"> </w:t>
      </w:r>
      <w:r w:rsidR="004960EB">
        <w:rPr>
          <w:rFonts w:ascii="Times New Roman" w:hAnsi="Times New Roman"/>
        </w:rPr>
        <w:t xml:space="preserve">in the </w:t>
      </w:r>
      <w:r w:rsidR="004960EB" w:rsidRPr="0040232F">
        <w:rPr>
          <w:rFonts w:ascii="Times New Roman" w:hAnsi="Times New Roman"/>
        </w:rPr>
        <w:t>2012</w:t>
      </w:r>
      <w:r w:rsidR="004960EB">
        <w:rPr>
          <w:rFonts w:ascii="Times New Roman" w:hAnsi="Times New Roman"/>
        </w:rPr>
        <w:t>-</w:t>
      </w:r>
      <w:r w:rsidR="004960EB" w:rsidRPr="0040232F">
        <w:rPr>
          <w:rFonts w:ascii="Times New Roman" w:hAnsi="Times New Roman"/>
        </w:rPr>
        <w:t xml:space="preserve">2013 </w:t>
      </w:r>
      <w:r w:rsidR="004960EB">
        <w:rPr>
          <w:rFonts w:ascii="Times New Roman" w:hAnsi="Times New Roman"/>
        </w:rPr>
        <w:t xml:space="preserve">school </w:t>
      </w:r>
      <w:proofErr w:type="gramStart"/>
      <w:r w:rsidR="004960EB">
        <w:rPr>
          <w:rFonts w:ascii="Times New Roman" w:hAnsi="Times New Roman"/>
        </w:rPr>
        <w:t>year</w:t>
      </w:r>
      <w:proofErr w:type="gramEnd"/>
      <w:r w:rsidRPr="0040232F">
        <w:rPr>
          <w:rFonts w:ascii="Times New Roman" w:hAnsi="Times New Roman"/>
        </w:rPr>
        <w:t>, approximately 11 percent worked less than one year in their district</w:t>
      </w:r>
      <w:r w:rsidR="004960EB">
        <w:rPr>
          <w:rFonts w:ascii="Times New Roman" w:hAnsi="Times New Roman"/>
        </w:rPr>
        <w:t>s</w:t>
      </w:r>
      <w:r w:rsidRPr="0040232F">
        <w:rPr>
          <w:rFonts w:ascii="Times New Roman" w:hAnsi="Times New Roman"/>
        </w:rPr>
        <w:t>. About 39 percent of teachers worked 0</w:t>
      </w:r>
      <w:r w:rsidR="001815BD">
        <w:rPr>
          <w:rFonts w:ascii="Times New Roman" w:hAnsi="Times New Roman"/>
        </w:rPr>
        <w:t xml:space="preserve"> – 5 </w:t>
      </w:r>
      <w:r w:rsidRPr="0040232F">
        <w:rPr>
          <w:rFonts w:ascii="Times New Roman" w:hAnsi="Times New Roman"/>
        </w:rPr>
        <w:t>years in their district</w:t>
      </w:r>
      <w:r w:rsidR="004960EB">
        <w:rPr>
          <w:rFonts w:ascii="Times New Roman" w:hAnsi="Times New Roman"/>
        </w:rPr>
        <w:t>s</w:t>
      </w:r>
      <w:r w:rsidRPr="0040232F">
        <w:rPr>
          <w:rFonts w:ascii="Times New Roman" w:hAnsi="Times New Roman"/>
        </w:rPr>
        <w:t>, while 22 percent served 6</w:t>
      </w:r>
      <w:r w:rsidR="001815BD">
        <w:rPr>
          <w:rFonts w:ascii="Times New Roman" w:hAnsi="Times New Roman"/>
        </w:rPr>
        <w:t xml:space="preserve"> – 10 </w:t>
      </w:r>
      <w:r w:rsidRPr="0040232F">
        <w:rPr>
          <w:rFonts w:ascii="Times New Roman" w:hAnsi="Times New Roman"/>
        </w:rPr>
        <w:t>years</w:t>
      </w:r>
      <w:r w:rsidR="004960EB">
        <w:rPr>
          <w:rFonts w:ascii="Times New Roman" w:hAnsi="Times New Roman"/>
        </w:rPr>
        <w:t>,</w:t>
      </w:r>
      <w:r w:rsidRPr="0040232F">
        <w:rPr>
          <w:rFonts w:ascii="Times New Roman" w:hAnsi="Times New Roman"/>
        </w:rPr>
        <w:t xml:space="preserve"> and 28 percent served 11</w:t>
      </w:r>
      <w:r w:rsidR="001815BD">
        <w:rPr>
          <w:rFonts w:ascii="Times New Roman" w:hAnsi="Times New Roman"/>
        </w:rPr>
        <w:t xml:space="preserve"> – 20 </w:t>
      </w:r>
      <w:r w:rsidRPr="0040232F">
        <w:rPr>
          <w:rFonts w:ascii="Times New Roman" w:hAnsi="Times New Roman"/>
        </w:rPr>
        <w:t>years (</w:t>
      </w:r>
      <w:r w:rsidR="004960EB">
        <w:rPr>
          <w:rFonts w:ascii="Times New Roman" w:hAnsi="Times New Roman"/>
        </w:rPr>
        <w:t>S</w:t>
      </w:r>
      <w:r w:rsidRPr="0040232F">
        <w:rPr>
          <w:rFonts w:ascii="Times New Roman" w:hAnsi="Times New Roman"/>
        </w:rPr>
        <w:t>ee Chart 1.3). Forty-three percent of principals have been in their district</w:t>
      </w:r>
      <w:r w:rsidR="004960EB">
        <w:rPr>
          <w:rFonts w:ascii="Times New Roman" w:hAnsi="Times New Roman"/>
        </w:rPr>
        <w:t>s</w:t>
      </w:r>
      <w:r w:rsidRPr="0040232F">
        <w:rPr>
          <w:rFonts w:ascii="Times New Roman" w:hAnsi="Times New Roman"/>
        </w:rPr>
        <w:t xml:space="preserve"> 0</w:t>
      </w:r>
      <w:r w:rsidR="001815BD">
        <w:rPr>
          <w:rFonts w:ascii="Times New Roman" w:hAnsi="Times New Roman"/>
        </w:rPr>
        <w:t xml:space="preserve"> – 5 </w:t>
      </w:r>
      <w:r w:rsidRPr="0040232F">
        <w:rPr>
          <w:rFonts w:ascii="Times New Roman" w:hAnsi="Times New Roman"/>
        </w:rPr>
        <w:t>years, while 19 percent worked 6</w:t>
      </w:r>
      <w:r w:rsidR="001815BD">
        <w:rPr>
          <w:rFonts w:ascii="Times New Roman" w:hAnsi="Times New Roman"/>
        </w:rPr>
        <w:t xml:space="preserve"> – 10 </w:t>
      </w:r>
      <w:r w:rsidRPr="0040232F">
        <w:rPr>
          <w:rFonts w:ascii="Times New Roman" w:hAnsi="Times New Roman"/>
        </w:rPr>
        <w:t>years</w:t>
      </w:r>
      <w:r w:rsidR="00EC128D">
        <w:rPr>
          <w:rFonts w:ascii="Times New Roman" w:hAnsi="Times New Roman"/>
        </w:rPr>
        <w:t>,</w:t>
      </w:r>
      <w:r w:rsidRPr="0040232F">
        <w:rPr>
          <w:rFonts w:ascii="Times New Roman" w:hAnsi="Times New Roman"/>
        </w:rPr>
        <w:t xml:space="preserve"> and 24 percent served 11</w:t>
      </w:r>
      <w:r w:rsidR="001815BD">
        <w:rPr>
          <w:rFonts w:ascii="Times New Roman" w:hAnsi="Times New Roman"/>
        </w:rPr>
        <w:t xml:space="preserve"> – 20 </w:t>
      </w:r>
      <w:r w:rsidRPr="0040232F">
        <w:rPr>
          <w:rFonts w:ascii="Times New Roman" w:hAnsi="Times New Roman"/>
        </w:rPr>
        <w:t>years. The share of teachers and principals in their first year at a district is consistent with national averages.</w:t>
      </w:r>
      <w:r w:rsidRPr="0040232F">
        <w:rPr>
          <w:rStyle w:val="FootnoteReference"/>
          <w:rFonts w:ascii="Times New Roman" w:hAnsi="Times New Roman"/>
        </w:rPr>
        <w:footnoteReference w:id="6"/>
      </w:r>
      <w:r w:rsidRPr="0040232F">
        <w:rPr>
          <w:rFonts w:ascii="Times New Roman" w:hAnsi="Times New Roman"/>
        </w:rPr>
        <w:t xml:space="preserve"> A slightly larger proportion of principals than teachers have </w:t>
      </w:r>
      <w:r w:rsidR="00B74300">
        <w:rPr>
          <w:rFonts w:ascii="Times New Roman" w:hAnsi="Times New Roman"/>
        </w:rPr>
        <w:t>remained</w:t>
      </w:r>
      <w:r w:rsidR="00B74300" w:rsidRPr="0040232F">
        <w:rPr>
          <w:rFonts w:ascii="Times New Roman" w:hAnsi="Times New Roman"/>
        </w:rPr>
        <w:t xml:space="preserve"> </w:t>
      </w:r>
      <w:r w:rsidRPr="0040232F">
        <w:rPr>
          <w:rFonts w:ascii="Times New Roman" w:hAnsi="Times New Roman"/>
        </w:rPr>
        <w:t>in their district</w:t>
      </w:r>
      <w:r w:rsidR="00B74300">
        <w:rPr>
          <w:rFonts w:ascii="Times New Roman" w:hAnsi="Times New Roman"/>
        </w:rPr>
        <w:t>s</w:t>
      </w:r>
      <w:r w:rsidRPr="0040232F">
        <w:rPr>
          <w:rFonts w:ascii="Times New Roman" w:hAnsi="Times New Roman"/>
        </w:rPr>
        <w:t xml:space="preserve"> for more than 20 years (15 percent of principals </w:t>
      </w:r>
      <w:r w:rsidR="00B74300">
        <w:rPr>
          <w:rFonts w:ascii="Times New Roman" w:hAnsi="Times New Roman"/>
        </w:rPr>
        <w:t>versus</w:t>
      </w:r>
      <w:r w:rsidRPr="0040232F">
        <w:rPr>
          <w:rFonts w:ascii="Times New Roman" w:hAnsi="Times New Roman"/>
        </w:rPr>
        <w:t xml:space="preserve"> 11 percent of teachers). Superintendents appear to have shorter tenure in their districts, with 56 percent serving five or fewer years and 10 percent remaining for more than 20 years.  </w:t>
      </w:r>
    </w:p>
    <w:p w:rsidR="00AF0685" w:rsidRPr="00446709" w:rsidRDefault="00AF0685" w:rsidP="00446709">
      <w:pPr>
        <w:pStyle w:val="Heading2"/>
        <w:spacing w:line="240" w:lineRule="auto"/>
        <w:rPr>
          <w:i w:val="0"/>
          <w:sz w:val="21"/>
          <w:szCs w:val="21"/>
        </w:rPr>
      </w:pPr>
      <w:r w:rsidRPr="00446709">
        <w:rPr>
          <w:i w:val="0"/>
          <w:sz w:val="21"/>
          <w:szCs w:val="21"/>
        </w:rPr>
        <w:t>Chart 1.</w:t>
      </w:r>
      <w:r w:rsidR="0049539A" w:rsidRPr="00446709">
        <w:rPr>
          <w:i w:val="0"/>
          <w:sz w:val="21"/>
          <w:szCs w:val="21"/>
        </w:rPr>
        <w:t>3</w:t>
      </w:r>
      <w:r w:rsidRPr="00446709">
        <w:rPr>
          <w:i w:val="0"/>
          <w:sz w:val="21"/>
          <w:szCs w:val="21"/>
        </w:rPr>
        <w:t>: Massachusetts Educators by Years of Service in their District, 2012-2013</w:t>
      </w:r>
    </w:p>
    <w:p w:rsidR="00AF0685" w:rsidRDefault="000E2E89" w:rsidP="00D93F41">
      <w:pPr>
        <w:spacing w:line="276" w:lineRule="auto"/>
        <w:rPr>
          <w:b/>
        </w:rPr>
      </w:pPr>
      <w:r w:rsidRPr="000E2E89">
        <w:rPr>
          <w:b/>
          <w:noProof/>
          <w:lang w:eastAsia="zh-CN" w:bidi="km-KH"/>
        </w:rPr>
        <w:drawing>
          <wp:inline distT="0" distB="0" distL="0" distR="0">
            <wp:extent cx="4905375" cy="3333750"/>
            <wp:effectExtent l="19050" t="0" r="9525" b="0"/>
            <wp:docPr id="11" name="Chart 1" descr="Chart 1.3: Massachusetts Educators by Years of Service in their District, 2012-2013&#10;&#10;Data reported in percentages:&#10;&#10;Teachers, Years Served&#10;Less than 1 Year 9.8&#10;1 -2 Years 13.0&#10;3 - 5 Years 16.0&#10;6 - 10 Years 22.3&#10;11 - 20 Years 28.2&#10;21 - 30 Years 8.2&#10;More than 30 Years 2.5&#10;&#10;Principals, Years Served&#10;Less than 1 Year 10.1&#10;1 -2 Years 17.5&#10;3 - 5 Years 15.2&#10;6 - 10 Years 18.5&#10;11 - 20 Years 23.7&#10;21 - 30 Years 9.6&#10;More than 30 Years 5.2&#10;&#10;Superintendents, Years Served&#10;Less than 1 Year 13.9&#10;1 -2 Years 21.2&#10;3 - 5 Years 20.3&#10;6 - 10 Years 20.0&#10;11 - 20 Years 14.5&#10;21 - 30 Years 4.5&#10;More than 30 Years 5.5&#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75E7" w:rsidRPr="00DF1EFD" w:rsidRDefault="00B675E7" w:rsidP="00B675E7">
      <w:pPr>
        <w:pStyle w:val="Heading2"/>
        <w:spacing w:before="0" w:after="240" w:line="240" w:lineRule="auto"/>
        <w:rPr>
          <w:i w:val="0"/>
          <w:sz w:val="24"/>
          <w:szCs w:val="24"/>
        </w:rPr>
      </w:pPr>
      <w:bookmarkStart w:id="6" w:name="_Toc374114882"/>
    </w:p>
    <w:p w:rsidR="00F95901" w:rsidRPr="0013264B" w:rsidRDefault="00C56859" w:rsidP="0013264B">
      <w:pPr>
        <w:pStyle w:val="Heading2"/>
      </w:pPr>
      <w:r w:rsidRPr="0013264B">
        <w:t>Educator Shortages</w:t>
      </w:r>
      <w:bookmarkEnd w:id="6"/>
    </w:p>
    <w:p w:rsidR="00F95901" w:rsidRPr="0040232F" w:rsidRDefault="00F95901" w:rsidP="00B675E7">
      <w:pPr>
        <w:autoSpaceDE w:val="0"/>
        <w:autoSpaceDN w:val="0"/>
        <w:adjustRightInd w:val="0"/>
        <w:spacing w:line="240" w:lineRule="auto"/>
        <w:rPr>
          <w:rFonts w:ascii="Times New Roman" w:hAnsi="Times New Roman"/>
        </w:rPr>
      </w:pPr>
      <w:r w:rsidRPr="0040232F">
        <w:rPr>
          <w:rFonts w:ascii="Times New Roman" w:eastAsia="Calibri" w:hAnsi="Times New Roman"/>
        </w:rPr>
        <w:t xml:space="preserve">When school districts cannot find an educator with the proper license for a job opening they can apply to the state for a waiver that allows them to hire someone who does not have the necessary license—this may be a new or experienced </w:t>
      </w:r>
      <w:r w:rsidR="00351E2C" w:rsidRPr="0040232F">
        <w:rPr>
          <w:rFonts w:ascii="Times New Roman" w:eastAsia="Calibri" w:hAnsi="Times New Roman"/>
        </w:rPr>
        <w:t>educator</w:t>
      </w:r>
      <w:r w:rsidRPr="0040232F">
        <w:rPr>
          <w:rFonts w:ascii="Times New Roman" w:eastAsia="Calibri" w:hAnsi="Times New Roman"/>
        </w:rPr>
        <w:t xml:space="preserve"> </w:t>
      </w:r>
      <w:r w:rsidR="001069D3">
        <w:rPr>
          <w:rFonts w:ascii="Times New Roman" w:eastAsia="Calibri" w:hAnsi="Times New Roman"/>
        </w:rPr>
        <w:t>who lacks</w:t>
      </w:r>
      <w:r w:rsidR="001069D3" w:rsidRPr="0040232F">
        <w:rPr>
          <w:rFonts w:ascii="Times New Roman" w:eastAsia="Calibri" w:hAnsi="Times New Roman"/>
        </w:rPr>
        <w:t xml:space="preserve"> </w:t>
      </w:r>
      <w:r w:rsidRPr="0040232F">
        <w:rPr>
          <w:rFonts w:ascii="Times New Roman" w:eastAsia="Calibri" w:hAnsi="Times New Roman"/>
        </w:rPr>
        <w:t xml:space="preserve">the correct license for the position. </w:t>
      </w:r>
      <w:r w:rsidR="00EC128D" w:rsidRPr="00EC128D">
        <w:rPr>
          <w:rFonts w:ascii="Times New Roman" w:eastAsia="Calibri" w:hAnsi="Times New Roman"/>
        </w:rPr>
        <w:t xml:space="preserve">Before they can receive a waiver, districts must demonstrate to ESE that they have been unable to find a properly licensed educator who is qualified for the </w:t>
      </w:r>
      <w:proofErr w:type="gramStart"/>
      <w:r w:rsidR="00EC128D" w:rsidRPr="00EC128D">
        <w:rPr>
          <w:rFonts w:ascii="Times New Roman" w:eastAsia="Calibri" w:hAnsi="Times New Roman"/>
        </w:rPr>
        <w:t>position,</w:t>
      </w:r>
      <w:proofErr w:type="gramEnd"/>
      <w:r w:rsidR="00EC128D" w:rsidRPr="00EC128D">
        <w:rPr>
          <w:rFonts w:ascii="Times New Roman" w:eastAsia="Calibri" w:hAnsi="Times New Roman"/>
        </w:rPr>
        <w:t xml:space="preserve"> therefore waiver data provides a window into the number and types of educator shortages in the state.</w:t>
      </w:r>
      <w:r w:rsidRPr="0040232F">
        <w:rPr>
          <w:rFonts w:ascii="Times New Roman" w:eastAsia="Calibri" w:hAnsi="Times New Roman"/>
        </w:rPr>
        <w:t xml:space="preserve"> </w:t>
      </w:r>
      <w:r w:rsidRPr="0040232F">
        <w:rPr>
          <w:rFonts w:ascii="Times New Roman" w:hAnsi="Times New Roman"/>
        </w:rPr>
        <w:t xml:space="preserve">As Table </w:t>
      </w:r>
      <w:r w:rsidR="00E455D9" w:rsidRPr="0040232F">
        <w:rPr>
          <w:rFonts w:ascii="Times New Roman" w:hAnsi="Times New Roman"/>
        </w:rPr>
        <w:t>1</w:t>
      </w:r>
      <w:r w:rsidRPr="0040232F">
        <w:rPr>
          <w:rFonts w:ascii="Times New Roman" w:hAnsi="Times New Roman"/>
        </w:rPr>
        <w:t>.</w:t>
      </w:r>
      <w:r w:rsidR="00E455D9" w:rsidRPr="0040232F">
        <w:rPr>
          <w:rFonts w:ascii="Times New Roman" w:hAnsi="Times New Roman"/>
        </w:rPr>
        <w:t>3</w:t>
      </w:r>
      <w:r w:rsidRPr="0040232F">
        <w:rPr>
          <w:rFonts w:ascii="Times New Roman" w:hAnsi="Times New Roman"/>
        </w:rPr>
        <w:t xml:space="preserve"> shows, special education remains an area with large shortages. In </w:t>
      </w:r>
      <w:r w:rsidR="001069D3">
        <w:rPr>
          <w:rFonts w:ascii="Times New Roman" w:hAnsi="Times New Roman"/>
        </w:rPr>
        <w:t xml:space="preserve">the </w:t>
      </w:r>
      <w:r w:rsidRPr="0040232F">
        <w:rPr>
          <w:rFonts w:ascii="Times New Roman" w:hAnsi="Times New Roman"/>
        </w:rPr>
        <w:t>2012-</w:t>
      </w:r>
      <w:r w:rsidR="001069D3">
        <w:rPr>
          <w:rFonts w:ascii="Times New Roman" w:hAnsi="Times New Roman"/>
        </w:rPr>
        <w:t>20</w:t>
      </w:r>
      <w:r w:rsidRPr="0040232F">
        <w:rPr>
          <w:rFonts w:ascii="Times New Roman" w:hAnsi="Times New Roman"/>
        </w:rPr>
        <w:t>13</w:t>
      </w:r>
      <w:r w:rsidR="001069D3">
        <w:rPr>
          <w:rFonts w:ascii="Times New Roman" w:hAnsi="Times New Roman"/>
        </w:rPr>
        <w:t xml:space="preserve"> school </w:t>
      </w:r>
      <w:proofErr w:type="gramStart"/>
      <w:r w:rsidR="001069D3">
        <w:rPr>
          <w:rFonts w:ascii="Times New Roman" w:hAnsi="Times New Roman"/>
        </w:rPr>
        <w:t>year</w:t>
      </w:r>
      <w:proofErr w:type="gramEnd"/>
      <w:r w:rsidRPr="0040232F">
        <w:rPr>
          <w:rFonts w:ascii="Times New Roman" w:hAnsi="Times New Roman"/>
        </w:rPr>
        <w:t>, 459 waivers were issued for special education fields, accounting for 73 perce</w:t>
      </w:r>
      <w:r w:rsidR="00A10D8A" w:rsidRPr="0040232F">
        <w:rPr>
          <w:rFonts w:ascii="Times New Roman" w:hAnsi="Times New Roman"/>
        </w:rPr>
        <w:t>nt of all waivers.</w:t>
      </w:r>
    </w:p>
    <w:p w:rsidR="00F95901" w:rsidRPr="00446709" w:rsidRDefault="00F95901" w:rsidP="00446709">
      <w:pPr>
        <w:pStyle w:val="Heading2"/>
        <w:spacing w:line="240" w:lineRule="auto"/>
        <w:rPr>
          <w:i w:val="0"/>
          <w:sz w:val="21"/>
          <w:szCs w:val="21"/>
        </w:rPr>
      </w:pPr>
      <w:r w:rsidRPr="00446709">
        <w:rPr>
          <w:i w:val="0"/>
          <w:sz w:val="21"/>
          <w:szCs w:val="21"/>
        </w:rPr>
        <w:t>Table 1.</w:t>
      </w:r>
      <w:r w:rsidR="00E455D9" w:rsidRPr="00446709">
        <w:rPr>
          <w:i w:val="0"/>
          <w:sz w:val="21"/>
          <w:szCs w:val="21"/>
        </w:rPr>
        <w:t>3</w:t>
      </w:r>
      <w:r w:rsidRPr="00446709">
        <w:rPr>
          <w:i w:val="0"/>
          <w:sz w:val="21"/>
          <w:szCs w:val="21"/>
        </w:rPr>
        <w:t xml:space="preserve">: 2012-13 Waivers Issued by </w:t>
      </w:r>
      <w:r w:rsidR="00941904" w:rsidRPr="00446709">
        <w:rPr>
          <w:i w:val="0"/>
          <w:sz w:val="21"/>
          <w:szCs w:val="21"/>
        </w:rPr>
        <w:t>Shortage Subject</w:t>
      </w:r>
      <w:r w:rsidRPr="00446709">
        <w:rPr>
          <w:i w:val="0"/>
          <w:sz w:val="21"/>
          <w:szCs w:val="21"/>
        </w:rPr>
        <w:t xml:space="preserve"> Area</w:t>
      </w:r>
    </w:p>
    <w:tbl>
      <w:tblPr>
        <w:tblW w:w="57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
      <w:tblGrid>
        <w:gridCol w:w="3063"/>
        <w:gridCol w:w="1347"/>
        <w:gridCol w:w="1350"/>
      </w:tblGrid>
      <w:tr w:rsidR="00F95901" w:rsidRPr="000C1AD4" w:rsidTr="003B6E97">
        <w:trPr>
          <w:cantSplit/>
          <w:trHeight w:hRule="exact" w:val="503"/>
        </w:trPr>
        <w:tc>
          <w:tcPr>
            <w:tcW w:w="3063" w:type="dxa"/>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tcMar>
              <w:top w:w="43" w:type="dxa"/>
              <w:bottom w:w="43" w:type="dxa"/>
              <w:right w:w="144" w:type="dxa"/>
            </w:tcMar>
            <w:vAlign w:val="bottom"/>
          </w:tcPr>
          <w:p w:rsidR="00F95901" w:rsidRPr="000C1AD4" w:rsidRDefault="00F95901" w:rsidP="000C1AD4">
            <w:pPr>
              <w:autoSpaceDE w:val="0"/>
              <w:autoSpaceDN w:val="0"/>
              <w:adjustRightInd w:val="0"/>
              <w:spacing w:line="240" w:lineRule="auto"/>
              <w:rPr>
                <w:rFonts w:ascii="Arial Narrow" w:hAnsi="Arial Narrow"/>
                <w:b/>
                <w:sz w:val="21"/>
                <w:szCs w:val="21"/>
              </w:rPr>
            </w:pPr>
            <w:r w:rsidRPr="000C1AD4">
              <w:rPr>
                <w:rFonts w:ascii="Arial Narrow" w:hAnsi="Arial Narrow"/>
                <w:b/>
                <w:sz w:val="21"/>
                <w:szCs w:val="21"/>
              </w:rPr>
              <w:t>Subject Area</w:t>
            </w:r>
          </w:p>
        </w:tc>
        <w:tc>
          <w:tcPr>
            <w:tcW w:w="1347" w:type="dxa"/>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tcMar>
              <w:top w:w="43" w:type="dxa"/>
              <w:bottom w:w="43" w:type="dxa"/>
              <w:right w:w="144" w:type="dxa"/>
            </w:tcMar>
            <w:vAlign w:val="bottom"/>
          </w:tcPr>
          <w:p w:rsidR="00F95901" w:rsidRPr="000C1AD4" w:rsidRDefault="00F95901" w:rsidP="000C1AD4">
            <w:pPr>
              <w:autoSpaceDE w:val="0"/>
              <w:autoSpaceDN w:val="0"/>
              <w:adjustRightInd w:val="0"/>
              <w:spacing w:line="240" w:lineRule="auto"/>
              <w:jc w:val="center"/>
              <w:rPr>
                <w:rFonts w:ascii="Arial Narrow" w:hAnsi="Arial Narrow"/>
                <w:b/>
                <w:sz w:val="21"/>
                <w:szCs w:val="21"/>
              </w:rPr>
            </w:pPr>
            <w:r w:rsidRPr="000C1AD4">
              <w:rPr>
                <w:rFonts w:ascii="Arial Narrow" w:hAnsi="Arial Narrow"/>
                <w:b/>
                <w:sz w:val="21"/>
                <w:szCs w:val="21"/>
              </w:rPr>
              <w:t># Issued in 2012-13</w:t>
            </w:r>
          </w:p>
        </w:tc>
        <w:tc>
          <w:tcPr>
            <w:tcW w:w="1350" w:type="dxa"/>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tcMar>
              <w:top w:w="43" w:type="dxa"/>
              <w:bottom w:w="43" w:type="dxa"/>
              <w:right w:w="144" w:type="dxa"/>
            </w:tcMar>
            <w:vAlign w:val="bottom"/>
          </w:tcPr>
          <w:p w:rsidR="00F95901" w:rsidRPr="000C1AD4" w:rsidRDefault="00F95901" w:rsidP="000C1AD4">
            <w:pPr>
              <w:autoSpaceDE w:val="0"/>
              <w:autoSpaceDN w:val="0"/>
              <w:adjustRightInd w:val="0"/>
              <w:spacing w:line="240" w:lineRule="auto"/>
              <w:jc w:val="center"/>
              <w:rPr>
                <w:rFonts w:ascii="Arial Narrow" w:hAnsi="Arial Narrow"/>
                <w:b/>
                <w:sz w:val="21"/>
                <w:szCs w:val="21"/>
              </w:rPr>
            </w:pPr>
            <w:r w:rsidRPr="000C1AD4">
              <w:rPr>
                <w:rFonts w:ascii="Arial Narrow" w:hAnsi="Arial Narrow"/>
                <w:b/>
                <w:sz w:val="21"/>
                <w:szCs w:val="21"/>
              </w:rPr>
              <w:t>Percent of Total</w:t>
            </w:r>
          </w:p>
        </w:tc>
      </w:tr>
      <w:tr w:rsidR="00F95901" w:rsidRPr="000C1AD4" w:rsidTr="003B6E97">
        <w:trPr>
          <w:cantSplit/>
          <w:trHeight w:hRule="exact" w:val="323"/>
        </w:trPr>
        <w:tc>
          <w:tcPr>
            <w:tcW w:w="3063" w:type="dxa"/>
            <w:tcBorders>
              <w:bottom w:val="single" w:sz="4" w:space="0" w:color="auto"/>
            </w:tcBorders>
            <w:tcMar>
              <w:top w:w="43" w:type="dxa"/>
              <w:bottom w:w="43" w:type="dxa"/>
              <w:right w:w="144" w:type="dxa"/>
            </w:tcMar>
            <w:vAlign w:val="center"/>
          </w:tcPr>
          <w:p w:rsidR="00F95901" w:rsidRPr="000C1AD4" w:rsidRDefault="00F95901" w:rsidP="0040232F">
            <w:pPr>
              <w:autoSpaceDE w:val="0"/>
              <w:autoSpaceDN w:val="0"/>
              <w:adjustRightInd w:val="0"/>
              <w:spacing w:line="240" w:lineRule="auto"/>
              <w:rPr>
                <w:rFonts w:ascii="Arial Narrow" w:hAnsi="Arial Narrow"/>
                <w:b/>
                <w:sz w:val="21"/>
                <w:szCs w:val="21"/>
              </w:rPr>
            </w:pPr>
            <w:r w:rsidRPr="000C1AD4">
              <w:rPr>
                <w:rFonts w:ascii="Arial Narrow" w:hAnsi="Arial Narrow"/>
                <w:b/>
                <w:sz w:val="21"/>
                <w:szCs w:val="21"/>
              </w:rPr>
              <w:t xml:space="preserve">Not </w:t>
            </w:r>
            <w:r w:rsidR="00AA4A08" w:rsidRPr="000C1AD4">
              <w:rPr>
                <w:rFonts w:ascii="Arial Narrow" w:hAnsi="Arial Narrow"/>
                <w:b/>
                <w:sz w:val="21"/>
                <w:szCs w:val="21"/>
              </w:rPr>
              <w:t>Shortage Area</w:t>
            </w:r>
            <w:r w:rsidRPr="000C1AD4">
              <w:rPr>
                <w:rFonts w:ascii="Arial Narrow" w:hAnsi="Arial Narrow"/>
                <w:b/>
                <w:sz w:val="21"/>
                <w:szCs w:val="21"/>
              </w:rPr>
              <w:t xml:space="preserve"> </w:t>
            </w:r>
          </w:p>
        </w:tc>
        <w:tc>
          <w:tcPr>
            <w:tcW w:w="1347" w:type="dxa"/>
            <w:tcBorders>
              <w:bottom w:val="single" w:sz="4" w:space="0" w:color="auto"/>
            </w:tcBorders>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b/>
                <w:sz w:val="21"/>
                <w:szCs w:val="21"/>
              </w:rPr>
            </w:pPr>
            <w:r w:rsidRPr="000C1AD4">
              <w:rPr>
                <w:rFonts w:ascii="Arial Narrow" w:hAnsi="Arial Narrow"/>
                <w:b/>
                <w:sz w:val="21"/>
                <w:szCs w:val="21"/>
              </w:rPr>
              <w:t>87</w:t>
            </w:r>
          </w:p>
        </w:tc>
        <w:tc>
          <w:tcPr>
            <w:tcW w:w="1350" w:type="dxa"/>
            <w:tcBorders>
              <w:bottom w:val="single" w:sz="4" w:space="0" w:color="auto"/>
            </w:tcBorders>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b/>
                <w:sz w:val="21"/>
                <w:szCs w:val="21"/>
              </w:rPr>
            </w:pPr>
            <w:r w:rsidRPr="000C1AD4">
              <w:rPr>
                <w:rFonts w:ascii="Arial Narrow" w:hAnsi="Arial Narrow"/>
                <w:b/>
                <w:sz w:val="21"/>
                <w:szCs w:val="21"/>
              </w:rPr>
              <w:t>1</w:t>
            </w:r>
            <w:r w:rsidR="000E2E89" w:rsidRPr="000C1AD4">
              <w:rPr>
                <w:rFonts w:ascii="Arial Narrow" w:hAnsi="Arial Narrow"/>
                <w:b/>
                <w:sz w:val="21"/>
                <w:szCs w:val="21"/>
              </w:rPr>
              <w:t>3.8</w:t>
            </w:r>
            <w:r w:rsidRPr="000C1AD4">
              <w:rPr>
                <w:rFonts w:ascii="Arial Narrow" w:hAnsi="Arial Narrow"/>
                <w:b/>
                <w:sz w:val="21"/>
                <w:szCs w:val="21"/>
              </w:rPr>
              <w:t>%</w:t>
            </w:r>
          </w:p>
        </w:tc>
      </w:tr>
      <w:tr w:rsidR="00F95901" w:rsidRPr="000C1AD4" w:rsidTr="003B6E97">
        <w:trPr>
          <w:cantSplit/>
          <w:trHeight w:hRule="exact" w:val="278"/>
        </w:trPr>
        <w:tc>
          <w:tcPr>
            <w:tcW w:w="3063" w:type="dxa"/>
            <w:tcBorders>
              <w:bottom w:val="single" w:sz="12" w:space="0" w:color="auto"/>
            </w:tcBorders>
            <w:tcMar>
              <w:top w:w="43" w:type="dxa"/>
              <w:bottom w:w="43" w:type="dxa"/>
              <w:right w:w="144" w:type="dxa"/>
            </w:tcMar>
            <w:vAlign w:val="center"/>
          </w:tcPr>
          <w:p w:rsidR="00F95901" w:rsidRPr="000C1AD4" w:rsidRDefault="00AA4A08" w:rsidP="0040232F">
            <w:pPr>
              <w:autoSpaceDE w:val="0"/>
              <w:autoSpaceDN w:val="0"/>
              <w:adjustRightInd w:val="0"/>
              <w:spacing w:line="240" w:lineRule="auto"/>
              <w:rPr>
                <w:rFonts w:ascii="Arial Narrow" w:hAnsi="Arial Narrow"/>
                <w:b/>
                <w:sz w:val="21"/>
                <w:szCs w:val="21"/>
              </w:rPr>
            </w:pPr>
            <w:r w:rsidRPr="000C1AD4">
              <w:rPr>
                <w:rFonts w:ascii="Arial Narrow" w:hAnsi="Arial Narrow"/>
                <w:b/>
                <w:sz w:val="21"/>
                <w:szCs w:val="21"/>
              </w:rPr>
              <w:t>Shortage Area</w:t>
            </w:r>
          </w:p>
        </w:tc>
        <w:tc>
          <w:tcPr>
            <w:tcW w:w="1347" w:type="dxa"/>
            <w:tcBorders>
              <w:bottom w:val="single" w:sz="12" w:space="0" w:color="auto"/>
            </w:tcBorders>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b/>
                <w:sz w:val="21"/>
                <w:szCs w:val="21"/>
              </w:rPr>
            </w:pPr>
            <w:r w:rsidRPr="000C1AD4">
              <w:rPr>
                <w:rFonts w:ascii="Arial Narrow" w:hAnsi="Arial Narrow"/>
                <w:b/>
                <w:sz w:val="21"/>
                <w:szCs w:val="21"/>
              </w:rPr>
              <w:t>542</w:t>
            </w:r>
          </w:p>
        </w:tc>
        <w:tc>
          <w:tcPr>
            <w:tcW w:w="1350" w:type="dxa"/>
            <w:tcBorders>
              <w:bottom w:val="single" w:sz="12" w:space="0" w:color="auto"/>
            </w:tcBorders>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b/>
                <w:sz w:val="21"/>
                <w:szCs w:val="21"/>
              </w:rPr>
            </w:pPr>
            <w:r w:rsidRPr="000C1AD4">
              <w:rPr>
                <w:rFonts w:ascii="Arial Narrow" w:hAnsi="Arial Narrow"/>
                <w:b/>
                <w:sz w:val="21"/>
                <w:szCs w:val="21"/>
              </w:rPr>
              <w:t>86.2%</w:t>
            </w:r>
          </w:p>
        </w:tc>
      </w:tr>
      <w:tr w:rsidR="00F95901" w:rsidRPr="000C1AD4" w:rsidTr="0023342C">
        <w:trPr>
          <w:cantSplit/>
          <w:trHeight w:hRule="exact" w:val="316"/>
        </w:trPr>
        <w:tc>
          <w:tcPr>
            <w:tcW w:w="3063" w:type="dxa"/>
            <w:tcBorders>
              <w:top w:val="single" w:sz="12" w:space="0" w:color="auto"/>
            </w:tcBorders>
            <w:tcMar>
              <w:top w:w="43" w:type="dxa"/>
              <w:bottom w:w="43" w:type="dxa"/>
              <w:right w:w="144" w:type="dxa"/>
            </w:tcMar>
            <w:vAlign w:val="center"/>
          </w:tcPr>
          <w:p w:rsidR="00F95901" w:rsidRPr="000C1AD4" w:rsidRDefault="00F95901" w:rsidP="003B6E97">
            <w:pPr>
              <w:autoSpaceDE w:val="0"/>
              <w:autoSpaceDN w:val="0"/>
              <w:adjustRightInd w:val="0"/>
              <w:spacing w:line="240" w:lineRule="auto"/>
              <w:ind w:firstLine="245"/>
              <w:rPr>
                <w:rFonts w:ascii="Arial Narrow" w:hAnsi="Arial Narrow"/>
                <w:sz w:val="21"/>
                <w:szCs w:val="21"/>
              </w:rPr>
            </w:pPr>
            <w:r w:rsidRPr="000C1AD4">
              <w:rPr>
                <w:rFonts w:ascii="Arial Narrow" w:hAnsi="Arial Narrow"/>
                <w:sz w:val="21"/>
                <w:szCs w:val="21"/>
              </w:rPr>
              <w:t>Moderate Disabilities</w:t>
            </w:r>
          </w:p>
        </w:tc>
        <w:tc>
          <w:tcPr>
            <w:tcW w:w="1347" w:type="dxa"/>
            <w:tcBorders>
              <w:top w:val="single" w:sz="12" w:space="0" w:color="auto"/>
            </w:tcBorders>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291</w:t>
            </w:r>
          </w:p>
        </w:tc>
        <w:tc>
          <w:tcPr>
            <w:tcW w:w="1350" w:type="dxa"/>
            <w:tcBorders>
              <w:top w:val="single" w:sz="12" w:space="0" w:color="auto"/>
            </w:tcBorders>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46.3%</w:t>
            </w:r>
          </w:p>
        </w:tc>
      </w:tr>
      <w:tr w:rsidR="00F95901" w:rsidRPr="000C1AD4" w:rsidTr="003B6E97">
        <w:trPr>
          <w:cantSplit/>
          <w:trHeight w:hRule="exact" w:val="296"/>
        </w:trPr>
        <w:tc>
          <w:tcPr>
            <w:tcW w:w="3063" w:type="dxa"/>
            <w:tcMar>
              <w:top w:w="43" w:type="dxa"/>
              <w:bottom w:w="43" w:type="dxa"/>
              <w:right w:w="144" w:type="dxa"/>
            </w:tcMar>
            <w:vAlign w:val="center"/>
          </w:tcPr>
          <w:p w:rsidR="00F95901" w:rsidRPr="000C1AD4" w:rsidRDefault="00F95901" w:rsidP="003B6E97">
            <w:pPr>
              <w:autoSpaceDE w:val="0"/>
              <w:autoSpaceDN w:val="0"/>
              <w:adjustRightInd w:val="0"/>
              <w:spacing w:line="240" w:lineRule="auto"/>
              <w:ind w:firstLine="245"/>
              <w:rPr>
                <w:rFonts w:ascii="Arial Narrow" w:hAnsi="Arial Narrow"/>
                <w:sz w:val="21"/>
                <w:szCs w:val="21"/>
              </w:rPr>
            </w:pPr>
            <w:r w:rsidRPr="000C1AD4">
              <w:rPr>
                <w:rFonts w:ascii="Arial Narrow" w:hAnsi="Arial Narrow"/>
                <w:sz w:val="21"/>
                <w:szCs w:val="21"/>
              </w:rPr>
              <w:t>Severe Disabilities</w:t>
            </w:r>
          </w:p>
        </w:tc>
        <w:tc>
          <w:tcPr>
            <w:tcW w:w="1347"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136</w:t>
            </w:r>
          </w:p>
        </w:tc>
        <w:tc>
          <w:tcPr>
            <w:tcW w:w="1350"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21.6%</w:t>
            </w:r>
          </w:p>
        </w:tc>
      </w:tr>
      <w:tr w:rsidR="00F95901" w:rsidRPr="000C1AD4" w:rsidTr="0023342C">
        <w:trPr>
          <w:cantSplit/>
          <w:trHeight w:hRule="exact" w:val="269"/>
        </w:trPr>
        <w:tc>
          <w:tcPr>
            <w:tcW w:w="3063" w:type="dxa"/>
            <w:tcMar>
              <w:top w:w="43" w:type="dxa"/>
              <w:bottom w:w="43" w:type="dxa"/>
              <w:right w:w="144" w:type="dxa"/>
            </w:tcMar>
            <w:vAlign w:val="center"/>
          </w:tcPr>
          <w:p w:rsidR="00F95901" w:rsidRPr="000C1AD4" w:rsidRDefault="00F95901" w:rsidP="003B6E97">
            <w:pPr>
              <w:autoSpaceDE w:val="0"/>
              <w:autoSpaceDN w:val="0"/>
              <w:adjustRightInd w:val="0"/>
              <w:spacing w:line="240" w:lineRule="auto"/>
              <w:ind w:firstLine="245"/>
              <w:rPr>
                <w:rFonts w:ascii="Arial Narrow" w:hAnsi="Arial Narrow"/>
                <w:sz w:val="21"/>
                <w:szCs w:val="21"/>
              </w:rPr>
            </w:pPr>
            <w:r w:rsidRPr="000C1AD4">
              <w:rPr>
                <w:rFonts w:ascii="Arial Narrow" w:hAnsi="Arial Narrow"/>
                <w:sz w:val="21"/>
                <w:szCs w:val="21"/>
              </w:rPr>
              <w:t>STEM Fields</w:t>
            </w:r>
          </w:p>
        </w:tc>
        <w:tc>
          <w:tcPr>
            <w:tcW w:w="1347"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35</w:t>
            </w:r>
          </w:p>
        </w:tc>
        <w:tc>
          <w:tcPr>
            <w:tcW w:w="1350"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5.6%</w:t>
            </w:r>
          </w:p>
        </w:tc>
      </w:tr>
      <w:tr w:rsidR="00F95901" w:rsidRPr="000C1AD4" w:rsidTr="0023342C">
        <w:trPr>
          <w:cantSplit/>
          <w:trHeight w:hRule="exact" w:val="287"/>
        </w:trPr>
        <w:tc>
          <w:tcPr>
            <w:tcW w:w="3063" w:type="dxa"/>
            <w:tcMar>
              <w:top w:w="43" w:type="dxa"/>
              <w:bottom w:w="43" w:type="dxa"/>
              <w:right w:w="144" w:type="dxa"/>
            </w:tcMar>
            <w:vAlign w:val="center"/>
          </w:tcPr>
          <w:p w:rsidR="00F95901" w:rsidRPr="000C1AD4" w:rsidRDefault="00F95901" w:rsidP="003B6E97">
            <w:pPr>
              <w:autoSpaceDE w:val="0"/>
              <w:autoSpaceDN w:val="0"/>
              <w:adjustRightInd w:val="0"/>
              <w:spacing w:line="240" w:lineRule="auto"/>
              <w:ind w:firstLine="245"/>
              <w:rPr>
                <w:rFonts w:ascii="Arial Narrow" w:hAnsi="Arial Narrow"/>
                <w:sz w:val="21"/>
                <w:szCs w:val="21"/>
              </w:rPr>
            </w:pPr>
            <w:r w:rsidRPr="000C1AD4">
              <w:rPr>
                <w:rFonts w:ascii="Arial Narrow" w:hAnsi="Arial Narrow"/>
                <w:sz w:val="21"/>
                <w:szCs w:val="21"/>
              </w:rPr>
              <w:t>Other Special Education Areas</w:t>
            </w:r>
          </w:p>
        </w:tc>
        <w:tc>
          <w:tcPr>
            <w:tcW w:w="1347"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32</w:t>
            </w:r>
          </w:p>
        </w:tc>
        <w:tc>
          <w:tcPr>
            <w:tcW w:w="1350"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5.1%</w:t>
            </w:r>
          </w:p>
        </w:tc>
      </w:tr>
      <w:tr w:rsidR="00F95901" w:rsidRPr="000C1AD4" w:rsidTr="003B6E97">
        <w:trPr>
          <w:cantSplit/>
          <w:trHeight w:hRule="exact" w:val="323"/>
        </w:trPr>
        <w:tc>
          <w:tcPr>
            <w:tcW w:w="3063" w:type="dxa"/>
            <w:tcMar>
              <w:top w:w="43" w:type="dxa"/>
              <w:bottom w:w="43" w:type="dxa"/>
              <w:right w:w="144" w:type="dxa"/>
            </w:tcMar>
            <w:vAlign w:val="center"/>
          </w:tcPr>
          <w:p w:rsidR="00F95901" w:rsidRPr="000C1AD4" w:rsidRDefault="00F95901" w:rsidP="003B6E97">
            <w:pPr>
              <w:autoSpaceDE w:val="0"/>
              <w:autoSpaceDN w:val="0"/>
              <w:adjustRightInd w:val="0"/>
              <w:spacing w:line="240" w:lineRule="auto"/>
              <w:ind w:firstLine="245"/>
              <w:rPr>
                <w:rFonts w:ascii="Arial Narrow" w:hAnsi="Arial Narrow"/>
                <w:sz w:val="21"/>
                <w:szCs w:val="21"/>
              </w:rPr>
            </w:pPr>
            <w:r w:rsidRPr="000C1AD4">
              <w:rPr>
                <w:rFonts w:ascii="Arial Narrow" w:hAnsi="Arial Narrow"/>
                <w:sz w:val="21"/>
                <w:szCs w:val="21"/>
              </w:rPr>
              <w:t>English Language Arts</w:t>
            </w:r>
          </w:p>
        </w:tc>
        <w:tc>
          <w:tcPr>
            <w:tcW w:w="1347"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23</w:t>
            </w:r>
          </w:p>
        </w:tc>
        <w:tc>
          <w:tcPr>
            <w:tcW w:w="1350"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3.7%</w:t>
            </w:r>
          </w:p>
        </w:tc>
      </w:tr>
      <w:tr w:rsidR="00F95901" w:rsidRPr="000C1AD4" w:rsidTr="003B6E97">
        <w:trPr>
          <w:cantSplit/>
          <w:trHeight w:hRule="exact" w:val="260"/>
        </w:trPr>
        <w:tc>
          <w:tcPr>
            <w:tcW w:w="3063" w:type="dxa"/>
            <w:tcMar>
              <w:top w:w="43" w:type="dxa"/>
              <w:bottom w:w="43" w:type="dxa"/>
              <w:right w:w="144" w:type="dxa"/>
            </w:tcMar>
            <w:vAlign w:val="center"/>
          </w:tcPr>
          <w:p w:rsidR="00F95901" w:rsidRPr="000C1AD4" w:rsidRDefault="00F95901" w:rsidP="003B6E97">
            <w:pPr>
              <w:autoSpaceDE w:val="0"/>
              <w:autoSpaceDN w:val="0"/>
              <w:adjustRightInd w:val="0"/>
              <w:spacing w:line="240" w:lineRule="auto"/>
              <w:ind w:firstLine="245"/>
              <w:rPr>
                <w:rFonts w:ascii="Arial Narrow" w:hAnsi="Arial Narrow"/>
                <w:sz w:val="21"/>
                <w:szCs w:val="21"/>
              </w:rPr>
            </w:pPr>
            <w:r w:rsidRPr="000C1AD4">
              <w:rPr>
                <w:rFonts w:ascii="Arial Narrow" w:hAnsi="Arial Narrow"/>
                <w:sz w:val="21"/>
                <w:szCs w:val="21"/>
              </w:rPr>
              <w:t>Foreign Languages</w:t>
            </w:r>
          </w:p>
        </w:tc>
        <w:tc>
          <w:tcPr>
            <w:tcW w:w="1347"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13</w:t>
            </w:r>
          </w:p>
        </w:tc>
        <w:tc>
          <w:tcPr>
            <w:tcW w:w="1350"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2.1%</w:t>
            </w:r>
          </w:p>
        </w:tc>
      </w:tr>
      <w:tr w:rsidR="00F95901" w:rsidRPr="000C1AD4" w:rsidTr="0023342C">
        <w:trPr>
          <w:cantSplit/>
          <w:trHeight w:hRule="exact" w:val="287"/>
        </w:trPr>
        <w:tc>
          <w:tcPr>
            <w:tcW w:w="3063" w:type="dxa"/>
            <w:tcMar>
              <w:top w:w="43" w:type="dxa"/>
              <w:bottom w:w="43" w:type="dxa"/>
              <w:right w:w="144" w:type="dxa"/>
            </w:tcMar>
            <w:vAlign w:val="center"/>
          </w:tcPr>
          <w:p w:rsidR="00F95901" w:rsidRPr="000C1AD4" w:rsidRDefault="00F95901" w:rsidP="003B6E97">
            <w:pPr>
              <w:autoSpaceDE w:val="0"/>
              <w:autoSpaceDN w:val="0"/>
              <w:adjustRightInd w:val="0"/>
              <w:spacing w:line="240" w:lineRule="auto"/>
              <w:ind w:firstLine="245"/>
              <w:rPr>
                <w:rFonts w:ascii="Arial Narrow" w:hAnsi="Arial Narrow"/>
                <w:sz w:val="21"/>
                <w:szCs w:val="21"/>
              </w:rPr>
            </w:pPr>
            <w:r w:rsidRPr="000C1AD4">
              <w:rPr>
                <w:rFonts w:ascii="Arial Narrow" w:hAnsi="Arial Narrow"/>
                <w:sz w:val="21"/>
                <w:szCs w:val="21"/>
              </w:rPr>
              <w:t>English as a Second Language</w:t>
            </w:r>
          </w:p>
        </w:tc>
        <w:tc>
          <w:tcPr>
            <w:tcW w:w="1347"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6</w:t>
            </w:r>
          </w:p>
        </w:tc>
        <w:tc>
          <w:tcPr>
            <w:tcW w:w="1350"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1</w:t>
            </w:r>
            <w:r w:rsidR="000E2E89" w:rsidRPr="000C1AD4">
              <w:rPr>
                <w:rFonts w:ascii="Arial Narrow" w:hAnsi="Arial Narrow"/>
                <w:sz w:val="21"/>
                <w:szCs w:val="21"/>
              </w:rPr>
              <w:t>.0</w:t>
            </w:r>
            <w:r w:rsidRPr="000C1AD4">
              <w:rPr>
                <w:rFonts w:ascii="Arial Narrow" w:hAnsi="Arial Narrow"/>
                <w:sz w:val="21"/>
                <w:szCs w:val="21"/>
              </w:rPr>
              <w:t>%</w:t>
            </w:r>
          </w:p>
        </w:tc>
      </w:tr>
      <w:tr w:rsidR="00F95901" w:rsidRPr="000C1AD4" w:rsidTr="00D93F41">
        <w:trPr>
          <w:cantSplit/>
          <w:trHeight w:hRule="exact" w:val="341"/>
        </w:trPr>
        <w:tc>
          <w:tcPr>
            <w:tcW w:w="3063" w:type="dxa"/>
            <w:tcMar>
              <w:top w:w="43" w:type="dxa"/>
              <w:bottom w:w="43" w:type="dxa"/>
              <w:right w:w="144" w:type="dxa"/>
            </w:tcMar>
            <w:vAlign w:val="center"/>
          </w:tcPr>
          <w:p w:rsidR="00F95901" w:rsidRPr="000C1AD4" w:rsidRDefault="00F95901" w:rsidP="003B6E97">
            <w:pPr>
              <w:autoSpaceDE w:val="0"/>
              <w:autoSpaceDN w:val="0"/>
              <w:adjustRightInd w:val="0"/>
              <w:spacing w:line="240" w:lineRule="auto"/>
              <w:ind w:firstLine="245"/>
              <w:rPr>
                <w:rFonts w:ascii="Arial Narrow" w:hAnsi="Arial Narrow"/>
                <w:sz w:val="21"/>
                <w:szCs w:val="21"/>
              </w:rPr>
            </w:pPr>
            <w:r w:rsidRPr="000C1AD4">
              <w:rPr>
                <w:rFonts w:ascii="Arial Narrow" w:hAnsi="Arial Narrow"/>
                <w:sz w:val="21"/>
                <w:szCs w:val="21"/>
              </w:rPr>
              <w:t>Early Childhood</w:t>
            </w:r>
          </w:p>
        </w:tc>
        <w:tc>
          <w:tcPr>
            <w:tcW w:w="1347"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6</w:t>
            </w:r>
          </w:p>
        </w:tc>
        <w:tc>
          <w:tcPr>
            <w:tcW w:w="1350" w:type="dxa"/>
            <w:tcMar>
              <w:top w:w="43" w:type="dxa"/>
              <w:bottom w:w="43" w:type="dxa"/>
              <w:right w:w="144" w:type="dxa"/>
            </w:tcMar>
            <w:vAlign w:val="center"/>
          </w:tcPr>
          <w:p w:rsidR="00F95901" w:rsidRPr="000C1AD4" w:rsidRDefault="00F95901" w:rsidP="0040232F">
            <w:pPr>
              <w:autoSpaceDE w:val="0"/>
              <w:autoSpaceDN w:val="0"/>
              <w:adjustRightInd w:val="0"/>
              <w:spacing w:line="240" w:lineRule="auto"/>
              <w:jc w:val="center"/>
              <w:rPr>
                <w:rFonts w:ascii="Arial Narrow" w:hAnsi="Arial Narrow"/>
                <w:sz w:val="21"/>
                <w:szCs w:val="21"/>
              </w:rPr>
            </w:pPr>
            <w:r w:rsidRPr="000C1AD4">
              <w:rPr>
                <w:rFonts w:ascii="Arial Narrow" w:hAnsi="Arial Narrow"/>
                <w:sz w:val="21"/>
                <w:szCs w:val="21"/>
              </w:rPr>
              <w:t>1</w:t>
            </w:r>
            <w:r w:rsidR="000E2E89" w:rsidRPr="000C1AD4">
              <w:rPr>
                <w:rFonts w:ascii="Arial Narrow" w:hAnsi="Arial Narrow"/>
                <w:sz w:val="21"/>
                <w:szCs w:val="21"/>
              </w:rPr>
              <w:t>.0</w:t>
            </w:r>
            <w:r w:rsidRPr="000C1AD4">
              <w:rPr>
                <w:rFonts w:ascii="Arial Narrow" w:hAnsi="Arial Narrow"/>
                <w:sz w:val="21"/>
                <w:szCs w:val="21"/>
              </w:rPr>
              <w:t>%</w:t>
            </w:r>
          </w:p>
        </w:tc>
      </w:tr>
    </w:tbl>
    <w:p w:rsidR="0025716A" w:rsidRDefault="00405AE2" w:rsidP="000C3038">
      <w:pPr>
        <w:autoSpaceDE w:val="0"/>
        <w:autoSpaceDN w:val="0"/>
        <w:adjustRightInd w:val="0"/>
        <w:spacing w:line="240" w:lineRule="auto"/>
        <w:rPr>
          <w:rFonts w:ascii="Times New Roman" w:eastAsia="Calibri" w:hAnsi="Times New Roman"/>
        </w:rPr>
      </w:pPr>
      <w:r w:rsidRPr="0040232F">
        <w:rPr>
          <w:rFonts w:ascii="Times New Roman" w:eastAsia="Calibri" w:hAnsi="Times New Roman"/>
        </w:rPr>
        <w:t>Overall</w:t>
      </w:r>
      <w:r w:rsidR="00F95901" w:rsidRPr="0040232F">
        <w:rPr>
          <w:rFonts w:ascii="Times New Roman" w:eastAsia="Calibri" w:hAnsi="Times New Roman"/>
        </w:rPr>
        <w:t>, the number of waivers issued declined substantially</w:t>
      </w:r>
      <w:r w:rsidRPr="0040232F">
        <w:rPr>
          <w:rFonts w:ascii="Times New Roman" w:eastAsia="Calibri" w:hAnsi="Times New Roman"/>
        </w:rPr>
        <w:t xml:space="preserve"> </w:t>
      </w:r>
      <w:r w:rsidR="0097714E" w:rsidRPr="0040232F">
        <w:rPr>
          <w:rFonts w:ascii="Times New Roman" w:eastAsia="Calibri" w:hAnsi="Times New Roman"/>
        </w:rPr>
        <w:t>between</w:t>
      </w:r>
      <w:r w:rsidRPr="0040232F">
        <w:rPr>
          <w:rFonts w:ascii="Times New Roman" w:eastAsia="Calibri" w:hAnsi="Times New Roman"/>
        </w:rPr>
        <w:t xml:space="preserve"> 2008 </w:t>
      </w:r>
      <w:r w:rsidR="0097714E" w:rsidRPr="0040232F">
        <w:rPr>
          <w:rFonts w:ascii="Times New Roman" w:eastAsia="Calibri" w:hAnsi="Times New Roman"/>
        </w:rPr>
        <w:t>and</w:t>
      </w:r>
      <w:r w:rsidRPr="0040232F">
        <w:rPr>
          <w:rFonts w:ascii="Times New Roman" w:eastAsia="Calibri" w:hAnsi="Times New Roman"/>
        </w:rPr>
        <w:t xml:space="preserve"> 2013</w:t>
      </w:r>
      <w:r w:rsidR="00F95901" w:rsidRPr="0040232F">
        <w:rPr>
          <w:rFonts w:ascii="Times New Roman" w:eastAsia="Calibri" w:hAnsi="Times New Roman"/>
        </w:rPr>
        <w:t xml:space="preserve">, dropping 80 percent from 3,145 to 629. This is the result of a steady decline over six years followed by a sharp reduction in </w:t>
      </w:r>
      <w:r w:rsidR="00A2298A">
        <w:rPr>
          <w:rFonts w:ascii="Times New Roman" w:eastAsia="Calibri" w:hAnsi="Times New Roman"/>
        </w:rPr>
        <w:t xml:space="preserve">the </w:t>
      </w:r>
      <w:r w:rsidR="00F95901" w:rsidRPr="0040232F">
        <w:rPr>
          <w:rFonts w:ascii="Times New Roman" w:eastAsia="Calibri" w:hAnsi="Times New Roman"/>
        </w:rPr>
        <w:t>2012-</w:t>
      </w:r>
      <w:r w:rsidR="00A2298A">
        <w:rPr>
          <w:rFonts w:ascii="Times New Roman" w:eastAsia="Calibri" w:hAnsi="Times New Roman"/>
        </w:rPr>
        <w:t>20</w:t>
      </w:r>
      <w:r w:rsidR="00F95901" w:rsidRPr="0040232F">
        <w:rPr>
          <w:rFonts w:ascii="Times New Roman" w:eastAsia="Calibri" w:hAnsi="Times New Roman"/>
        </w:rPr>
        <w:t xml:space="preserve">13 </w:t>
      </w:r>
      <w:r w:rsidR="00A2298A">
        <w:rPr>
          <w:rFonts w:ascii="Times New Roman" w:eastAsia="Calibri" w:hAnsi="Times New Roman"/>
        </w:rPr>
        <w:t xml:space="preserve">school </w:t>
      </w:r>
      <w:proofErr w:type="gramStart"/>
      <w:r w:rsidR="00A2298A">
        <w:rPr>
          <w:rFonts w:ascii="Times New Roman" w:eastAsia="Calibri" w:hAnsi="Times New Roman"/>
        </w:rPr>
        <w:t>year</w:t>
      </w:r>
      <w:proofErr w:type="gramEnd"/>
      <w:r w:rsidR="00A2298A">
        <w:rPr>
          <w:rFonts w:ascii="Times New Roman" w:eastAsia="Calibri" w:hAnsi="Times New Roman"/>
        </w:rPr>
        <w:t xml:space="preserve"> </w:t>
      </w:r>
      <w:r w:rsidR="00F95901" w:rsidRPr="0040232F">
        <w:rPr>
          <w:rFonts w:ascii="Times New Roman" w:eastAsia="Calibri" w:hAnsi="Times New Roman"/>
        </w:rPr>
        <w:t>as a result of court-mandated changes to how ESE reviews and app</w:t>
      </w:r>
      <w:r w:rsidR="006B0F3F" w:rsidRPr="0040232F">
        <w:rPr>
          <w:rFonts w:ascii="Times New Roman" w:eastAsia="Calibri" w:hAnsi="Times New Roman"/>
        </w:rPr>
        <w:t>roves waiver requests (Chart 1.4</w:t>
      </w:r>
      <w:r w:rsidR="00F95901" w:rsidRPr="0040232F">
        <w:rPr>
          <w:rFonts w:ascii="Times New Roman" w:eastAsia="Calibri" w:hAnsi="Times New Roman"/>
        </w:rPr>
        <w:t>).</w:t>
      </w:r>
      <w:r w:rsidR="00F95901" w:rsidRPr="0040232F">
        <w:rPr>
          <w:rStyle w:val="FootnoteReference"/>
          <w:rFonts w:ascii="Times New Roman" w:eastAsia="Calibri" w:hAnsi="Times New Roman"/>
        </w:rPr>
        <w:footnoteReference w:id="7"/>
      </w:r>
      <w:r w:rsidR="00F95901" w:rsidRPr="0040232F">
        <w:rPr>
          <w:rFonts w:ascii="Times New Roman" w:eastAsia="Calibri" w:hAnsi="Times New Roman"/>
        </w:rPr>
        <w:t xml:space="preserve"> </w:t>
      </w:r>
    </w:p>
    <w:p w:rsidR="000C3038" w:rsidRPr="0040232F" w:rsidRDefault="000C3038" w:rsidP="000C3038">
      <w:pPr>
        <w:autoSpaceDE w:val="0"/>
        <w:autoSpaceDN w:val="0"/>
        <w:adjustRightInd w:val="0"/>
        <w:spacing w:line="240" w:lineRule="auto"/>
        <w:rPr>
          <w:rFonts w:ascii="Times New Roman" w:eastAsia="Calibri" w:hAnsi="Times New Roman"/>
        </w:rPr>
      </w:pPr>
    </w:p>
    <w:p w:rsidR="00F95901" w:rsidRPr="00446709" w:rsidRDefault="00F95901" w:rsidP="00446709">
      <w:pPr>
        <w:pStyle w:val="Heading2"/>
        <w:spacing w:line="240" w:lineRule="auto"/>
        <w:rPr>
          <w:i w:val="0"/>
          <w:sz w:val="21"/>
          <w:szCs w:val="21"/>
        </w:rPr>
      </w:pPr>
      <w:r w:rsidRPr="00446709">
        <w:rPr>
          <w:i w:val="0"/>
          <w:sz w:val="21"/>
          <w:szCs w:val="21"/>
        </w:rPr>
        <w:t>Chart 1.</w:t>
      </w:r>
      <w:r w:rsidR="006B0F3F" w:rsidRPr="00446709">
        <w:rPr>
          <w:i w:val="0"/>
          <w:sz w:val="21"/>
          <w:szCs w:val="21"/>
        </w:rPr>
        <w:t>4</w:t>
      </w:r>
      <w:r w:rsidRPr="00446709">
        <w:rPr>
          <w:i w:val="0"/>
          <w:sz w:val="21"/>
          <w:szCs w:val="21"/>
        </w:rPr>
        <w:t>: Total Number of Waivers Issued, 2007-08 – 2012-13</w:t>
      </w:r>
    </w:p>
    <w:p w:rsidR="00F95901" w:rsidRDefault="00F95901" w:rsidP="007F03D4">
      <w:pPr>
        <w:autoSpaceDE w:val="0"/>
        <w:autoSpaceDN w:val="0"/>
        <w:adjustRightInd w:val="0"/>
        <w:spacing w:line="276" w:lineRule="auto"/>
        <w:rPr>
          <w:rFonts w:eastAsia="Calibri" w:cs="TTFF565820t00"/>
        </w:rPr>
      </w:pPr>
      <w:r>
        <w:rPr>
          <w:rFonts w:eastAsia="Calibri" w:cs="TTFF565820t00"/>
          <w:noProof/>
          <w:lang w:eastAsia="zh-CN" w:bidi="km-KH"/>
        </w:rPr>
        <w:drawing>
          <wp:inline distT="0" distB="0" distL="0" distR="0">
            <wp:extent cx="5029200" cy="3413051"/>
            <wp:effectExtent l="19050" t="0" r="19050" b="0"/>
            <wp:docPr id="10" name="Chart 1" descr="Total number of waivers issued, 2007-2008 to 2012-2013&#10;&#10;2007-08 3145&#10;2008-09 2578&#10;2009-10 2050&#10;2010-11 1788&#10;2011-12 1533&#10;2012-13 6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1EFD" w:rsidRDefault="00DF1EFD" w:rsidP="0040232F">
      <w:pPr>
        <w:autoSpaceDE w:val="0"/>
        <w:autoSpaceDN w:val="0"/>
        <w:adjustRightInd w:val="0"/>
        <w:spacing w:line="240" w:lineRule="auto"/>
        <w:rPr>
          <w:rFonts w:eastAsia="Calibri" w:cs="TTFF565820t00"/>
        </w:rPr>
      </w:pPr>
    </w:p>
    <w:p w:rsidR="00DF1EFD" w:rsidRDefault="00DF1EFD" w:rsidP="0040232F">
      <w:pPr>
        <w:autoSpaceDE w:val="0"/>
        <w:autoSpaceDN w:val="0"/>
        <w:adjustRightInd w:val="0"/>
        <w:spacing w:line="240" w:lineRule="auto"/>
        <w:rPr>
          <w:rFonts w:eastAsia="Calibri" w:cs="TTFF565820t00"/>
        </w:rPr>
      </w:pPr>
    </w:p>
    <w:p w:rsidR="00962028" w:rsidRDefault="00F95901" w:rsidP="0040232F">
      <w:pPr>
        <w:autoSpaceDE w:val="0"/>
        <w:autoSpaceDN w:val="0"/>
        <w:adjustRightInd w:val="0"/>
        <w:spacing w:line="240" w:lineRule="auto"/>
        <w:rPr>
          <w:rFonts w:ascii="Times New Roman" w:eastAsia="Calibri" w:hAnsi="Times New Roman"/>
        </w:rPr>
      </w:pPr>
      <w:r w:rsidRPr="0040232F">
        <w:rPr>
          <w:rFonts w:ascii="Times New Roman" w:eastAsia="Calibri" w:hAnsi="Times New Roman"/>
        </w:rPr>
        <w:t xml:space="preserve">The decline in waivers prior to </w:t>
      </w:r>
      <w:r w:rsidR="00A2298A">
        <w:rPr>
          <w:rFonts w:ascii="Times New Roman" w:eastAsia="Calibri" w:hAnsi="Times New Roman"/>
        </w:rPr>
        <w:t xml:space="preserve">the </w:t>
      </w:r>
      <w:r w:rsidRPr="0040232F">
        <w:rPr>
          <w:rFonts w:ascii="Times New Roman" w:eastAsia="Calibri" w:hAnsi="Times New Roman"/>
        </w:rPr>
        <w:t>2012-</w:t>
      </w:r>
      <w:r w:rsidR="00A2298A">
        <w:rPr>
          <w:rFonts w:ascii="Times New Roman" w:eastAsia="Calibri" w:hAnsi="Times New Roman"/>
        </w:rPr>
        <w:t>20</w:t>
      </w:r>
      <w:r w:rsidRPr="0040232F">
        <w:rPr>
          <w:rFonts w:ascii="Times New Roman" w:eastAsia="Calibri" w:hAnsi="Times New Roman"/>
        </w:rPr>
        <w:t>13</w:t>
      </w:r>
      <w:r w:rsidR="00A2298A">
        <w:rPr>
          <w:rFonts w:ascii="Times New Roman" w:eastAsia="Calibri" w:hAnsi="Times New Roman"/>
        </w:rPr>
        <w:t xml:space="preserve"> school year</w:t>
      </w:r>
      <w:r w:rsidRPr="0040232F">
        <w:rPr>
          <w:rFonts w:ascii="Times New Roman" w:eastAsia="Calibri" w:hAnsi="Times New Roman"/>
        </w:rPr>
        <w:t xml:space="preserve"> </w:t>
      </w:r>
      <w:r w:rsidR="00544052">
        <w:rPr>
          <w:rFonts w:ascii="Times New Roman" w:eastAsia="Calibri" w:hAnsi="Times New Roman"/>
        </w:rPr>
        <w:t>coincided with</w:t>
      </w:r>
      <w:r w:rsidR="00150C03" w:rsidRPr="0040232F">
        <w:rPr>
          <w:rFonts w:ascii="Times New Roman" w:eastAsia="Calibri" w:hAnsi="Times New Roman"/>
        </w:rPr>
        <w:t xml:space="preserve"> an increase in </w:t>
      </w:r>
      <w:r w:rsidR="00A2298A">
        <w:rPr>
          <w:rFonts w:ascii="Times New Roman" w:eastAsia="Calibri" w:hAnsi="Times New Roman"/>
        </w:rPr>
        <w:t xml:space="preserve">the number of candidates completing </w:t>
      </w:r>
      <w:r w:rsidR="00150C03" w:rsidRPr="0040232F">
        <w:rPr>
          <w:rFonts w:ascii="Times New Roman" w:eastAsia="Calibri" w:hAnsi="Times New Roman"/>
        </w:rPr>
        <w:t xml:space="preserve">teacher preparation program </w:t>
      </w:r>
      <w:r w:rsidR="002B2B87" w:rsidRPr="0040232F">
        <w:rPr>
          <w:rFonts w:ascii="Times New Roman" w:eastAsia="Calibri" w:hAnsi="Times New Roman"/>
        </w:rPr>
        <w:t>in shortage fields. As Chart 1.5</w:t>
      </w:r>
      <w:r w:rsidR="00150C03" w:rsidRPr="0040232F">
        <w:rPr>
          <w:rFonts w:ascii="Times New Roman" w:eastAsia="Calibri" w:hAnsi="Times New Roman"/>
        </w:rPr>
        <w:t xml:space="preserve"> shows, the number of candidates completing programs in moderate disabilities, English </w:t>
      </w:r>
      <w:r w:rsidR="00371E9B" w:rsidRPr="0040232F">
        <w:rPr>
          <w:rFonts w:ascii="Times New Roman" w:eastAsia="Calibri" w:hAnsi="Times New Roman"/>
        </w:rPr>
        <w:t>l</w:t>
      </w:r>
      <w:r w:rsidR="00150C03" w:rsidRPr="0040232F">
        <w:rPr>
          <w:rFonts w:ascii="Times New Roman" w:eastAsia="Calibri" w:hAnsi="Times New Roman"/>
        </w:rPr>
        <w:t xml:space="preserve">anguage </w:t>
      </w:r>
      <w:r w:rsidR="00371E9B" w:rsidRPr="0040232F">
        <w:rPr>
          <w:rFonts w:ascii="Times New Roman" w:eastAsia="Calibri" w:hAnsi="Times New Roman"/>
        </w:rPr>
        <w:t>a</w:t>
      </w:r>
      <w:r w:rsidR="00150C03" w:rsidRPr="0040232F">
        <w:rPr>
          <w:rFonts w:ascii="Times New Roman" w:eastAsia="Calibri" w:hAnsi="Times New Roman"/>
        </w:rPr>
        <w:t xml:space="preserve">rts, English as a </w:t>
      </w:r>
      <w:r w:rsidR="00371E9B" w:rsidRPr="0040232F">
        <w:rPr>
          <w:rFonts w:ascii="Times New Roman" w:eastAsia="Calibri" w:hAnsi="Times New Roman"/>
        </w:rPr>
        <w:t>s</w:t>
      </w:r>
      <w:r w:rsidR="00150C03" w:rsidRPr="0040232F">
        <w:rPr>
          <w:rFonts w:ascii="Times New Roman" w:eastAsia="Calibri" w:hAnsi="Times New Roman"/>
        </w:rPr>
        <w:t xml:space="preserve">econd </w:t>
      </w:r>
      <w:r w:rsidR="00371E9B" w:rsidRPr="0040232F">
        <w:rPr>
          <w:rFonts w:ascii="Times New Roman" w:eastAsia="Calibri" w:hAnsi="Times New Roman"/>
        </w:rPr>
        <w:t>l</w:t>
      </w:r>
      <w:r w:rsidR="00150C03" w:rsidRPr="0040232F">
        <w:rPr>
          <w:rFonts w:ascii="Times New Roman" w:eastAsia="Calibri" w:hAnsi="Times New Roman"/>
        </w:rPr>
        <w:t xml:space="preserve">anguage, </w:t>
      </w:r>
      <w:r w:rsidR="00371E9B" w:rsidRPr="0040232F">
        <w:rPr>
          <w:rFonts w:ascii="Times New Roman" w:eastAsia="Calibri" w:hAnsi="Times New Roman"/>
        </w:rPr>
        <w:t>e</w:t>
      </w:r>
      <w:r w:rsidR="00150C03" w:rsidRPr="0040232F">
        <w:rPr>
          <w:rFonts w:ascii="Times New Roman" w:eastAsia="Calibri" w:hAnsi="Times New Roman"/>
        </w:rPr>
        <w:t xml:space="preserve">arly </w:t>
      </w:r>
      <w:r w:rsidR="00371E9B" w:rsidRPr="0040232F">
        <w:rPr>
          <w:rFonts w:ascii="Times New Roman" w:eastAsia="Calibri" w:hAnsi="Times New Roman"/>
        </w:rPr>
        <w:t>c</w:t>
      </w:r>
      <w:r w:rsidR="00150C03" w:rsidRPr="0040232F">
        <w:rPr>
          <w:rFonts w:ascii="Times New Roman" w:eastAsia="Calibri" w:hAnsi="Times New Roman"/>
        </w:rPr>
        <w:t>hildhood, and STEM (science, technology, engineering and math) fields has increased over that same time period</w:t>
      </w:r>
      <w:r w:rsidR="002159EF" w:rsidRPr="0040232F">
        <w:rPr>
          <w:rFonts w:ascii="Times New Roman" w:eastAsia="Calibri" w:hAnsi="Times New Roman"/>
        </w:rPr>
        <w:t>.</w:t>
      </w:r>
      <w:r w:rsidR="000F7C5C" w:rsidRPr="0040232F">
        <w:rPr>
          <w:rFonts w:ascii="Times New Roman" w:eastAsia="Calibri" w:hAnsi="Times New Roman"/>
        </w:rPr>
        <w:t xml:space="preserve"> </w:t>
      </w:r>
      <w:r w:rsidR="002159EF" w:rsidRPr="0040232F">
        <w:rPr>
          <w:rFonts w:ascii="Times New Roman" w:eastAsia="Calibri" w:hAnsi="Times New Roman"/>
        </w:rPr>
        <w:t>M</w:t>
      </w:r>
      <w:r w:rsidR="000F7C5C" w:rsidRPr="0040232F">
        <w:rPr>
          <w:rFonts w:ascii="Times New Roman" w:eastAsia="Calibri" w:hAnsi="Times New Roman"/>
        </w:rPr>
        <w:t xml:space="preserve">eanwhile the overall </w:t>
      </w:r>
      <w:r w:rsidR="000F7C5C" w:rsidRPr="00A2298A">
        <w:rPr>
          <w:rFonts w:ascii="Times New Roman" w:eastAsia="Calibri" w:hAnsi="Times New Roman"/>
        </w:rPr>
        <w:t>number of program completers dropped slightly from 4,989 to 4,734</w:t>
      </w:r>
      <w:r w:rsidR="00150C03" w:rsidRPr="00A2298A">
        <w:rPr>
          <w:rFonts w:ascii="Times New Roman" w:eastAsia="Calibri" w:hAnsi="Times New Roman"/>
        </w:rPr>
        <w:t>.</w:t>
      </w:r>
      <w:r w:rsidR="000E51BE" w:rsidRPr="00A2298A">
        <w:rPr>
          <w:rStyle w:val="FootnoteReference"/>
          <w:rFonts w:ascii="Times New Roman" w:eastAsia="Calibri" w:hAnsi="Times New Roman"/>
        </w:rPr>
        <w:footnoteReference w:id="8"/>
      </w:r>
      <w:r w:rsidR="00150C03" w:rsidRPr="00A2298A">
        <w:rPr>
          <w:rFonts w:ascii="Times New Roman" w:eastAsia="Calibri" w:hAnsi="Times New Roman"/>
        </w:rPr>
        <w:t xml:space="preserve"> But, there have not been substantial increases in </w:t>
      </w:r>
      <w:r w:rsidR="00652DCD" w:rsidRPr="00652DCD">
        <w:rPr>
          <w:rFonts w:ascii="Times New Roman" w:eastAsia="Calibri" w:hAnsi="Times New Roman"/>
        </w:rPr>
        <w:t>program completers in severe disabilities or other special education fields, such as special education administrators and speech, language</w:t>
      </w:r>
      <w:r w:rsidR="00A2298A">
        <w:rPr>
          <w:rFonts w:ascii="Times New Roman" w:eastAsia="Calibri" w:hAnsi="Times New Roman"/>
        </w:rPr>
        <w:t>,</w:t>
      </w:r>
      <w:r w:rsidR="00224BE4" w:rsidRPr="00A2298A">
        <w:rPr>
          <w:rFonts w:ascii="Times New Roman" w:eastAsia="Calibri" w:hAnsi="Times New Roman"/>
        </w:rPr>
        <w:t xml:space="preserve"> and hearing disorder</w:t>
      </w:r>
      <w:r w:rsidR="00224BE4" w:rsidRPr="0040232F">
        <w:rPr>
          <w:rFonts w:ascii="Times New Roman" w:eastAsia="Calibri" w:hAnsi="Times New Roman"/>
        </w:rPr>
        <w:t xml:space="preserve"> specialists.</w:t>
      </w:r>
    </w:p>
    <w:p w:rsidR="00D93F41" w:rsidRDefault="00D93F41" w:rsidP="0040232F">
      <w:pPr>
        <w:autoSpaceDE w:val="0"/>
        <w:autoSpaceDN w:val="0"/>
        <w:adjustRightInd w:val="0"/>
        <w:spacing w:line="240" w:lineRule="auto"/>
        <w:rPr>
          <w:rFonts w:ascii="Times New Roman" w:eastAsia="Calibri" w:hAnsi="Times New Roman"/>
        </w:rPr>
      </w:pPr>
    </w:p>
    <w:p w:rsidR="00AE0A35" w:rsidRPr="0040232F" w:rsidRDefault="00AE0A35" w:rsidP="0040232F">
      <w:pPr>
        <w:autoSpaceDE w:val="0"/>
        <w:autoSpaceDN w:val="0"/>
        <w:adjustRightInd w:val="0"/>
        <w:spacing w:line="240" w:lineRule="auto"/>
        <w:rPr>
          <w:rFonts w:ascii="Times New Roman" w:eastAsia="Calibri" w:hAnsi="Times New Roman"/>
        </w:rPr>
      </w:pPr>
    </w:p>
    <w:p w:rsidR="00F95901" w:rsidRDefault="00F95901" w:rsidP="00446709">
      <w:pPr>
        <w:pStyle w:val="Heading2"/>
        <w:spacing w:line="240" w:lineRule="auto"/>
        <w:rPr>
          <w:i w:val="0"/>
          <w:sz w:val="21"/>
          <w:szCs w:val="21"/>
        </w:rPr>
      </w:pPr>
      <w:r w:rsidRPr="00446709">
        <w:rPr>
          <w:i w:val="0"/>
          <w:sz w:val="21"/>
          <w:szCs w:val="21"/>
        </w:rPr>
        <w:t>Chart 1.</w:t>
      </w:r>
      <w:r w:rsidR="00CA5C02" w:rsidRPr="00446709">
        <w:rPr>
          <w:i w:val="0"/>
          <w:sz w:val="21"/>
          <w:szCs w:val="21"/>
        </w:rPr>
        <w:t>5</w:t>
      </w:r>
      <w:r w:rsidRPr="00446709">
        <w:rPr>
          <w:i w:val="0"/>
          <w:sz w:val="21"/>
          <w:szCs w:val="21"/>
        </w:rPr>
        <w:t xml:space="preserve">: Teacher Preparation Program Completers in </w:t>
      </w:r>
      <w:r w:rsidR="00666473" w:rsidRPr="00446709">
        <w:rPr>
          <w:i w:val="0"/>
          <w:sz w:val="21"/>
          <w:szCs w:val="21"/>
        </w:rPr>
        <w:t>Shortage</w:t>
      </w:r>
      <w:r w:rsidRPr="00446709">
        <w:rPr>
          <w:i w:val="0"/>
          <w:sz w:val="21"/>
          <w:szCs w:val="21"/>
        </w:rPr>
        <w:t xml:space="preserve"> Subject Areas, 2007-08 – 2011-12</w:t>
      </w:r>
    </w:p>
    <w:p w:rsidR="008674B3" w:rsidRPr="008674B3" w:rsidRDefault="008674B3" w:rsidP="008674B3">
      <w:pPr>
        <w:rPr>
          <w:sz w:val="4"/>
          <w:szCs w:val="4"/>
        </w:rPr>
      </w:pPr>
    </w:p>
    <w:p w:rsidR="008674B3" w:rsidRPr="008674B3" w:rsidRDefault="008674B3" w:rsidP="00C8647A">
      <w:pPr>
        <w:spacing w:line="240" w:lineRule="auto"/>
      </w:pPr>
      <w:r>
        <w:rPr>
          <w:rFonts w:eastAsia="Calibri" w:cs="TTFF565820t00"/>
          <w:noProof/>
          <w:lang w:eastAsia="zh-CN" w:bidi="km-KH"/>
        </w:rPr>
        <w:drawing>
          <wp:inline distT="0" distB="0" distL="0" distR="0">
            <wp:extent cx="5824248" cy="3784821"/>
            <wp:effectExtent l="19050" t="0" r="24102" b="6129"/>
            <wp:docPr id="9" name="Chart 1" descr="Moderate Disabilities, 2007-08: 664&#10;Moderate Disabilities, 2008-09: 708&#10;Moderate Disabilities, 2009-10: 744&#10;Moderate Disabilities, 2010-11: 817&#10;Moderate Disabilities, 2011-12: 849&#10;Severe Disabilities, 2007-08: 154&#10;Severe Disabilities, 2008-09: 129&#10;Severe Disabilities, 2009-10: 111&#10;Severe Disabilities, 2010-11: 160&#10;Severe Disabilities, 2011-12: 145&#10;English Language Arts &amp; Reading, 2007-08: 633&#10;English Language Arts &amp; Reading, 2008-09: 606&#10;English Language Arts &amp; Reading, 2009-10: 671&#10;English Language Arts &amp; Reading, 2010-11: 723&#10;English Language Arts &amp; Reading, 2011-12: 702&#10;English as a Second Language, 2007-08: 37&#10;English as a Second Language, 2008-09: 53&#10;English as a Second Language, 2009-10: 37&#10;English as a Second Language, 2010-11: 68&#10;English as a Second Language, 2011-12: 109&#10;Foreign Languages, 2007-08: 87&#10;Foreign Languages, 2008-09: 88&#10;Foreign Languages, 2009-10: 81&#10;Foreign Languages, 2010-11: 81&#10;Foreign Languages, 2011-12: 102&#10;Early Childhood, 2007-08: 340&#10;Early Childhood, 2008-09: 318&#10;Early Childhood, 2009-10: 362&#10;Early Childhood, 2010-11: 347&#10;Early Childhood, 2011-12: 432&#10;STEM, 2007-08: 487&#10;STEM, 2008-09: 504&#10;STEM, 2009-10: 566&#10;STEM, 2010-11: 621&#10;STEM, 2011-12: 613&#10;Special Education - Other, 2007-08: 251&#10;Special Education - Other, 2008-09: 182&#10;Special Education - Other, 2009-10: 239&#10;Special Education - Other, 2010-11: 237&#10;Special Education - Other, 2011-12: 28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5901" w:rsidRDefault="00F95901" w:rsidP="0040232F">
      <w:pPr>
        <w:autoSpaceDE w:val="0"/>
        <w:autoSpaceDN w:val="0"/>
        <w:adjustRightInd w:val="0"/>
        <w:spacing w:line="240" w:lineRule="auto"/>
        <w:rPr>
          <w:rFonts w:eastAsia="Calibri" w:cs="TTFF565820t00"/>
        </w:rPr>
      </w:pPr>
    </w:p>
    <w:p w:rsidR="00DB7B53" w:rsidRDefault="00DB7B53" w:rsidP="0040232F">
      <w:pPr>
        <w:autoSpaceDE w:val="0"/>
        <w:autoSpaceDN w:val="0"/>
        <w:adjustRightInd w:val="0"/>
        <w:spacing w:line="240" w:lineRule="auto"/>
        <w:rPr>
          <w:rFonts w:eastAsia="Calibri" w:cs="TTFF565820t00"/>
        </w:rPr>
      </w:pPr>
    </w:p>
    <w:p w:rsidR="00C9114F" w:rsidRDefault="00C9114F" w:rsidP="0040232F">
      <w:pPr>
        <w:autoSpaceDE w:val="0"/>
        <w:autoSpaceDN w:val="0"/>
        <w:adjustRightInd w:val="0"/>
        <w:spacing w:line="240" w:lineRule="auto"/>
        <w:rPr>
          <w:rFonts w:ascii="Times New Roman" w:hAnsi="Times New Roman"/>
        </w:rPr>
      </w:pPr>
      <w:r w:rsidRPr="0040232F">
        <w:rPr>
          <w:rFonts w:ascii="Times New Roman" w:eastAsia="Calibri" w:hAnsi="Times New Roman"/>
        </w:rPr>
        <w:t xml:space="preserve">Despite the increase in </w:t>
      </w:r>
      <w:r w:rsidR="00A2298A">
        <w:rPr>
          <w:rFonts w:ascii="Times New Roman" w:eastAsia="Calibri" w:hAnsi="Times New Roman"/>
        </w:rPr>
        <w:t xml:space="preserve">the number of </w:t>
      </w:r>
      <w:r w:rsidRPr="0040232F">
        <w:rPr>
          <w:rFonts w:ascii="Times New Roman" w:eastAsia="Calibri" w:hAnsi="Times New Roman"/>
        </w:rPr>
        <w:t xml:space="preserve">program completers, moderate disabilities still accounts for the largest share of waivers issued in </w:t>
      </w:r>
      <w:r w:rsidR="00A2298A">
        <w:rPr>
          <w:rFonts w:ascii="Times New Roman" w:eastAsia="Calibri" w:hAnsi="Times New Roman"/>
        </w:rPr>
        <w:t xml:space="preserve">the </w:t>
      </w:r>
      <w:r w:rsidRPr="0040232F">
        <w:rPr>
          <w:rFonts w:ascii="Times New Roman" w:eastAsia="Calibri" w:hAnsi="Times New Roman"/>
        </w:rPr>
        <w:t>2012-</w:t>
      </w:r>
      <w:r w:rsidR="00A2298A">
        <w:rPr>
          <w:rFonts w:ascii="Times New Roman" w:eastAsia="Calibri" w:hAnsi="Times New Roman"/>
        </w:rPr>
        <w:t>20</w:t>
      </w:r>
      <w:r w:rsidRPr="0040232F">
        <w:rPr>
          <w:rFonts w:ascii="Times New Roman" w:eastAsia="Calibri" w:hAnsi="Times New Roman"/>
        </w:rPr>
        <w:t>13</w:t>
      </w:r>
      <w:r w:rsidR="00A2298A">
        <w:rPr>
          <w:rFonts w:ascii="Times New Roman" w:eastAsia="Calibri" w:hAnsi="Times New Roman"/>
        </w:rPr>
        <w:t xml:space="preserve"> school year</w:t>
      </w:r>
      <w:r w:rsidRPr="0040232F">
        <w:rPr>
          <w:rFonts w:ascii="Times New Roman" w:eastAsia="Calibri" w:hAnsi="Times New Roman"/>
        </w:rPr>
        <w:t xml:space="preserve">, indicating that there are not enough candidates to meet </w:t>
      </w:r>
      <w:r w:rsidR="00A2298A">
        <w:rPr>
          <w:rFonts w:ascii="Times New Roman" w:eastAsia="Calibri" w:hAnsi="Times New Roman"/>
        </w:rPr>
        <w:t xml:space="preserve">the </w:t>
      </w:r>
      <w:r w:rsidRPr="0040232F">
        <w:rPr>
          <w:rFonts w:ascii="Times New Roman" w:eastAsia="Calibri" w:hAnsi="Times New Roman"/>
        </w:rPr>
        <w:t xml:space="preserve">demand or that candidates </w:t>
      </w:r>
      <w:r w:rsidR="000670D3" w:rsidRPr="0040232F">
        <w:rPr>
          <w:rFonts w:ascii="Times New Roman" w:eastAsia="Calibri" w:hAnsi="Times New Roman"/>
        </w:rPr>
        <w:t xml:space="preserve">who are licensed to teach students with </w:t>
      </w:r>
      <w:r w:rsidRPr="0040232F">
        <w:rPr>
          <w:rFonts w:ascii="Times New Roman" w:eastAsia="Calibri" w:hAnsi="Times New Roman"/>
        </w:rPr>
        <w:t xml:space="preserve">moderate disabilities are not applying for </w:t>
      </w:r>
      <w:r w:rsidR="007C105B" w:rsidRPr="0040232F">
        <w:rPr>
          <w:rFonts w:ascii="Times New Roman" w:eastAsia="Calibri" w:hAnsi="Times New Roman"/>
        </w:rPr>
        <w:t xml:space="preserve">those </w:t>
      </w:r>
      <w:r w:rsidRPr="0040232F">
        <w:rPr>
          <w:rFonts w:ascii="Times New Roman" w:eastAsia="Calibri" w:hAnsi="Times New Roman"/>
        </w:rPr>
        <w:t xml:space="preserve">job openings. </w:t>
      </w:r>
      <w:r w:rsidRPr="0040232F">
        <w:rPr>
          <w:rFonts w:ascii="Times New Roman" w:hAnsi="Times New Roman"/>
        </w:rPr>
        <w:t>In the sections that follow, we provide additional analyses of new teacher preparation, employment</w:t>
      </w:r>
      <w:r w:rsidR="00A2298A">
        <w:rPr>
          <w:rFonts w:ascii="Times New Roman" w:hAnsi="Times New Roman"/>
        </w:rPr>
        <w:t>,</w:t>
      </w:r>
      <w:r w:rsidRPr="0040232F">
        <w:rPr>
          <w:rFonts w:ascii="Times New Roman" w:hAnsi="Times New Roman"/>
        </w:rPr>
        <w:t xml:space="preserve"> and retention by shortage areas with the hope </w:t>
      </w:r>
      <w:r w:rsidR="00A2298A">
        <w:rPr>
          <w:rFonts w:ascii="Times New Roman" w:hAnsi="Times New Roman"/>
        </w:rPr>
        <w:t xml:space="preserve">that this data will </w:t>
      </w:r>
      <w:r w:rsidRPr="0040232F">
        <w:rPr>
          <w:rFonts w:ascii="Times New Roman" w:hAnsi="Times New Roman"/>
        </w:rPr>
        <w:t>inform efforts to meet district demand for these teachers.</w:t>
      </w:r>
    </w:p>
    <w:p w:rsidR="00CB534A" w:rsidRPr="0040232F" w:rsidRDefault="00CB534A" w:rsidP="0040232F">
      <w:pPr>
        <w:autoSpaceDE w:val="0"/>
        <w:autoSpaceDN w:val="0"/>
        <w:adjustRightInd w:val="0"/>
        <w:spacing w:line="240" w:lineRule="auto"/>
        <w:rPr>
          <w:rFonts w:ascii="Times New Roman" w:eastAsia="Calibri" w:hAnsi="Times New Roman"/>
        </w:rPr>
      </w:pPr>
    </w:p>
    <w:p w:rsidR="00207B82" w:rsidRDefault="00823F65" w:rsidP="0040232F">
      <w:pPr>
        <w:pStyle w:val="Heading1"/>
      </w:pPr>
      <w:bookmarkStart w:id="7" w:name="_Toc374114883"/>
      <w:r>
        <w:t>II</w:t>
      </w:r>
      <w:proofErr w:type="gramStart"/>
      <w:r>
        <w:t xml:space="preserve">. </w:t>
      </w:r>
      <w:r w:rsidR="00CB534A">
        <w:t xml:space="preserve"> </w:t>
      </w:r>
      <w:r w:rsidR="00EB719A">
        <w:t>Routes</w:t>
      </w:r>
      <w:proofErr w:type="gramEnd"/>
      <w:r w:rsidR="00EB719A">
        <w:t xml:space="preserve"> to </w:t>
      </w:r>
      <w:r w:rsidR="00C97F34">
        <w:t>Becoming a First-Year Teacher</w:t>
      </w:r>
      <w:bookmarkEnd w:id="7"/>
    </w:p>
    <w:p w:rsidR="00D43D4B" w:rsidRPr="0040232F" w:rsidRDefault="00DD4C54" w:rsidP="0040232F">
      <w:pPr>
        <w:spacing w:line="240" w:lineRule="auto"/>
        <w:rPr>
          <w:rFonts w:ascii="Times New Roman" w:hAnsi="Times New Roman"/>
        </w:rPr>
      </w:pPr>
      <w:r w:rsidRPr="0040232F">
        <w:rPr>
          <w:rFonts w:ascii="Times New Roman" w:hAnsi="Times New Roman"/>
        </w:rPr>
        <w:t xml:space="preserve">This section includes data </w:t>
      </w:r>
      <w:r w:rsidR="00290B64" w:rsidRPr="0040232F">
        <w:rPr>
          <w:rFonts w:ascii="Times New Roman" w:hAnsi="Times New Roman"/>
        </w:rPr>
        <w:t xml:space="preserve">on the </w:t>
      </w:r>
      <w:r w:rsidR="00AE0DB0" w:rsidRPr="0040232F">
        <w:rPr>
          <w:rFonts w:ascii="Times New Roman" w:hAnsi="Times New Roman"/>
        </w:rPr>
        <w:t xml:space="preserve">many ways </w:t>
      </w:r>
      <w:r w:rsidR="00A2298A">
        <w:rPr>
          <w:rFonts w:ascii="Times New Roman" w:hAnsi="Times New Roman"/>
        </w:rPr>
        <w:t xml:space="preserve">in which </w:t>
      </w:r>
      <w:r w:rsidR="00290B64" w:rsidRPr="0040232F">
        <w:rPr>
          <w:rFonts w:ascii="Times New Roman" w:hAnsi="Times New Roman"/>
        </w:rPr>
        <w:t>teachers enter the profession</w:t>
      </w:r>
      <w:r w:rsidR="001636DC" w:rsidRPr="0040232F">
        <w:rPr>
          <w:rFonts w:ascii="Times New Roman" w:hAnsi="Times New Roman"/>
        </w:rPr>
        <w:t>: through a traditional, higher education preparation program, through an alternative, non-higher education based preparation program, or with an alternative preliminary license that does not require formal preparation</w:t>
      </w:r>
      <w:r w:rsidR="00AE0DB0" w:rsidRPr="0040232F">
        <w:rPr>
          <w:rFonts w:ascii="Times New Roman" w:hAnsi="Times New Roman"/>
        </w:rPr>
        <w:t xml:space="preserve">. </w:t>
      </w:r>
      <w:r w:rsidR="00290B64" w:rsidRPr="0040232F">
        <w:rPr>
          <w:rFonts w:ascii="Times New Roman" w:hAnsi="Times New Roman"/>
        </w:rPr>
        <w:t>While most teachers enter through a traditional route</w:t>
      </w:r>
      <w:r w:rsidRPr="0040232F">
        <w:rPr>
          <w:rFonts w:ascii="Times New Roman" w:hAnsi="Times New Roman"/>
        </w:rPr>
        <w:t xml:space="preserve">, </w:t>
      </w:r>
      <w:r w:rsidR="00290B64" w:rsidRPr="0040232F">
        <w:rPr>
          <w:rFonts w:ascii="Times New Roman" w:hAnsi="Times New Roman"/>
        </w:rPr>
        <w:t>those that enter through an alternative preparation or licensure route are more likely to be male or teachers of color.</w:t>
      </w:r>
      <w:r w:rsidR="001636DC" w:rsidRPr="0040232F">
        <w:rPr>
          <w:rFonts w:ascii="Times New Roman" w:hAnsi="Times New Roman"/>
        </w:rPr>
        <w:t xml:space="preserve"> Almost 60 percent of program completers work in Massachusetts the year after program completion and they </w:t>
      </w:r>
      <w:r w:rsidR="00A2298A">
        <w:rPr>
          <w:rFonts w:ascii="Times New Roman" w:hAnsi="Times New Roman"/>
        </w:rPr>
        <w:t>do not</w:t>
      </w:r>
      <w:r w:rsidR="00A2298A" w:rsidRPr="0040232F">
        <w:rPr>
          <w:rFonts w:ascii="Times New Roman" w:hAnsi="Times New Roman"/>
        </w:rPr>
        <w:t xml:space="preserve"> </w:t>
      </w:r>
      <w:r w:rsidR="001636DC" w:rsidRPr="0040232F">
        <w:rPr>
          <w:rFonts w:ascii="Times New Roman" w:hAnsi="Times New Roman"/>
        </w:rPr>
        <w:t xml:space="preserve">go far: </w:t>
      </w:r>
      <w:r w:rsidR="007C105B" w:rsidRPr="0040232F">
        <w:rPr>
          <w:rFonts w:ascii="Times New Roman" w:hAnsi="Times New Roman"/>
        </w:rPr>
        <w:t>T</w:t>
      </w:r>
      <w:r w:rsidR="001636DC" w:rsidRPr="0040232F">
        <w:rPr>
          <w:rFonts w:ascii="Times New Roman" w:hAnsi="Times New Roman"/>
        </w:rPr>
        <w:t xml:space="preserve">he average distance from a teacher’s preparation program to his or her first job is </w:t>
      </w:r>
      <w:r w:rsidR="00232386" w:rsidRPr="0040232F">
        <w:rPr>
          <w:rFonts w:ascii="Times New Roman" w:hAnsi="Times New Roman"/>
        </w:rPr>
        <w:t xml:space="preserve">just </w:t>
      </w:r>
      <w:r w:rsidR="001636DC" w:rsidRPr="0040232F">
        <w:rPr>
          <w:rFonts w:ascii="Times New Roman" w:hAnsi="Times New Roman"/>
        </w:rPr>
        <w:t>21 miles.</w:t>
      </w:r>
      <w:r w:rsidR="00A2298A" w:rsidRPr="00A2298A">
        <w:rPr>
          <w:rFonts w:ascii="Times New Roman" w:hAnsi="Times New Roman"/>
        </w:rPr>
        <w:t xml:space="preserve"> </w:t>
      </w:r>
      <w:r w:rsidR="00A2298A">
        <w:rPr>
          <w:rFonts w:ascii="Times New Roman" w:hAnsi="Times New Roman"/>
        </w:rPr>
        <w:t xml:space="preserve">This finding </w:t>
      </w:r>
      <w:r w:rsidR="00A2298A" w:rsidRPr="0040232F">
        <w:rPr>
          <w:rFonts w:ascii="Times New Roman" w:hAnsi="Times New Roman"/>
        </w:rPr>
        <w:t>underscore</w:t>
      </w:r>
      <w:r w:rsidR="00A2298A">
        <w:rPr>
          <w:rFonts w:ascii="Times New Roman" w:hAnsi="Times New Roman"/>
        </w:rPr>
        <w:t>s</w:t>
      </w:r>
      <w:r w:rsidR="00A2298A" w:rsidRPr="0040232F">
        <w:rPr>
          <w:rFonts w:ascii="Times New Roman" w:hAnsi="Times New Roman"/>
        </w:rPr>
        <w:t xml:space="preserve"> the importance of strong partnerships between districts and preparation programs.</w:t>
      </w:r>
    </w:p>
    <w:p w:rsidR="0085613F" w:rsidRPr="007F03D4" w:rsidRDefault="0085613F" w:rsidP="007F03D4">
      <w:pPr>
        <w:pStyle w:val="Heading2"/>
      </w:pPr>
      <w:bookmarkStart w:id="8" w:name="_Toc374114884"/>
      <w:r w:rsidRPr="007F03D4">
        <w:t>Licensure Routes to Teaching</w:t>
      </w:r>
      <w:bookmarkEnd w:id="8"/>
    </w:p>
    <w:p w:rsidR="00422D64" w:rsidRPr="0040232F" w:rsidRDefault="00E678D8" w:rsidP="0040232F">
      <w:pPr>
        <w:spacing w:line="240" w:lineRule="auto"/>
        <w:rPr>
          <w:rFonts w:ascii="Times New Roman" w:hAnsi="Times New Roman"/>
        </w:rPr>
      </w:pPr>
      <w:r w:rsidRPr="0040232F">
        <w:rPr>
          <w:rFonts w:ascii="Times New Roman" w:hAnsi="Times New Roman"/>
        </w:rPr>
        <w:t xml:space="preserve">Teachers </w:t>
      </w:r>
      <w:r w:rsidR="004D5D25" w:rsidRPr="0040232F">
        <w:rPr>
          <w:rFonts w:ascii="Times New Roman" w:hAnsi="Times New Roman"/>
        </w:rPr>
        <w:t>can</w:t>
      </w:r>
      <w:r w:rsidRPr="0040232F">
        <w:rPr>
          <w:rFonts w:ascii="Times New Roman" w:hAnsi="Times New Roman"/>
        </w:rPr>
        <w:t xml:space="preserve"> begin working in a Massachusetts public school with one of three types of licenses: temporary, preliminary or initial. Most new teachers enter the classroom with an initial license, which requires teachers to complete an approved teacher preparation program and pass the appropriate Massachusetts Tests for Educator Licensure (MTEL). </w:t>
      </w:r>
    </w:p>
    <w:p w:rsidR="00422D64" w:rsidRPr="0040232F" w:rsidRDefault="00422D64" w:rsidP="0040232F">
      <w:pPr>
        <w:spacing w:line="240" w:lineRule="auto"/>
        <w:rPr>
          <w:rFonts w:ascii="Times New Roman" w:hAnsi="Times New Roman"/>
        </w:rPr>
      </w:pPr>
    </w:p>
    <w:p w:rsidR="00B21F56" w:rsidRDefault="00E678D8" w:rsidP="0040232F">
      <w:pPr>
        <w:spacing w:line="240" w:lineRule="auto"/>
        <w:rPr>
          <w:rFonts w:ascii="Times New Roman" w:hAnsi="Times New Roman"/>
        </w:rPr>
      </w:pPr>
      <w:r w:rsidRPr="0040232F">
        <w:rPr>
          <w:rFonts w:ascii="Times New Roman" w:hAnsi="Times New Roman"/>
        </w:rPr>
        <w:t xml:space="preserve">The temporary license is granted </w:t>
      </w:r>
      <w:r w:rsidR="00C31816" w:rsidRPr="0040232F">
        <w:rPr>
          <w:rFonts w:ascii="Times New Roman" w:hAnsi="Times New Roman"/>
        </w:rPr>
        <w:t xml:space="preserve">by </w:t>
      </w:r>
      <w:r w:rsidR="002827D9" w:rsidRPr="0040232F">
        <w:rPr>
          <w:rFonts w:ascii="Times New Roman" w:hAnsi="Times New Roman"/>
        </w:rPr>
        <w:t>ESE</w:t>
      </w:r>
      <w:r w:rsidR="00C31816" w:rsidRPr="0040232F">
        <w:rPr>
          <w:rFonts w:ascii="Times New Roman" w:hAnsi="Times New Roman"/>
        </w:rPr>
        <w:t xml:space="preserve"> </w:t>
      </w:r>
      <w:r w:rsidR="002827D9" w:rsidRPr="0040232F">
        <w:rPr>
          <w:rFonts w:ascii="Times New Roman" w:hAnsi="Times New Roman"/>
        </w:rPr>
        <w:t xml:space="preserve">to </w:t>
      </w:r>
      <w:r w:rsidRPr="0040232F">
        <w:rPr>
          <w:rFonts w:ascii="Times New Roman" w:hAnsi="Times New Roman"/>
        </w:rPr>
        <w:t xml:space="preserve">out-of-state teachers </w:t>
      </w:r>
      <w:r w:rsidR="00A477DB">
        <w:rPr>
          <w:rFonts w:ascii="Times New Roman" w:hAnsi="Times New Roman"/>
        </w:rPr>
        <w:t>who wish</w:t>
      </w:r>
      <w:r w:rsidR="00A477DB" w:rsidRPr="0040232F">
        <w:rPr>
          <w:rFonts w:ascii="Times New Roman" w:hAnsi="Times New Roman"/>
        </w:rPr>
        <w:t xml:space="preserve"> </w:t>
      </w:r>
      <w:r w:rsidRPr="0040232F">
        <w:rPr>
          <w:rFonts w:ascii="Times New Roman" w:hAnsi="Times New Roman"/>
        </w:rPr>
        <w:t xml:space="preserve">to teach in Massachusetts, but who still need to take and pass the MTEL. </w:t>
      </w:r>
      <w:r w:rsidR="00CD5F19" w:rsidRPr="0040232F">
        <w:rPr>
          <w:rFonts w:ascii="Times New Roman" w:hAnsi="Times New Roman"/>
        </w:rPr>
        <w:t xml:space="preserve">The temporary license is valid for one year, during which teachers must pass the appropriate MTEL exams. </w:t>
      </w:r>
      <w:r w:rsidR="00695724" w:rsidRPr="0040232F">
        <w:rPr>
          <w:rFonts w:ascii="Times New Roman" w:hAnsi="Times New Roman"/>
        </w:rPr>
        <w:t>The preliminary license provides an alternative route to employment that allows teachers to begin teaching with a bachelor’s degree and a passing score on the appropriate MTEL exams. Teachers can teach for five years under a preliminary license and during that time they must earn an initial license by completing an approved preparation program or the Performance Review Program for Initial Licensure.</w:t>
      </w:r>
      <w:r w:rsidR="00695724" w:rsidRPr="0040232F">
        <w:rPr>
          <w:rStyle w:val="FootnoteReference"/>
          <w:rFonts w:ascii="Times New Roman" w:hAnsi="Times New Roman"/>
        </w:rPr>
        <w:footnoteReference w:id="9"/>
      </w:r>
      <w:r w:rsidR="00695724" w:rsidRPr="0040232F">
        <w:rPr>
          <w:rFonts w:ascii="Times New Roman" w:hAnsi="Times New Roman"/>
        </w:rPr>
        <w:t xml:space="preserve"> As Table 2.1 shows, 1 in 4 new teachers in </w:t>
      </w:r>
      <w:r w:rsidR="00A477DB">
        <w:rPr>
          <w:rFonts w:ascii="Times New Roman" w:hAnsi="Times New Roman"/>
        </w:rPr>
        <w:t xml:space="preserve">the </w:t>
      </w:r>
      <w:r w:rsidR="00695724" w:rsidRPr="0040232F">
        <w:rPr>
          <w:rFonts w:ascii="Times New Roman" w:hAnsi="Times New Roman"/>
        </w:rPr>
        <w:t>2012-</w:t>
      </w:r>
      <w:r w:rsidR="00A477DB">
        <w:rPr>
          <w:rFonts w:ascii="Times New Roman" w:hAnsi="Times New Roman"/>
        </w:rPr>
        <w:t>20</w:t>
      </w:r>
      <w:r w:rsidR="00695724" w:rsidRPr="0040232F">
        <w:rPr>
          <w:rFonts w:ascii="Times New Roman" w:hAnsi="Times New Roman"/>
        </w:rPr>
        <w:t xml:space="preserve">13 </w:t>
      </w:r>
      <w:r w:rsidR="00A477DB">
        <w:rPr>
          <w:rFonts w:ascii="Times New Roman" w:hAnsi="Times New Roman"/>
        </w:rPr>
        <w:t xml:space="preserve">school </w:t>
      </w:r>
      <w:proofErr w:type="gramStart"/>
      <w:r w:rsidR="00A477DB">
        <w:rPr>
          <w:rFonts w:ascii="Times New Roman" w:hAnsi="Times New Roman"/>
        </w:rPr>
        <w:t>year</w:t>
      </w:r>
      <w:proofErr w:type="gramEnd"/>
      <w:r w:rsidR="00A477DB">
        <w:rPr>
          <w:rFonts w:ascii="Times New Roman" w:hAnsi="Times New Roman"/>
        </w:rPr>
        <w:t xml:space="preserve"> </w:t>
      </w:r>
      <w:r w:rsidR="00544052">
        <w:rPr>
          <w:rFonts w:ascii="Times New Roman" w:hAnsi="Times New Roman"/>
        </w:rPr>
        <w:t>held</w:t>
      </w:r>
      <w:r w:rsidR="00695724" w:rsidRPr="0040232F">
        <w:rPr>
          <w:rFonts w:ascii="Times New Roman" w:hAnsi="Times New Roman"/>
        </w:rPr>
        <w:t xml:space="preserve"> a preliminary license. </w:t>
      </w:r>
    </w:p>
    <w:p w:rsidR="004F0F0B" w:rsidRPr="0040232F" w:rsidRDefault="004F0F0B" w:rsidP="0040232F">
      <w:pPr>
        <w:spacing w:line="240" w:lineRule="auto"/>
        <w:rPr>
          <w:rFonts w:ascii="Times New Roman" w:hAnsi="Times New Roman"/>
        </w:rPr>
      </w:pPr>
    </w:p>
    <w:p w:rsidR="00E678D8" w:rsidRPr="00446709" w:rsidRDefault="00E678D8" w:rsidP="00446709">
      <w:pPr>
        <w:pStyle w:val="Heading2"/>
        <w:spacing w:line="240" w:lineRule="auto"/>
        <w:rPr>
          <w:i w:val="0"/>
          <w:sz w:val="21"/>
          <w:szCs w:val="21"/>
        </w:rPr>
      </w:pPr>
      <w:r w:rsidRPr="00446709">
        <w:rPr>
          <w:i w:val="0"/>
          <w:sz w:val="21"/>
          <w:szCs w:val="21"/>
        </w:rPr>
        <w:t xml:space="preserve">Table </w:t>
      </w:r>
      <w:r w:rsidR="00897A01" w:rsidRPr="00446709">
        <w:rPr>
          <w:i w:val="0"/>
          <w:sz w:val="21"/>
          <w:szCs w:val="21"/>
        </w:rPr>
        <w:t>2.1</w:t>
      </w:r>
      <w:r w:rsidRPr="00446709">
        <w:rPr>
          <w:i w:val="0"/>
          <w:sz w:val="21"/>
          <w:szCs w:val="21"/>
        </w:rPr>
        <w:t xml:space="preserve">: </w:t>
      </w:r>
      <w:r w:rsidR="00D72A9A" w:rsidRPr="00446709">
        <w:rPr>
          <w:i w:val="0"/>
          <w:sz w:val="21"/>
          <w:szCs w:val="21"/>
        </w:rPr>
        <w:t xml:space="preserve">Percent of 2012-13 Teachers by </w:t>
      </w:r>
      <w:r w:rsidR="00567070" w:rsidRPr="00446709">
        <w:rPr>
          <w:i w:val="0"/>
          <w:sz w:val="21"/>
          <w:szCs w:val="21"/>
        </w:rPr>
        <w:t>License Type</w:t>
      </w:r>
    </w:p>
    <w:tbl>
      <w:tblPr>
        <w:tblW w:w="66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
      <w:tblGrid>
        <w:gridCol w:w="2334"/>
        <w:gridCol w:w="2116"/>
        <w:gridCol w:w="2210"/>
      </w:tblGrid>
      <w:tr w:rsidR="00D72A9A" w:rsidRPr="003C0A0E" w:rsidTr="003C0A0E">
        <w:trPr>
          <w:trHeight w:hRule="exact" w:val="323"/>
        </w:trPr>
        <w:tc>
          <w:tcPr>
            <w:tcW w:w="2334" w:type="dxa"/>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D72A9A" w:rsidRPr="003C0A0E" w:rsidRDefault="00D72A9A" w:rsidP="0040232F">
            <w:pPr>
              <w:autoSpaceDE w:val="0"/>
              <w:autoSpaceDN w:val="0"/>
              <w:adjustRightInd w:val="0"/>
              <w:spacing w:line="240" w:lineRule="auto"/>
              <w:rPr>
                <w:rFonts w:ascii="Arial Narrow" w:hAnsi="Arial Narrow"/>
                <w:b/>
                <w:sz w:val="21"/>
                <w:szCs w:val="21"/>
              </w:rPr>
            </w:pPr>
          </w:p>
        </w:tc>
        <w:tc>
          <w:tcPr>
            <w:tcW w:w="2116" w:type="dxa"/>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D72A9A" w:rsidRPr="003C0A0E" w:rsidRDefault="00D72A9A" w:rsidP="0040232F">
            <w:pPr>
              <w:autoSpaceDE w:val="0"/>
              <w:autoSpaceDN w:val="0"/>
              <w:adjustRightInd w:val="0"/>
              <w:spacing w:line="240" w:lineRule="auto"/>
              <w:jc w:val="center"/>
              <w:rPr>
                <w:rFonts w:ascii="Arial Narrow" w:hAnsi="Arial Narrow"/>
                <w:b/>
                <w:sz w:val="21"/>
                <w:szCs w:val="21"/>
              </w:rPr>
            </w:pPr>
            <w:r w:rsidRPr="003C0A0E">
              <w:rPr>
                <w:rFonts w:ascii="Arial Narrow" w:hAnsi="Arial Narrow"/>
                <w:b/>
                <w:sz w:val="21"/>
                <w:szCs w:val="21"/>
              </w:rPr>
              <w:t>First-Year Teachers</w:t>
            </w:r>
          </w:p>
        </w:tc>
        <w:tc>
          <w:tcPr>
            <w:tcW w:w="2210" w:type="dxa"/>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D72A9A" w:rsidRPr="003C0A0E" w:rsidRDefault="00D72A9A" w:rsidP="0040232F">
            <w:pPr>
              <w:autoSpaceDE w:val="0"/>
              <w:autoSpaceDN w:val="0"/>
              <w:adjustRightInd w:val="0"/>
              <w:spacing w:line="240" w:lineRule="auto"/>
              <w:jc w:val="center"/>
              <w:rPr>
                <w:rFonts w:ascii="Arial Narrow" w:hAnsi="Arial Narrow"/>
                <w:b/>
                <w:sz w:val="21"/>
                <w:szCs w:val="21"/>
              </w:rPr>
            </w:pPr>
            <w:r w:rsidRPr="003C0A0E">
              <w:rPr>
                <w:rFonts w:ascii="Arial Narrow" w:hAnsi="Arial Narrow"/>
                <w:b/>
                <w:sz w:val="21"/>
                <w:szCs w:val="21"/>
              </w:rPr>
              <w:t>Experienced Teachers</w:t>
            </w:r>
          </w:p>
        </w:tc>
      </w:tr>
      <w:tr w:rsidR="00D72A9A" w:rsidRPr="003C0A0E" w:rsidTr="003C0A0E">
        <w:trPr>
          <w:trHeight w:hRule="exact" w:val="360"/>
        </w:trPr>
        <w:tc>
          <w:tcPr>
            <w:tcW w:w="2334" w:type="dxa"/>
            <w:tcBorders>
              <w:bottom w:val="single" w:sz="4" w:space="0" w:color="auto"/>
            </w:tcBorders>
            <w:vAlign w:val="center"/>
          </w:tcPr>
          <w:p w:rsidR="00D72A9A" w:rsidRPr="003C0A0E" w:rsidRDefault="00D72A9A" w:rsidP="0040232F">
            <w:pPr>
              <w:autoSpaceDE w:val="0"/>
              <w:autoSpaceDN w:val="0"/>
              <w:adjustRightInd w:val="0"/>
              <w:spacing w:line="240" w:lineRule="auto"/>
              <w:rPr>
                <w:rFonts w:ascii="Arial Narrow" w:hAnsi="Arial Narrow"/>
                <w:sz w:val="21"/>
                <w:szCs w:val="21"/>
              </w:rPr>
            </w:pPr>
            <w:r w:rsidRPr="003C0A0E">
              <w:rPr>
                <w:rFonts w:ascii="Arial Narrow" w:hAnsi="Arial Narrow"/>
                <w:sz w:val="21"/>
                <w:szCs w:val="21"/>
              </w:rPr>
              <w:t xml:space="preserve">Temporary License </w:t>
            </w:r>
          </w:p>
        </w:tc>
        <w:tc>
          <w:tcPr>
            <w:tcW w:w="2116" w:type="dxa"/>
            <w:tcBorders>
              <w:bottom w:val="single" w:sz="4" w:space="0" w:color="auto"/>
            </w:tcBorders>
            <w:vAlign w:val="center"/>
          </w:tcPr>
          <w:p w:rsidR="00D72A9A" w:rsidRPr="003C0A0E" w:rsidRDefault="00D72A9A"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0.9</w:t>
            </w:r>
            <w:r w:rsidR="00C8647A">
              <w:rPr>
                <w:rFonts w:ascii="Arial Narrow" w:hAnsi="Arial Narrow"/>
                <w:sz w:val="21"/>
                <w:szCs w:val="21"/>
              </w:rPr>
              <w:t>%</w:t>
            </w:r>
          </w:p>
        </w:tc>
        <w:tc>
          <w:tcPr>
            <w:tcW w:w="2210" w:type="dxa"/>
            <w:tcBorders>
              <w:bottom w:val="single" w:sz="4" w:space="0" w:color="auto"/>
            </w:tcBorders>
            <w:vAlign w:val="center"/>
          </w:tcPr>
          <w:p w:rsidR="00D72A9A" w:rsidRPr="003C0A0E" w:rsidRDefault="000E30CD"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w:t>
            </w:r>
          </w:p>
        </w:tc>
      </w:tr>
      <w:tr w:rsidR="00D72A9A" w:rsidRPr="003C0A0E" w:rsidTr="003C0A0E">
        <w:trPr>
          <w:trHeight w:hRule="exact" w:val="360"/>
        </w:trPr>
        <w:tc>
          <w:tcPr>
            <w:tcW w:w="2334" w:type="dxa"/>
            <w:vAlign w:val="center"/>
          </w:tcPr>
          <w:p w:rsidR="00D72A9A" w:rsidRPr="003C0A0E" w:rsidRDefault="00D72A9A" w:rsidP="0040232F">
            <w:pPr>
              <w:autoSpaceDE w:val="0"/>
              <w:autoSpaceDN w:val="0"/>
              <w:adjustRightInd w:val="0"/>
              <w:spacing w:line="240" w:lineRule="auto"/>
              <w:rPr>
                <w:rFonts w:ascii="Arial Narrow" w:hAnsi="Arial Narrow"/>
                <w:sz w:val="21"/>
                <w:szCs w:val="21"/>
              </w:rPr>
            </w:pPr>
            <w:r w:rsidRPr="003C0A0E">
              <w:rPr>
                <w:rFonts w:ascii="Arial Narrow" w:hAnsi="Arial Narrow"/>
                <w:sz w:val="21"/>
                <w:szCs w:val="21"/>
              </w:rPr>
              <w:t>Preliminary License</w:t>
            </w:r>
          </w:p>
        </w:tc>
        <w:tc>
          <w:tcPr>
            <w:tcW w:w="2116" w:type="dxa"/>
            <w:vAlign w:val="center"/>
          </w:tcPr>
          <w:p w:rsidR="00D72A9A" w:rsidRPr="003C0A0E" w:rsidRDefault="00D72A9A"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26.2</w:t>
            </w:r>
            <w:r w:rsidR="00C8647A">
              <w:rPr>
                <w:rFonts w:ascii="Arial Narrow" w:hAnsi="Arial Narrow"/>
                <w:sz w:val="21"/>
                <w:szCs w:val="21"/>
              </w:rPr>
              <w:t>%</w:t>
            </w:r>
          </w:p>
        </w:tc>
        <w:tc>
          <w:tcPr>
            <w:tcW w:w="2210" w:type="dxa"/>
            <w:vAlign w:val="center"/>
          </w:tcPr>
          <w:p w:rsidR="00D72A9A" w:rsidRPr="003C0A0E" w:rsidRDefault="008F17F1"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5.3</w:t>
            </w:r>
            <w:r w:rsidR="00C8647A">
              <w:rPr>
                <w:rFonts w:ascii="Arial Narrow" w:hAnsi="Arial Narrow"/>
                <w:sz w:val="21"/>
                <w:szCs w:val="21"/>
              </w:rPr>
              <w:t>%</w:t>
            </w:r>
          </w:p>
        </w:tc>
      </w:tr>
      <w:tr w:rsidR="00D72A9A" w:rsidRPr="003C0A0E" w:rsidTr="003C0A0E">
        <w:trPr>
          <w:trHeight w:hRule="exact" w:val="360"/>
        </w:trPr>
        <w:tc>
          <w:tcPr>
            <w:tcW w:w="2334" w:type="dxa"/>
            <w:vAlign w:val="center"/>
          </w:tcPr>
          <w:p w:rsidR="00D72A9A" w:rsidRPr="003C0A0E" w:rsidRDefault="00D72A9A" w:rsidP="0040232F">
            <w:pPr>
              <w:autoSpaceDE w:val="0"/>
              <w:autoSpaceDN w:val="0"/>
              <w:adjustRightInd w:val="0"/>
              <w:spacing w:line="240" w:lineRule="auto"/>
              <w:rPr>
                <w:rFonts w:ascii="Arial Narrow" w:hAnsi="Arial Narrow"/>
                <w:sz w:val="21"/>
                <w:szCs w:val="21"/>
              </w:rPr>
            </w:pPr>
            <w:r w:rsidRPr="003C0A0E">
              <w:rPr>
                <w:rFonts w:ascii="Arial Narrow" w:hAnsi="Arial Narrow"/>
                <w:sz w:val="21"/>
                <w:szCs w:val="21"/>
              </w:rPr>
              <w:t>Initial License</w:t>
            </w:r>
          </w:p>
        </w:tc>
        <w:tc>
          <w:tcPr>
            <w:tcW w:w="2116" w:type="dxa"/>
            <w:vAlign w:val="center"/>
          </w:tcPr>
          <w:p w:rsidR="00D72A9A" w:rsidRPr="003C0A0E" w:rsidRDefault="008F17F1"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73.0</w:t>
            </w:r>
            <w:r w:rsidR="00C8647A">
              <w:rPr>
                <w:rFonts w:ascii="Arial Narrow" w:hAnsi="Arial Narrow"/>
                <w:sz w:val="21"/>
                <w:szCs w:val="21"/>
              </w:rPr>
              <w:t>%</w:t>
            </w:r>
          </w:p>
        </w:tc>
        <w:tc>
          <w:tcPr>
            <w:tcW w:w="2210" w:type="dxa"/>
            <w:vAlign w:val="center"/>
          </w:tcPr>
          <w:p w:rsidR="00D72A9A" w:rsidRPr="003C0A0E" w:rsidRDefault="008F17F1"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26.3</w:t>
            </w:r>
            <w:r w:rsidR="00C8647A">
              <w:rPr>
                <w:rFonts w:ascii="Arial Narrow" w:hAnsi="Arial Narrow"/>
                <w:sz w:val="21"/>
                <w:szCs w:val="21"/>
              </w:rPr>
              <w:t>%</w:t>
            </w:r>
          </w:p>
        </w:tc>
      </w:tr>
      <w:tr w:rsidR="008F17F1" w:rsidRPr="003C0A0E" w:rsidTr="003C0A0E">
        <w:trPr>
          <w:trHeight w:hRule="exact" w:val="360"/>
        </w:trPr>
        <w:tc>
          <w:tcPr>
            <w:tcW w:w="2334" w:type="dxa"/>
            <w:vAlign w:val="center"/>
          </w:tcPr>
          <w:p w:rsidR="008F17F1" w:rsidRPr="003C0A0E" w:rsidRDefault="008F17F1" w:rsidP="0040232F">
            <w:pPr>
              <w:autoSpaceDE w:val="0"/>
              <w:autoSpaceDN w:val="0"/>
              <w:adjustRightInd w:val="0"/>
              <w:spacing w:line="240" w:lineRule="auto"/>
              <w:rPr>
                <w:rFonts w:ascii="Arial Narrow" w:hAnsi="Arial Narrow"/>
                <w:sz w:val="21"/>
                <w:szCs w:val="21"/>
              </w:rPr>
            </w:pPr>
            <w:r w:rsidRPr="003C0A0E">
              <w:rPr>
                <w:rFonts w:ascii="Arial Narrow" w:hAnsi="Arial Narrow"/>
                <w:sz w:val="21"/>
                <w:szCs w:val="21"/>
              </w:rPr>
              <w:t>Professional License</w:t>
            </w:r>
          </w:p>
        </w:tc>
        <w:tc>
          <w:tcPr>
            <w:tcW w:w="2116" w:type="dxa"/>
            <w:vAlign w:val="center"/>
          </w:tcPr>
          <w:p w:rsidR="008F17F1" w:rsidRPr="003C0A0E" w:rsidRDefault="003454D3"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w:t>
            </w:r>
          </w:p>
        </w:tc>
        <w:tc>
          <w:tcPr>
            <w:tcW w:w="2210" w:type="dxa"/>
            <w:vAlign w:val="center"/>
          </w:tcPr>
          <w:p w:rsidR="008F17F1" w:rsidRPr="003C0A0E" w:rsidRDefault="008F17F1"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68.3</w:t>
            </w:r>
            <w:r w:rsidR="00C8647A">
              <w:rPr>
                <w:rFonts w:ascii="Arial Narrow" w:hAnsi="Arial Narrow"/>
                <w:sz w:val="21"/>
                <w:szCs w:val="21"/>
              </w:rPr>
              <w:t>%</w:t>
            </w:r>
          </w:p>
        </w:tc>
      </w:tr>
    </w:tbl>
    <w:p w:rsidR="00DB7B53" w:rsidRDefault="00DB7B53" w:rsidP="0040232F">
      <w:pPr>
        <w:spacing w:line="240" w:lineRule="auto"/>
      </w:pPr>
    </w:p>
    <w:p w:rsidR="00DF1EFD" w:rsidRDefault="00DF1EFD" w:rsidP="0040232F">
      <w:pPr>
        <w:spacing w:line="240" w:lineRule="auto"/>
      </w:pPr>
    </w:p>
    <w:p w:rsidR="00D0490D" w:rsidRPr="0040232F" w:rsidRDefault="00E678D8" w:rsidP="0040232F">
      <w:pPr>
        <w:spacing w:line="240" w:lineRule="auto"/>
        <w:rPr>
          <w:rFonts w:ascii="Times New Roman" w:hAnsi="Times New Roman"/>
        </w:rPr>
      </w:pPr>
      <w:r w:rsidRPr="0040232F">
        <w:rPr>
          <w:rFonts w:ascii="Times New Roman" w:hAnsi="Times New Roman"/>
        </w:rPr>
        <w:t xml:space="preserve">Because it provides a faster route into the classroom, the preliminary license is intended to attract career changers and fill positions in shortage areas, such as math and science. </w:t>
      </w:r>
      <w:r w:rsidR="00184476" w:rsidRPr="0040232F">
        <w:rPr>
          <w:rFonts w:ascii="Times New Roman" w:hAnsi="Times New Roman"/>
        </w:rPr>
        <w:t>The average age for a first-year teacher with a preliminary license is 33 years, slightly higher than 30 years, the average age of initial-licensed first-year teachers. This indicates</w:t>
      </w:r>
      <w:r w:rsidRPr="0040232F">
        <w:rPr>
          <w:rFonts w:ascii="Times New Roman" w:hAnsi="Times New Roman"/>
        </w:rPr>
        <w:t xml:space="preserve"> that the preliminary license may be attracting candidates with work experience outside of public education. Also, new teachers with a preliminary license are more likely to teach at the middle or secondary level and are less likely to t</w:t>
      </w:r>
      <w:r w:rsidR="00E62DEA" w:rsidRPr="0040232F">
        <w:rPr>
          <w:rFonts w:ascii="Times New Roman" w:hAnsi="Times New Roman"/>
        </w:rPr>
        <w:t>each at the elementary level</w:t>
      </w:r>
      <w:r w:rsidRPr="0040232F">
        <w:rPr>
          <w:rFonts w:ascii="Times New Roman" w:hAnsi="Times New Roman"/>
        </w:rPr>
        <w:t xml:space="preserve"> compared with new teachers with an initial license</w:t>
      </w:r>
      <w:r w:rsidR="00F33C14" w:rsidRPr="0040232F">
        <w:rPr>
          <w:rFonts w:ascii="Times New Roman" w:hAnsi="Times New Roman"/>
        </w:rPr>
        <w:t xml:space="preserve"> (</w:t>
      </w:r>
      <w:r w:rsidR="00A477DB">
        <w:rPr>
          <w:rFonts w:ascii="Times New Roman" w:hAnsi="Times New Roman"/>
        </w:rPr>
        <w:t>S</w:t>
      </w:r>
      <w:r w:rsidR="00F33C14" w:rsidRPr="0040232F">
        <w:rPr>
          <w:rFonts w:ascii="Times New Roman" w:hAnsi="Times New Roman"/>
        </w:rPr>
        <w:t>ee Table 2.2)</w:t>
      </w:r>
      <w:r w:rsidRPr="0040232F">
        <w:rPr>
          <w:rFonts w:ascii="Times New Roman" w:hAnsi="Times New Roman"/>
        </w:rPr>
        <w:t xml:space="preserve">. </w:t>
      </w:r>
      <w:r w:rsidR="00D0490D" w:rsidRPr="0040232F">
        <w:rPr>
          <w:rFonts w:ascii="Times New Roman" w:hAnsi="Times New Roman"/>
        </w:rPr>
        <w:t>This may indicate that there are more job openings at the middle or high school level</w:t>
      </w:r>
      <w:r w:rsidR="009833CD" w:rsidRPr="0040232F">
        <w:rPr>
          <w:rFonts w:ascii="Times New Roman" w:hAnsi="Times New Roman"/>
        </w:rPr>
        <w:t xml:space="preserve"> or that </w:t>
      </w:r>
      <w:r w:rsidR="00A477DB">
        <w:rPr>
          <w:rFonts w:ascii="Times New Roman" w:hAnsi="Times New Roman"/>
        </w:rPr>
        <w:t>these teachers’</w:t>
      </w:r>
      <w:r w:rsidR="00A477DB" w:rsidRPr="0040232F">
        <w:rPr>
          <w:rFonts w:ascii="Times New Roman" w:hAnsi="Times New Roman"/>
        </w:rPr>
        <w:t xml:space="preserve"> </w:t>
      </w:r>
      <w:r w:rsidR="009833CD" w:rsidRPr="0040232F">
        <w:rPr>
          <w:rFonts w:ascii="Times New Roman" w:hAnsi="Times New Roman"/>
        </w:rPr>
        <w:t>external experience</w:t>
      </w:r>
      <w:r w:rsidR="00A477DB">
        <w:rPr>
          <w:rFonts w:ascii="Times New Roman" w:hAnsi="Times New Roman"/>
        </w:rPr>
        <w:t>s</w:t>
      </w:r>
      <w:r w:rsidR="009833CD" w:rsidRPr="0040232F">
        <w:rPr>
          <w:rFonts w:ascii="Times New Roman" w:hAnsi="Times New Roman"/>
        </w:rPr>
        <w:t xml:space="preserve"> translates better to teaching at the middle or high school level</w:t>
      </w:r>
      <w:r w:rsidR="00D0490D" w:rsidRPr="0040232F">
        <w:rPr>
          <w:rFonts w:ascii="Times New Roman" w:hAnsi="Times New Roman"/>
        </w:rPr>
        <w:t>.</w:t>
      </w:r>
    </w:p>
    <w:p w:rsidR="004F0F0B" w:rsidRDefault="004F0F0B">
      <w:pPr>
        <w:spacing w:line="240" w:lineRule="auto"/>
        <w:rPr>
          <w:rFonts w:ascii="Arial" w:hAnsi="Arial" w:cs="Arial"/>
          <w:b/>
          <w:bCs/>
          <w:iCs/>
          <w:sz w:val="21"/>
          <w:szCs w:val="21"/>
        </w:rPr>
      </w:pPr>
      <w:r>
        <w:rPr>
          <w:i/>
          <w:sz w:val="21"/>
          <w:szCs w:val="21"/>
        </w:rPr>
        <w:br w:type="page"/>
      </w:r>
    </w:p>
    <w:p w:rsidR="00E678D8" w:rsidRPr="00446709" w:rsidRDefault="00E678D8" w:rsidP="00446709">
      <w:pPr>
        <w:pStyle w:val="Heading2"/>
        <w:spacing w:line="240" w:lineRule="auto"/>
        <w:rPr>
          <w:i w:val="0"/>
          <w:sz w:val="21"/>
          <w:szCs w:val="21"/>
        </w:rPr>
      </w:pPr>
      <w:r w:rsidRPr="00446709">
        <w:rPr>
          <w:i w:val="0"/>
          <w:sz w:val="21"/>
          <w:szCs w:val="21"/>
        </w:rPr>
        <w:t xml:space="preserve">Table </w:t>
      </w:r>
      <w:r w:rsidR="00E62DEA" w:rsidRPr="00446709">
        <w:rPr>
          <w:i w:val="0"/>
          <w:sz w:val="21"/>
          <w:szCs w:val="21"/>
        </w:rPr>
        <w:t>2.2</w:t>
      </w:r>
      <w:r w:rsidRPr="00446709">
        <w:rPr>
          <w:i w:val="0"/>
          <w:sz w:val="21"/>
          <w:szCs w:val="21"/>
        </w:rPr>
        <w:t xml:space="preserve">: </w:t>
      </w:r>
      <w:r w:rsidR="004270E5" w:rsidRPr="00446709">
        <w:rPr>
          <w:i w:val="0"/>
          <w:sz w:val="21"/>
          <w:szCs w:val="21"/>
        </w:rPr>
        <w:t>Percent</w:t>
      </w:r>
      <w:r w:rsidR="00A64847" w:rsidRPr="00446709">
        <w:rPr>
          <w:i w:val="0"/>
          <w:sz w:val="21"/>
          <w:szCs w:val="21"/>
        </w:rPr>
        <w:t xml:space="preserve"> of 2012-13</w:t>
      </w:r>
      <w:r w:rsidR="00655612" w:rsidRPr="00446709">
        <w:rPr>
          <w:i w:val="0"/>
          <w:sz w:val="21"/>
          <w:szCs w:val="21"/>
        </w:rPr>
        <w:t xml:space="preserve"> </w:t>
      </w:r>
      <w:r w:rsidR="001A6348" w:rsidRPr="00446709">
        <w:rPr>
          <w:i w:val="0"/>
          <w:sz w:val="21"/>
          <w:szCs w:val="21"/>
        </w:rPr>
        <w:t>First-Year</w:t>
      </w:r>
      <w:r w:rsidR="00A64847" w:rsidRPr="00446709">
        <w:rPr>
          <w:i w:val="0"/>
          <w:sz w:val="21"/>
          <w:szCs w:val="21"/>
        </w:rPr>
        <w:t xml:space="preserve"> Teachers by</w:t>
      </w:r>
      <w:r w:rsidR="00655612" w:rsidRPr="00446709">
        <w:rPr>
          <w:i w:val="0"/>
          <w:sz w:val="21"/>
          <w:szCs w:val="21"/>
        </w:rPr>
        <w:t xml:space="preserve"> </w:t>
      </w:r>
      <w:r w:rsidR="001A6348" w:rsidRPr="00446709">
        <w:rPr>
          <w:i w:val="0"/>
          <w:sz w:val="21"/>
          <w:szCs w:val="21"/>
        </w:rPr>
        <w:t>License Type</w:t>
      </w:r>
      <w:r w:rsidR="007D0B5A" w:rsidRPr="00446709">
        <w:rPr>
          <w:i w:val="0"/>
          <w:sz w:val="21"/>
          <w:szCs w:val="21"/>
        </w:rPr>
        <w:t xml:space="preserve"> and Grade Level</w:t>
      </w:r>
    </w:p>
    <w:tbl>
      <w:tblPr>
        <w:tblW w:w="66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tblPr>
      <w:tblGrid>
        <w:gridCol w:w="2250"/>
        <w:gridCol w:w="1440"/>
        <w:gridCol w:w="1530"/>
        <w:gridCol w:w="1440"/>
      </w:tblGrid>
      <w:tr w:rsidR="004F0F0B" w:rsidRPr="003C0A0E" w:rsidTr="00394B9D">
        <w:trPr>
          <w:trHeight w:hRule="exact" w:val="548"/>
        </w:trPr>
        <w:tc>
          <w:tcPr>
            <w:tcW w:w="2250" w:type="dxa"/>
            <w:tcBorders>
              <w:left w:val="single" w:sz="4" w:space="0" w:color="auto"/>
            </w:tcBorders>
            <w:shd w:val="clear" w:color="auto" w:fill="D9D9D9" w:themeFill="background1" w:themeFillShade="D9"/>
            <w:vAlign w:val="bottom"/>
          </w:tcPr>
          <w:p w:rsidR="00A64847" w:rsidRPr="003C0A0E" w:rsidRDefault="00A64847" w:rsidP="004F0F0B">
            <w:pPr>
              <w:autoSpaceDE w:val="0"/>
              <w:autoSpaceDN w:val="0"/>
              <w:adjustRightInd w:val="0"/>
              <w:spacing w:line="240" w:lineRule="auto"/>
              <w:rPr>
                <w:rFonts w:ascii="Arial Narrow" w:hAnsi="Arial Narrow"/>
                <w:b/>
                <w:sz w:val="21"/>
                <w:szCs w:val="21"/>
              </w:rPr>
            </w:pPr>
          </w:p>
        </w:tc>
        <w:tc>
          <w:tcPr>
            <w:tcW w:w="1440" w:type="dxa"/>
            <w:shd w:val="clear" w:color="auto" w:fill="D9D9D9" w:themeFill="background1" w:themeFillShade="D9"/>
            <w:vAlign w:val="bottom"/>
          </w:tcPr>
          <w:p w:rsidR="00A64847" w:rsidRPr="003C0A0E" w:rsidRDefault="00A64847" w:rsidP="004F0F0B">
            <w:pPr>
              <w:autoSpaceDE w:val="0"/>
              <w:autoSpaceDN w:val="0"/>
              <w:adjustRightInd w:val="0"/>
              <w:spacing w:line="240" w:lineRule="auto"/>
              <w:jc w:val="center"/>
              <w:rPr>
                <w:rFonts w:ascii="Arial Narrow" w:hAnsi="Arial Narrow"/>
                <w:b/>
                <w:sz w:val="21"/>
                <w:szCs w:val="21"/>
              </w:rPr>
            </w:pPr>
            <w:r w:rsidRPr="003C0A0E">
              <w:rPr>
                <w:rFonts w:ascii="Arial Narrow" w:hAnsi="Arial Narrow"/>
                <w:b/>
                <w:sz w:val="21"/>
                <w:szCs w:val="21"/>
              </w:rPr>
              <w:t>Elementary</w:t>
            </w:r>
            <w:r w:rsidR="00CB534A" w:rsidRPr="003C0A0E">
              <w:rPr>
                <w:rFonts w:ascii="Arial Narrow" w:hAnsi="Arial Narrow"/>
                <w:b/>
                <w:sz w:val="21"/>
                <w:szCs w:val="21"/>
              </w:rPr>
              <w:t xml:space="preserve"> School</w:t>
            </w:r>
          </w:p>
        </w:tc>
        <w:tc>
          <w:tcPr>
            <w:tcW w:w="1530" w:type="dxa"/>
            <w:shd w:val="clear" w:color="auto" w:fill="D9D9D9" w:themeFill="background1" w:themeFillShade="D9"/>
            <w:vAlign w:val="bottom"/>
          </w:tcPr>
          <w:p w:rsidR="00A64847" w:rsidRPr="003C0A0E" w:rsidRDefault="00A64847" w:rsidP="004F0F0B">
            <w:pPr>
              <w:autoSpaceDE w:val="0"/>
              <w:autoSpaceDN w:val="0"/>
              <w:adjustRightInd w:val="0"/>
              <w:spacing w:line="240" w:lineRule="auto"/>
              <w:jc w:val="center"/>
              <w:rPr>
                <w:rFonts w:ascii="Arial Narrow" w:hAnsi="Arial Narrow"/>
                <w:b/>
                <w:sz w:val="21"/>
                <w:szCs w:val="21"/>
              </w:rPr>
            </w:pPr>
            <w:r w:rsidRPr="003C0A0E">
              <w:rPr>
                <w:rFonts w:ascii="Arial Narrow" w:hAnsi="Arial Narrow"/>
                <w:b/>
                <w:sz w:val="21"/>
                <w:szCs w:val="21"/>
              </w:rPr>
              <w:t>Middle</w:t>
            </w:r>
            <w:r w:rsidR="00CB534A" w:rsidRPr="003C0A0E">
              <w:rPr>
                <w:rFonts w:ascii="Arial Narrow" w:hAnsi="Arial Narrow"/>
                <w:b/>
                <w:sz w:val="21"/>
                <w:szCs w:val="21"/>
              </w:rPr>
              <w:t xml:space="preserve"> School</w:t>
            </w:r>
          </w:p>
        </w:tc>
        <w:tc>
          <w:tcPr>
            <w:tcW w:w="1440" w:type="dxa"/>
            <w:shd w:val="clear" w:color="auto" w:fill="D9D9D9" w:themeFill="background1" w:themeFillShade="D9"/>
            <w:vAlign w:val="bottom"/>
          </w:tcPr>
          <w:p w:rsidR="00A64847" w:rsidRPr="003C0A0E" w:rsidRDefault="00CB23E5" w:rsidP="004F0F0B">
            <w:pPr>
              <w:autoSpaceDE w:val="0"/>
              <w:autoSpaceDN w:val="0"/>
              <w:adjustRightInd w:val="0"/>
              <w:spacing w:line="240" w:lineRule="auto"/>
              <w:jc w:val="center"/>
              <w:rPr>
                <w:rFonts w:ascii="Arial Narrow" w:hAnsi="Arial Narrow"/>
                <w:b/>
                <w:sz w:val="21"/>
                <w:szCs w:val="21"/>
              </w:rPr>
            </w:pPr>
            <w:r w:rsidRPr="003C0A0E">
              <w:rPr>
                <w:rFonts w:ascii="Arial Narrow" w:hAnsi="Arial Narrow"/>
                <w:b/>
                <w:sz w:val="21"/>
                <w:szCs w:val="21"/>
              </w:rPr>
              <w:t>High School</w:t>
            </w:r>
          </w:p>
        </w:tc>
      </w:tr>
      <w:tr w:rsidR="004F0F0B" w:rsidRPr="003C0A0E" w:rsidTr="004F0F0B">
        <w:trPr>
          <w:trHeight w:hRule="exact" w:val="404"/>
        </w:trPr>
        <w:tc>
          <w:tcPr>
            <w:tcW w:w="2250" w:type="dxa"/>
            <w:tcBorders>
              <w:left w:val="single" w:sz="4" w:space="0" w:color="auto"/>
            </w:tcBorders>
            <w:vAlign w:val="center"/>
          </w:tcPr>
          <w:p w:rsidR="00A64847" w:rsidRPr="003C0A0E" w:rsidRDefault="001A0C8E" w:rsidP="004F0F0B">
            <w:pPr>
              <w:autoSpaceDE w:val="0"/>
              <w:autoSpaceDN w:val="0"/>
              <w:adjustRightInd w:val="0"/>
              <w:spacing w:line="240" w:lineRule="auto"/>
              <w:rPr>
                <w:rFonts w:ascii="Arial Narrow" w:hAnsi="Arial Narrow"/>
                <w:sz w:val="21"/>
                <w:szCs w:val="21"/>
              </w:rPr>
            </w:pPr>
            <w:r w:rsidRPr="003C0A0E">
              <w:rPr>
                <w:rFonts w:ascii="Arial Narrow" w:hAnsi="Arial Narrow"/>
                <w:sz w:val="21"/>
                <w:szCs w:val="21"/>
              </w:rPr>
              <w:t>Temporary</w:t>
            </w:r>
            <w:r w:rsidR="004F0F0B" w:rsidRPr="003C0A0E">
              <w:rPr>
                <w:rFonts w:ascii="Arial Narrow" w:hAnsi="Arial Narrow"/>
                <w:sz w:val="21"/>
                <w:szCs w:val="21"/>
              </w:rPr>
              <w:t xml:space="preserve"> License</w:t>
            </w:r>
          </w:p>
        </w:tc>
        <w:tc>
          <w:tcPr>
            <w:tcW w:w="1440" w:type="dxa"/>
            <w:vAlign w:val="center"/>
          </w:tcPr>
          <w:p w:rsidR="00A64847" w:rsidRPr="003C0A0E" w:rsidRDefault="00CB23E5" w:rsidP="00CB534A">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0.9</w:t>
            </w:r>
            <w:r w:rsidR="00C8647A">
              <w:rPr>
                <w:rFonts w:ascii="Arial Narrow" w:hAnsi="Arial Narrow"/>
                <w:sz w:val="21"/>
                <w:szCs w:val="21"/>
              </w:rPr>
              <w:t>%</w:t>
            </w:r>
          </w:p>
        </w:tc>
        <w:tc>
          <w:tcPr>
            <w:tcW w:w="1530" w:type="dxa"/>
            <w:vAlign w:val="center"/>
          </w:tcPr>
          <w:p w:rsidR="00A64847" w:rsidRPr="003C0A0E" w:rsidRDefault="00CB23E5"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1.0</w:t>
            </w:r>
            <w:r w:rsidR="00C8647A">
              <w:rPr>
                <w:rFonts w:ascii="Arial Narrow" w:hAnsi="Arial Narrow"/>
                <w:sz w:val="21"/>
                <w:szCs w:val="21"/>
              </w:rPr>
              <w:t>%</w:t>
            </w:r>
          </w:p>
        </w:tc>
        <w:tc>
          <w:tcPr>
            <w:tcW w:w="1440" w:type="dxa"/>
            <w:vAlign w:val="center"/>
          </w:tcPr>
          <w:p w:rsidR="00A64847" w:rsidRPr="003C0A0E" w:rsidRDefault="00CB23E5"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0.9</w:t>
            </w:r>
            <w:r w:rsidR="00C8647A">
              <w:rPr>
                <w:rFonts w:ascii="Arial Narrow" w:hAnsi="Arial Narrow"/>
                <w:sz w:val="21"/>
                <w:szCs w:val="21"/>
              </w:rPr>
              <w:t>%</w:t>
            </w:r>
          </w:p>
        </w:tc>
      </w:tr>
      <w:tr w:rsidR="004F0F0B" w:rsidRPr="003C0A0E" w:rsidTr="004F0F0B">
        <w:trPr>
          <w:trHeight w:hRule="exact" w:val="404"/>
        </w:trPr>
        <w:tc>
          <w:tcPr>
            <w:tcW w:w="2250" w:type="dxa"/>
            <w:tcBorders>
              <w:left w:val="single" w:sz="4" w:space="0" w:color="auto"/>
            </w:tcBorders>
            <w:vAlign w:val="center"/>
          </w:tcPr>
          <w:p w:rsidR="00A64847" w:rsidRPr="003C0A0E" w:rsidRDefault="00A64847" w:rsidP="004F0F0B">
            <w:pPr>
              <w:autoSpaceDE w:val="0"/>
              <w:autoSpaceDN w:val="0"/>
              <w:adjustRightInd w:val="0"/>
              <w:spacing w:line="240" w:lineRule="auto"/>
              <w:rPr>
                <w:rFonts w:ascii="Arial Narrow" w:hAnsi="Arial Narrow"/>
                <w:sz w:val="21"/>
                <w:szCs w:val="21"/>
              </w:rPr>
            </w:pPr>
            <w:r w:rsidRPr="003C0A0E">
              <w:rPr>
                <w:rFonts w:ascii="Arial Narrow" w:hAnsi="Arial Narrow"/>
                <w:sz w:val="21"/>
                <w:szCs w:val="21"/>
              </w:rPr>
              <w:t xml:space="preserve">Preliminary </w:t>
            </w:r>
            <w:r w:rsidR="004F0F0B" w:rsidRPr="003C0A0E">
              <w:rPr>
                <w:rFonts w:ascii="Arial Narrow" w:hAnsi="Arial Narrow"/>
                <w:sz w:val="21"/>
                <w:szCs w:val="21"/>
              </w:rPr>
              <w:t xml:space="preserve"> License</w:t>
            </w:r>
          </w:p>
        </w:tc>
        <w:tc>
          <w:tcPr>
            <w:tcW w:w="1440" w:type="dxa"/>
            <w:vAlign w:val="center"/>
          </w:tcPr>
          <w:p w:rsidR="00A64847" w:rsidRPr="003C0A0E" w:rsidRDefault="00CB23E5"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19.9</w:t>
            </w:r>
            <w:r w:rsidR="00C8647A">
              <w:rPr>
                <w:rFonts w:ascii="Arial Narrow" w:hAnsi="Arial Narrow"/>
                <w:sz w:val="21"/>
                <w:szCs w:val="21"/>
              </w:rPr>
              <w:t>%</w:t>
            </w:r>
          </w:p>
        </w:tc>
        <w:tc>
          <w:tcPr>
            <w:tcW w:w="1530" w:type="dxa"/>
            <w:vAlign w:val="center"/>
          </w:tcPr>
          <w:p w:rsidR="00A64847" w:rsidRPr="003C0A0E" w:rsidRDefault="00CB23E5"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34.2</w:t>
            </w:r>
            <w:r w:rsidR="00C8647A">
              <w:rPr>
                <w:rFonts w:ascii="Arial Narrow" w:hAnsi="Arial Narrow"/>
                <w:sz w:val="21"/>
                <w:szCs w:val="21"/>
              </w:rPr>
              <w:t>%</w:t>
            </w:r>
          </w:p>
        </w:tc>
        <w:tc>
          <w:tcPr>
            <w:tcW w:w="1440" w:type="dxa"/>
            <w:vAlign w:val="center"/>
          </w:tcPr>
          <w:p w:rsidR="00A64847" w:rsidRPr="003C0A0E" w:rsidRDefault="00CB23E5"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35.4</w:t>
            </w:r>
            <w:r w:rsidR="00C8647A">
              <w:rPr>
                <w:rFonts w:ascii="Arial Narrow" w:hAnsi="Arial Narrow"/>
                <w:sz w:val="21"/>
                <w:szCs w:val="21"/>
              </w:rPr>
              <w:t>%</w:t>
            </w:r>
          </w:p>
        </w:tc>
      </w:tr>
      <w:tr w:rsidR="004F0F0B" w:rsidRPr="003C0A0E" w:rsidTr="004F0F0B">
        <w:trPr>
          <w:trHeight w:hRule="exact" w:val="404"/>
        </w:trPr>
        <w:tc>
          <w:tcPr>
            <w:tcW w:w="2250" w:type="dxa"/>
            <w:tcBorders>
              <w:left w:val="single" w:sz="4" w:space="0" w:color="auto"/>
            </w:tcBorders>
            <w:vAlign w:val="center"/>
          </w:tcPr>
          <w:p w:rsidR="00A64847" w:rsidRPr="003C0A0E" w:rsidRDefault="00A64847" w:rsidP="004F0F0B">
            <w:pPr>
              <w:autoSpaceDE w:val="0"/>
              <w:autoSpaceDN w:val="0"/>
              <w:adjustRightInd w:val="0"/>
              <w:spacing w:line="240" w:lineRule="auto"/>
              <w:rPr>
                <w:rFonts w:ascii="Arial Narrow" w:hAnsi="Arial Narrow"/>
                <w:sz w:val="21"/>
                <w:szCs w:val="21"/>
              </w:rPr>
            </w:pPr>
            <w:r w:rsidRPr="003C0A0E">
              <w:rPr>
                <w:rFonts w:ascii="Arial Narrow" w:hAnsi="Arial Narrow"/>
                <w:sz w:val="21"/>
                <w:szCs w:val="21"/>
              </w:rPr>
              <w:t xml:space="preserve">Initial </w:t>
            </w:r>
            <w:r w:rsidR="004F0F0B" w:rsidRPr="003C0A0E">
              <w:rPr>
                <w:rFonts w:ascii="Arial Narrow" w:hAnsi="Arial Narrow"/>
                <w:sz w:val="21"/>
                <w:szCs w:val="21"/>
              </w:rPr>
              <w:t>License</w:t>
            </w:r>
          </w:p>
        </w:tc>
        <w:tc>
          <w:tcPr>
            <w:tcW w:w="1440" w:type="dxa"/>
            <w:vAlign w:val="center"/>
          </w:tcPr>
          <w:p w:rsidR="00A64847" w:rsidRPr="003C0A0E" w:rsidRDefault="00CB23E5"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79.2</w:t>
            </w:r>
            <w:r w:rsidR="00C8647A">
              <w:rPr>
                <w:rFonts w:ascii="Arial Narrow" w:hAnsi="Arial Narrow"/>
                <w:sz w:val="21"/>
                <w:szCs w:val="21"/>
              </w:rPr>
              <w:t>%</w:t>
            </w:r>
          </w:p>
        </w:tc>
        <w:tc>
          <w:tcPr>
            <w:tcW w:w="1530" w:type="dxa"/>
            <w:vAlign w:val="center"/>
          </w:tcPr>
          <w:p w:rsidR="00A64847" w:rsidRPr="003C0A0E" w:rsidRDefault="00CB23E5"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64.8</w:t>
            </w:r>
            <w:r w:rsidR="00C8647A">
              <w:rPr>
                <w:rFonts w:ascii="Arial Narrow" w:hAnsi="Arial Narrow"/>
                <w:sz w:val="21"/>
                <w:szCs w:val="21"/>
              </w:rPr>
              <w:t>%</w:t>
            </w:r>
          </w:p>
        </w:tc>
        <w:tc>
          <w:tcPr>
            <w:tcW w:w="1440" w:type="dxa"/>
            <w:vAlign w:val="center"/>
          </w:tcPr>
          <w:p w:rsidR="00A64847" w:rsidRPr="003C0A0E" w:rsidRDefault="00CB23E5" w:rsidP="0040232F">
            <w:pPr>
              <w:autoSpaceDE w:val="0"/>
              <w:autoSpaceDN w:val="0"/>
              <w:adjustRightInd w:val="0"/>
              <w:spacing w:line="240" w:lineRule="auto"/>
              <w:jc w:val="center"/>
              <w:rPr>
                <w:rFonts w:ascii="Arial Narrow" w:hAnsi="Arial Narrow"/>
                <w:sz w:val="21"/>
                <w:szCs w:val="21"/>
              </w:rPr>
            </w:pPr>
            <w:r w:rsidRPr="003C0A0E">
              <w:rPr>
                <w:rFonts w:ascii="Arial Narrow" w:hAnsi="Arial Narrow"/>
                <w:sz w:val="21"/>
                <w:szCs w:val="21"/>
              </w:rPr>
              <w:t>63.8</w:t>
            </w:r>
            <w:r w:rsidR="00C8647A">
              <w:rPr>
                <w:rFonts w:ascii="Arial Narrow" w:hAnsi="Arial Narrow"/>
                <w:sz w:val="21"/>
                <w:szCs w:val="21"/>
              </w:rPr>
              <w:t>%</w:t>
            </w:r>
          </w:p>
        </w:tc>
      </w:tr>
    </w:tbl>
    <w:p w:rsidR="008674B3" w:rsidRDefault="008674B3" w:rsidP="000C3038">
      <w:pPr>
        <w:spacing w:line="240" w:lineRule="auto"/>
        <w:rPr>
          <w:rFonts w:ascii="Times New Roman" w:hAnsi="Times New Roman"/>
        </w:rPr>
      </w:pPr>
    </w:p>
    <w:p w:rsidR="00DF1EFD" w:rsidRDefault="00DF1EFD" w:rsidP="000C3038">
      <w:pPr>
        <w:spacing w:line="240" w:lineRule="auto"/>
        <w:rPr>
          <w:rFonts w:ascii="Times New Roman" w:hAnsi="Times New Roman"/>
        </w:rPr>
      </w:pPr>
    </w:p>
    <w:p w:rsidR="00E678D8" w:rsidRPr="0040232F" w:rsidRDefault="00E678D8" w:rsidP="000C3038">
      <w:pPr>
        <w:spacing w:line="240" w:lineRule="auto"/>
        <w:rPr>
          <w:rFonts w:ascii="Times New Roman" w:hAnsi="Times New Roman"/>
        </w:rPr>
      </w:pPr>
      <w:r w:rsidRPr="0040232F">
        <w:rPr>
          <w:rFonts w:ascii="Times New Roman" w:hAnsi="Times New Roman"/>
        </w:rPr>
        <w:t xml:space="preserve">Among </w:t>
      </w:r>
      <w:r w:rsidR="0054760F" w:rsidRPr="0040232F">
        <w:rPr>
          <w:rFonts w:ascii="Times New Roman" w:hAnsi="Times New Roman"/>
        </w:rPr>
        <w:t>new teachers</w:t>
      </w:r>
      <w:r w:rsidRPr="0040232F">
        <w:rPr>
          <w:rFonts w:ascii="Times New Roman" w:hAnsi="Times New Roman"/>
        </w:rPr>
        <w:t xml:space="preserve"> at the middle or secondary level, </w:t>
      </w:r>
      <w:r w:rsidR="00614A97" w:rsidRPr="0040232F">
        <w:rPr>
          <w:rFonts w:ascii="Times New Roman" w:hAnsi="Times New Roman"/>
        </w:rPr>
        <w:t>5</w:t>
      </w:r>
      <w:r w:rsidR="000E2E89" w:rsidRPr="0040232F">
        <w:rPr>
          <w:rFonts w:ascii="Times New Roman" w:hAnsi="Times New Roman"/>
        </w:rPr>
        <w:t>1</w:t>
      </w:r>
      <w:r w:rsidR="00614A97" w:rsidRPr="0040232F">
        <w:rPr>
          <w:rFonts w:ascii="Times New Roman" w:hAnsi="Times New Roman"/>
        </w:rPr>
        <w:t xml:space="preserve"> percent</w:t>
      </w:r>
      <w:r w:rsidR="008F7D17" w:rsidRPr="0040232F">
        <w:rPr>
          <w:rFonts w:ascii="Times New Roman" w:hAnsi="Times New Roman"/>
        </w:rPr>
        <w:t xml:space="preserve"> </w:t>
      </w:r>
      <w:r w:rsidR="00614A97" w:rsidRPr="0040232F">
        <w:rPr>
          <w:rFonts w:ascii="Times New Roman" w:hAnsi="Times New Roman"/>
        </w:rPr>
        <w:t xml:space="preserve">of </w:t>
      </w:r>
      <w:r w:rsidR="008F7D17" w:rsidRPr="0040232F">
        <w:rPr>
          <w:rFonts w:ascii="Times New Roman" w:hAnsi="Times New Roman"/>
        </w:rPr>
        <w:t>those teaching a</w:t>
      </w:r>
      <w:r w:rsidRPr="0040232F">
        <w:rPr>
          <w:rFonts w:ascii="Times New Roman" w:hAnsi="Times New Roman"/>
        </w:rPr>
        <w:t xml:space="preserve"> foreign language</w:t>
      </w:r>
      <w:r w:rsidR="00E62DEA" w:rsidRPr="0040232F">
        <w:rPr>
          <w:rFonts w:ascii="Times New Roman" w:hAnsi="Times New Roman"/>
        </w:rPr>
        <w:t xml:space="preserve"> </w:t>
      </w:r>
      <w:r w:rsidR="008F7D17" w:rsidRPr="0040232F">
        <w:rPr>
          <w:rFonts w:ascii="Times New Roman" w:hAnsi="Times New Roman"/>
        </w:rPr>
        <w:t xml:space="preserve">hold a preliminary license, higher than </w:t>
      </w:r>
      <w:r w:rsidR="00A477DB">
        <w:rPr>
          <w:rFonts w:ascii="Times New Roman" w:hAnsi="Times New Roman"/>
        </w:rPr>
        <w:t xml:space="preserve">the </w:t>
      </w:r>
      <w:r w:rsidR="008F7D17" w:rsidRPr="0040232F">
        <w:rPr>
          <w:rFonts w:ascii="Times New Roman" w:hAnsi="Times New Roman"/>
        </w:rPr>
        <w:t xml:space="preserve">average for first-year middle and high school teachers (Table 2.3). However, a </w:t>
      </w:r>
      <w:r w:rsidR="00A477DB">
        <w:rPr>
          <w:rFonts w:ascii="Times New Roman" w:hAnsi="Times New Roman"/>
        </w:rPr>
        <w:t>below</w:t>
      </w:r>
      <w:r w:rsidR="008F7D17" w:rsidRPr="0040232F">
        <w:rPr>
          <w:rFonts w:ascii="Times New Roman" w:hAnsi="Times New Roman"/>
        </w:rPr>
        <w:t xml:space="preserve"> average </w:t>
      </w:r>
      <w:r w:rsidR="00A477DB">
        <w:rPr>
          <w:rFonts w:ascii="Times New Roman" w:hAnsi="Times New Roman"/>
        </w:rPr>
        <w:t>percentage of</w:t>
      </w:r>
      <w:r w:rsidR="008F7D17" w:rsidRPr="0040232F">
        <w:rPr>
          <w:rFonts w:ascii="Times New Roman" w:hAnsi="Times New Roman"/>
        </w:rPr>
        <w:t xml:space="preserve"> </w:t>
      </w:r>
      <w:r w:rsidR="00A477DB">
        <w:rPr>
          <w:rFonts w:ascii="Times New Roman" w:hAnsi="Times New Roman"/>
        </w:rPr>
        <w:t>m</w:t>
      </w:r>
      <w:r w:rsidR="008F7D17" w:rsidRPr="0040232F">
        <w:rPr>
          <w:rFonts w:ascii="Times New Roman" w:hAnsi="Times New Roman"/>
        </w:rPr>
        <w:t>ath</w:t>
      </w:r>
      <w:r w:rsidR="00A477DB">
        <w:rPr>
          <w:rFonts w:ascii="Times New Roman" w:hAnsi="Times New Roman"/>
        </w:rPr>
        <w:t>ematics</w:t>
      </w:r>
      <w:r w:rsidR="008F7D17" w:rsidRPr="0040232F">
        <w:rPr>
          <w:rFonts w:ascii="Times New Roman" w:hAnsi="Times New Roman"/>
        </w:rPr>
        <w:t xml:space="preserve">, </w:t>
      </w:r>
      <w:r w:rsidR="00A477DB">
        <w:rPr>
          <w:rFonts w:ascii="Times New Roman" w:hAnsi="Times New Roman"/>
        </w:rPr>
        <w:t>s</w:t>
      </w:r>
      <w:r w:rsidR="008F7D17" w:rsidRPr="0040232F">
        <w:rPr>
          <w:rFonts w:ascii="Times New Roman" w:hAnsi="Times New Roman"/>
        </w:rPr>
        <w:t xml:space="preserve">cience and </w:t>
      </w:r>
      <w:r w:rsidRPr="0040232F">
        <w:rPr>
          <w:rFonts w:ascii="Times New Roman" w:hAnsi="Times New Roman"/>
        </w:rPr>
        <w:t xml:space="preserve">English </w:t>
      </w:r>
      <w:r w:rsidR="0090382B" w:rsidRPr="0040232F">
        <w:rPr>
          <w:rFonts w:ascii="Times New Roman" w:hAnsi="Times New Roman"/>
        </w:rPr>
        <w:t>l</w:t>
      </w:r>
      <w:r w:rsidRPr="0040232F">
        <w:rPr>
          <w:rFonts w:ascii="Times New Roman" w:hAnsi="Times New Roman"/>
        </w:rPr>
        <w:t xml:space="preserve">anguage </w:t>
      </w:r>
      <w:r w:rsidR="0090382B" w:rsidRPr="0040232F">
        <w:rPr>
          <w:rFonts w:ascii="Times New Roman" w:hAnsi="Times New Roman"/>
        </w:rPr>
        <w:t>a</w:t>
      </w:r>
      <w:r w:rsidRPr="0040232F">
        <w:rPr>
          <w:rFonts w:ascii="Times New Roman" w:hAnsi="Times New Roman"/>
        </w:rPr>
        <w:t xml:space="preserve">rts </w:t>
      </w:r>
      <w:r w:rsidR="00614A97" w:rsidRPr="0040232F">
        <w:rPr>
          <w:rFonts w:ascii="Times New Roman" w:hAnsi="Times New Roman"/>
        </w:rPr>
        <w:t xml:space="preserve">teachers have a preliminary license. </w:t>
      </w:r>
      <w:r w:rsidR="00224745" w:rsidRPr="0040232F">
        <w:rPr>
          <w:rFonts w:ascii="Times New Roman" w:hAnsi="Times New Roman"/>
        </w:rPr>
        <w:t xml:space="preserve"> Preliminary licensed </w:t>
      </w:r>
      <w:r w:rsidR="00EE3D28" w:rsidRPr="0040232F">
        <w:rPr>
          <w:rFonts w:ascii="Times New Roman" w:hAnsi="Times New Roman"/>
        </w:rPr>
        <w:t>first-year</w:t>
      </w:r>
      <w:r w:rsidR="00224745" w:rsidRPr="0040232F">
        <w:rPr>
          <w:rFonts w:ascii="Times New Roman" w:hAnsi="Times New Roman"/>
        </w:rPr>
        <w:t xml:space="preserve"> teachers are also less likely to have a special education assignment, but more likely to teach English </w:t>
      </w:r>
      <w:r w:rsidR="0090382B" w:rsidRPr="0040232F">
        <w:rPr>
          <w:rFonts w:ascii="Times New Roman" w:hAnsi="Times New Roman"/>
        </w:rPr>
        <w:t>l</w:t>
      </w:r>
      <w:r w:rsidR="00224745" w:rsidRPr="0040232F">
        <w:rPr>
          <w:rFonts w:ascii="Times New Roman" w:hAnsi="Times New Roman"/>
        </w:rPr>
        <w:t xml:space="preserve">anguage </w:t>
      </w:r>
      <w:r w:rsidR="0090382B" w:rsidRPr="0040232F">
        <w:rPr>
          <w:rFonts w:ascii="Times New Roman" w:hAnsi="Times New Roman"/>
        </w:rPr>
        <w:t>l</w:t>
      </w:r>
      <w:r w:rsidR="00224745" w:rsidRPr="0040232F">
        <w:rPr>
          <w:rFonts w:ascii="Times New Roman" w:hAnsi="Times New Roman"/>
        </w:rPr>
        <w:t>earners.</w:t>
      </w:r>
      <w:r w:rsidR="00657258" w:rsidRPr="0040232F">
        <w:rPr>
          <w:rFonts w:ascii="Times New Roman" w:hAnsi="Times New Roman"/>
        </w:rPr>
        <w:t xml:space="preserve"> </w:t>
      </w:r>
      <w:r w:rsidR="008F7D17" w:rsidRPr="0040232F">
        <w:rPr>
          <w:rFonts w:ascii="Times New Roman" w:hAnsi="Times New Roman"/>
        </w:rPr>
        <w:t>T</w:t>
      </w:r>
      <w:r w:rsidR="00657258" w:rsidRPr="0040232F">
        <w:rPr>
          <w:rFonts w:ascii="Times New Roman" w:hAnsi="Times New Roman"/>
        </w:rPr>
        <w:t xml:space="preserve">he preliminary license may be helping to fill hiring needs in some, but not all, shortage </w:t>
      </w:r>
      <w:r w:rsidR="00EE3D28" w:rsidRPr="0040232F">
        <w:rPr>
          <w:rFonts w:ascii="Times New Roman" w:hAnsi="Times New Roman"/>
        </w:rPr>
        <w:t xml:space="preserve">subject </w:t>
      </w:r>
      <w:r w:rsidR="00657258" w:rsidRPr="0040232F">
        <w:rPr>
          <w:rFonts w:ascii="Times New Roman" w:hAnsi="Times New Roman"/>
        </w:rPr>
        <w:t>areas.</w:t>
      </w:r>
    </w:p>
    <w:p w:rsidR="00626184" w:rsidRDefault="00626184" w:rsidP="0040232F">
      <w:pPr>
        <w:spacing w:line="240" w:lineRule="auto"/>
      </w:pPr>
    </w:p>
    <w:p w:rsidR="0054760F" w:rsidRPr="004F0F0B" w:rsidRDefault="0054760F" w:rsidP="00446709">
      <w:pPr>
        <w:pStyle w:val="Heading2"/>
        <w:spacing w:line="240" w:lineRule="auto"/>
        <w:rPr>
          <w:i w:val="0"/>
          <w:sz w:val="21"/>
          <w:szCs w:val="21"/>
        </w:rPr>
      </w:pPr>
      <w:r w:rsidRPr="00446709">
        <w:rPr>
          <w:i w:val="0"/>
          <w:sz w:val="21"/>
          <w:szCs w:val="21"/>
        </w:rPr>
        <w:t xml:space="preserve">Table </w:t>
      </w:r>
      <w:r w:rsidR="00E62DEA" w:rsidRPr="00446709">
        <w:rPr>
          <w:i w:val="0"/>
          <w:sz w:val="21"/>
          <w:szCs w:val="21"/>
        </w:rPr>
        <w:t>2.3</w:t>
      </w:r>
      <w:r w:rsidRPr="00446709">
        <w:rPr>
          <w:i w:val="0"/>
          <w:sz w:val="21"/>
          <w:szCs w:val="21"/>
        </w:rPr>
        <w:t xml:space="preserve">: </w:t>
      </w:r>
      <w:r w:rsidR="00DE6567" w:rsidRPr="00446709">
        <w:rPr>
          <w:i w:val="0"/>
          <w:sz w:val="21"/>
          <w:szCs w:val="21"/>
        </w:rPr>
        <w:t>Percent</w:t>
      </w:r>
      <w:r w:rsidR="000727BD" w:rsidRPr="00446709">
        <w:rPr>
          <w:i w:val="0"/>
          <w:sz w:val="21"/>
          <w:szCs w:val="21"/>
        </w:rPr>
        <w:t xml:space="preserve"> of 2012-13 First-Year Teachers</w:t>
      </w:r>
      <w:r w:rsidR="00876FF4" w:rsidRPr="00446709">
        <w:rPr>
          <w:i w:val="0"/>
          <w:sz w:val="21"/>
          <w:szCs w:val="21"/>
        </w:rPr>
        <w:t xml:space="preserve"> by</w:t>
      </w:r>
      <w:r w:rsidR="004D66DA" w:rsidRPr="00446709">
        <w:rPr>
          <w:i w:val="0"/>
          <w:sz w:val="21"/>
          <w:szCs w:val="21"/>
        </w:rPr>
        <w:t xml:space="preserve"> </w:t>
      </w:r>
      <w:r w:rsidR="003557FE" w:rsidRPr="00446709">
        <w:rPr>
          <w:i w:val="0"/>
          <w:sz w:val="21"/>
          <w:szCs w:val="21"/>
        </w:rPr>
        <w:t>Shortage</w:t>
      </w:r>
      <w:r w:rsidR="00655612" w:rsidRPr="00446709">
        <w:rPr>
          <w:i w:val="0"/>
          <w:sz w:val="21"/>
          <w:szCs w:val="21"/>
        </w:rPr>
        <w:t xml:space="preserve"> </w:t>
      </w:r>
      <w:r w:rsidRPr="00446709">
        <w:rPr>
          <w:i w:val="0"/>
          <w:sz w:val="21"/>
          <w:szCs w:val="21"/>
        </w:rPr>
        <w:t xml:space="preserve">Subject </w:t>
      </w:r>
      <w:r w:rsidR="004D66DA" w:rsidRPr="00446709">
        <w:rPr>
          <w:i w:val="0"/>
          <w:sz w:val="21"/>
          <w:szCs w:val="21"/>
        </w:rPr>
        <w:t>Areas</w:t>
      </w:r>
      <w:r w:rsidRPr="00446709">
        <w:rPr>
          <w:i w:val="0"/>
          <w:sz w:val="21"/>
          <w:szCs w:val="21"/>
        </w:rPr>
        <w:t xml:space="preserve"> </w:t>
      </w:r>
      <w:r w:rsidR="006D6C58" w:rsidRPr="00446709">
        <w:rPr>
          <w:i w:val="0"/>
          <w:sz w:val="21"/>
          <w:szCs w:val="21"/>
        </w:rPr>
        <w:t>and</w:t>
      </w:r>
      <w:r w:rsidRPr="00446709">
        <w:rPr>
          <w:i w:val="0"/>
          <w:sz w:val="21"/>
          <w:szCs w:val="21"/>
        </w:rPr>
        <w:t xml:space="preserve"> </w:t>
      </w:r>
      <w:r w:rsidR="000727BD" w:rsidRPr="00446709">
        <w:rPr>
          <w:i w:val="0"/>
          <w:sz w:val="21"/>
          <w:szCs w:val="21"/>
        </w:rPr>
        <w:t xml:space="preserve">License </w:t>
      </w:r>
      <w:r w:rsidR="000727BD" w:rsidRPr="004F0F0B">
        <w:rPr>
          <w:i w:val="0"/>
          <w:sz w:val="21"/>
          <w:szCs w:val="21"/>
        </w:rPr>
        <w:t>Type</w:t>
      </w:r>
    </w:p>
    <w:tbl>
      <w:tblPr>
        <w:tblW w:w="92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tblPr>
      <w:tblGrid>
        <w:gridCol w:w="1800"/>
        <w:gridCol w:w="720"/>
        <w:gridCol w:w="900"/>
        <w:gridCol w:w="1080"/>
        <w:gridCol w:w="1350"/>
        <w:gridCol w:w="1170"/>
        <w:gridCol w:w="1080"/>
        <w:gridCol w:w="1170"/>
      </w:tblGrid>
      <w:tr w:rsidR="004D66DA" w:rsidRPr="00C8647A" w:rsidTr="00213D04">
        <w:trPr>
          <w:gridBefore w:val="1"/>
          <w:wBefore w:w="1800" w:type="dxa"/>
          <w:trHeight w:hRule="exact" w:val="494"/>
        </w:trPr>
        <w:tc>
          <w:tcPr>
            <w:tcW w:w="4050" w:type="dxa"/>
            <w:gridSpan w:val="4"/>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224745" w:rsidRPr="00C8647A" w:rsidRDefault="00224745" w:rsidP="0040232F">
            <w:pPr>
              <w:autoSpaceDE w:val="0"/>
              <w:autoSpaceDN w:val="0"/>
              <w:adjustRightInd w:val="0"/>
              <w:spacing w:line="240" w:lineRule="auto"/>
              <w:jc w:val="center"/>
              <w:rPr>
                <w:rFonts w:ascii="Arial Narrow" w:hAnsi="Arial Narrow"/>
                <w:b/>
                <w:sz w:val="21"/>
                <w:szCs w:val="21"/>
              </w:rPr>
            </w:pPr>
            <w:r w:rsidRPr="00C8647A">
              <w:rPr>
                <w:rFonts w:ascii="Arial Narrow" w:hAnsi="Arial Narrow"/>
                <w:b/>
                <w:sz w:val="21"/>
                <w:szCs w:val="21"/>
              </w:rPr>
              <w:t xml:space="preserve">Subjects Taught </w:t>
            </w:r>
          </w:p>
          <w:p w:rsidR="004D66DA" w:rsidRPr="00C8647A" w:rsidRDefault="00224745" w:rsidP="0040232F">
            <w:pPr>
              <w:autoSpaceDE w:val="0"/>
              <w:autoSpaceDN w:val="0"/>
              <w:adjustRightInd w:val="0"/>
              <w:spacing w:line="240" w:lineRule="auto"/>
              <w:jc w:val="center"/>
              <w:rPr>
                <w:rFonts w:ascii="Arial Narrow" w:hAnsi="Arial Narrow"/>
                <w:b/>
                <w:sz w:val="21"/>
                <w:szCs w:val="21"/>
              </w:rPr>
            </w:pPr>
            <w:r w:rsidRPr="00C8647A">
              <w:rPr>
                <w:rFonts w:ascii="Arial Narrow" w:hAnsi="Arial Narrow"/>
                <w:b/>
                <w:sz w:val="21"/>
                <w:szCs w:val="21"/>
              </w:rPr>
              <w:t xml:space="preserve">(Middle or </w:t>
            </w:r>
            <w:r w:rsidR="008B7C79" w:rsidRPr="00C8647A">
              <w:rPr>
                <w:rFonts w:ascii="Arial Narrow" w:hAnsi="Arial Narrow"/>
                <w:b/>
                <w:sz w:val="21"/>
                <w:szCs w:val="21"/>
              </w:rPr>
              <w:t>High School</w:t>
            </w:r>
            <w:r w:rsidR="004D66DA" w:rsidRPr="00C8647A">
              <w:rPr>
                <w:rFonts w:ascii="Arial Narrow" w:hAnsi="Arial Narrow"/>
                <w:b/>
                <w:sz w:val="21"/>
                <w:szCs w:val="21"/>
              </w:rPr>
              <w:t xml:space="preserve"> </w:t>
            </w:r>
            <w:r w:rsidRPr="00C8647A">
              <w:rPr>
                <w:rFonts w:ascii="Arial Narrow" w:hAnsi="Arial Narrow"/>
                <w:b/>
                <w:sz w:val="21"/>
                <w:szCs w:val="21"/>
              </w:rPr>
              <w:t>Grades Only)</w:t>
            </w:r>
          </w:p>
        </w:tc>
        <w:tc>
          <w:tcPr>
            <w:tcW w:w="3420" w:type="dxa"/>
            <w:gridSpan w:val="3"/>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4D66DA" w:rsidRPr="00C8647A" w:rsidRDefault="00224745" w:rsidP="0040232F">
            <w:pPr>
              <w:autoSpaceDE w:val="0"/>
              <w:autoSpaceDN w:val="0"/>
              <w:adjustRightInd w:val="0"/>
              <w:spacing w:line="240" w:lineRule="auto"/>
              <w:jc w:val="center"/>
              <w:rPr>
                <w:rFonts w:ascii="Arial Narrow" w:hAnsi="Arial Narrow"/>
                <w:b/>
                <w:sz w:val="21"/>
                <w:szCs w:val="21"/>
              </w:rPr>
            </w:pPr>
            <w:r w:rsidRPr="00C8647A">
              <w:rPr>
                <w:rFonts w:ascii="Arial Narrow" w:hAnsi="Arial Narrow"/>
                <w:b/>
                <w:sz w:val="21"/>
                <w:szCs w:val="21"/>
              </w:rPr>
              <w:t>Students Taught</w:t>
            </w:r>
          </w:p>
        </w:tc>
      </w:tr>
      <w:tr w:rsidR="00213D04" w:rsidRPr="00C8647A" w:rsidTr="00213D04">
        <w:trPr>
          <w:trHeight w:hRule="exact" w:val="1034"/>
        </w:trPr>
        <w:tc>
          <w:tcPr>
            <w:tcW w:w="1800" w:type="dxa"/>
            <w:tcBorders>
              <w:left w:val="single" w:sz="4" w:space="0" w:color="auto"/>
            </w:tcBorders>
            <w:shd w:val="clear" w:color="auto" w:fill="D9D9D9" w:themeFill="background1" w:themeFillShade="D9"/>
            <w:vAlign w:val="center"/>
          </w:tcPr>
          <w:p w:rsidR="00117ED8" w:rsidRPr="00C8647A" w:rsidRDefault="00117ED8" w:rsidP="0040232F">
            <w:pPr>
              <w:autoSpaceDE w:val="0"/>
              <w:autoSpaceDN w:val="0"/>
              <w:adjustRightInd w:val="0"/>
              <w:spacing w:line="240" w:lineRule="auto"/>
              <w:rPr>
                <w:rFonts w:ascii="Arial Narrow" w:hAnsi="Arial Narrow"/>
                <w:sz w:val="21"/>
                <w:szCs w:val="21"/>
              </w:rPr>
            </w:pPr>
          </w:p>
        </w:tc>
        <w:tc>
          <w:tcPr>
            <w:tcW w:w="720" w:type="dxa"/>
            <w:shd w:val="clear" w:color="auto" w:fill="D9D9D9" w:themeFill="background1" w:themeFillShade="D9"/>
            <w:vAlign w:val="center"/>
          </w:tcPr>
          <w:p w:rsidR="00117ED8" w:rsidRPr="00C8647A" w:rsidRDefault="00117ED8" w:rsidP="0040232F">
            <w:pPr>
              <w:autoSpaceDE w:val="0"/>
              <w:autoSpaceDN w:val="0"/>
              <w:adjustRightInd w:val="0"/>
              <w:spacing w:line="240" w:lineRule="auto"/>
              <w:jc w:val="center"/>
              <w:rPr>
                <w:rFonts w:ascii="Arial Narrow" w:hAnsi="Arial Narrow"/>
                <w:b/>
                <w:sz w:val="21"/>
                <w:szCs w:val="21"/>
              </w:rPr>
            </w:pPr>
            <w:r w:rsidRPr="00C8647A">
              <w:rPr>
                <w:rFonts w:ascii="Arial Narrow" w:hAnsi="Arial Narrow"/>
                <w:b/>
                <w:sz w:val="21"/>
                <w:szCs w:val="21"/>
              </w:rPr>
              <w:t>Math</w:t>
            </w:r>
          </w:p>
        </w:tc>
        <w:tc>
          <w:tcPr>
            <w:tcW w:w="900" w:type="dxa"/>
            <w:shd w:val="clear" w:color="auto" w:fill="D9D9D9" w:themeFill="background1" w:themeFillShade="D9"/>
            <w:vAlign w:val="center"/>
          </w:tcPr>
          <w:p w:rsidR="00117ED8" w:rsidRPr="00C8647A" w:rsidRDefault="00117ED8" w:rsidP="0040232F">
            <w:pPr>
              <w:autoSpaceDE w:val="0"/>
              <w:autoSpaceDN w:val="0"/>
              <w:adjustRightInd w:val="0"/>
              <w:spacing w:line="240" w:lineRule="auto"/>
              <w:jc w:val="center"/>
              <w:rPr>
                <w:rFonts w:ascii="Arial Narrow" w:hAnsi="Arial Narrow"/>
                <w:b/>
                <w:sz w:val="21"/>
                <w:szCs w:val="21"/>
              </w:rPr>
            </w:pPr>
            <w:r w:rsidRPr="00C8647A">
              <w:rPr>
                <w:rFonts w:ascii="Arial Narrow" w:hAnsi="Arial Narrow"/>
                <w:b/>
                <w:sz w:val="21"/>
                <w:szCs w:val="21"/>
              </w:rPr>
              <w:t>Science</w:t>
            </w:r>
          </w:p>
        </w:tc>
        <w:tc>
          <w:tcPr>
            <w:tcW w:w="1080" w:type="dxa"/>
            <w:shd w:val="clear" w:color="auto" w:fill="D9D9D9" w:themeFill="background1" w:themeFillShade="D9"/>
            <w:vAlign w:val="center"/>
          </w:tcPr>
          <w:p w:rsidR="00117ED8" w:rsidRPr="00C8647A" w:rsidRDefault="00117ED8" w:rsidP="0040232F">
            <w:pPr>
              <w:autoSpaceDE w:val="0"/>
              <w:autoSpaceDN w:val="0"/>
              <w:adjustRightInd w:val="0"/>
              <w:spacing w:line="240" w:lineRule="auto"/>
              <w:jc w:val="center"/>
              <w:rPr>
                <w:rFonts w:ascii="Arial Narrow" w:hAnsi="Arial Narrow"/>
                <w:b/>
                <w:sz w:val="21"/>
                <w:szCs w:val="21"/>
              </w:rPr>
            </w:pPr>
            <w:r w:rsidRPr="00C8647A">
              <w:rPr>
                <w:rFonts w:ascii="Arial Narrow" w:hAnsi="Arial Narrow"/>
                <w:b/>
                <w:sz w:val="21"/>
                <w:szCs w:val="21"/>
              </w:rPr>
              <w:t>Foreign Language</w:t>
            </w:r>
          </w:p>
        </w:tc>
        <w:tc>
          <w:tcPr>
            <w:tcW w:w="1350" w:type="dxa"/>
            <w:shd w:val="clear" w:color="auto" w:fill="D9D9D9" w:themeFill="background1" w:themeFillShade="D9"/>
            <w:vAlign w:val="center"/>
          </w:tcPr>
          <w:p w:rsidR="00117ED8" w:rsidRPr="00C8647A" w:rsidRDefault="00117ED8" w:rsidP="0040232F">
            <w:pPr>
              <w:autoSpaceDE w:val="0"/>
              <w:autoSpaceDN w:val="0"/>
              <w:adjustRightInd w:val="0"/>
              <w:spacing w:line="240" w:lineRule="auto"/>
              <w:jc w:val="center"/>
              <w:rPr>
                <w:rFonts w:ascii="Arial Narrow" w:hAnsi="Arial Narrow"/>
                <w:b/>
                <w:sz w:val="21"/>
                <w:szCs w:val="21"/>
              </w:rPr>
            </w:pPr>
            <w:r w:rsidRPr="00C8647A">
              <w:rPr>
                <w:rFonts w:ascii="Arial Narrow" w:hAnsi="Arial Narrow"/>
                <w:b/>
                <w:sz w:val="21"/>
                <w:szCs w:val="21"/>
              </w:rPr>
              <w:t>English Language Arts/Reading</w:t>
            </w:r>
          </w:p>
        </w:tc>
        <w:tc>
          <w:tcPr>
            <w:tcW w:w="1170" w:type="dxa"/>
            <w:shd w:val="clear" w:color="auto" w:fill="D9D9D9" w:themeFill="background1" w:themeFillShade="D9"/>
            <w:vAlign w:val="center"/>
          </w:tcPr>
          <w:p w:rsidR="000A308D" w:rsidRPr="00C8647A" w:rsidRDefault="00117ED8" w:rsidP="0040232F">
            <w:pPr>
              <w:autoSpaceDE w:val="0"/>
              <w:autoSpaceDN w:val="0"/>
              <w:adjustRightInd w:val="0"/>
              <w:spacing w:line="240" w:lineRule="auto"/>
              <w:jc w:val="center"/>
              <w:rPr>
                <w:rFonts w:ascii="Arial Narrow" w:hAnsi="Arial Narrow"/>
                <w:b/>
                <w:sz w:val="21"/>
                <w:szCs w:val="21"/>
              </w:rPr>
            </w:pPr>
            <w:r w:rsidRPr="00C8647A">
              <w:rPr>
                <w:rFonts w:ascii="Arial Narrow" w:hAnsi="Arial Narrow"/>
                <w:b/>
                <w:sz w:val="21"/>
                <w:szCs w:val="21"/>
              </w:rPr>
              <w:t>Early Childhood</w:t>
            </w:r>
            <w:r w:rsidR="00224745" w:rsidRPr="00C8647A">
              <w:rPr>
                <w:rFonts w:ascii="Arial Narrow" w:hAnsi="Arial Narrow"/>
                <w:b/>
                <w:sz w:val="21"/>
                <w:szCs w:val="21"/>
              </w:rPr>
              <w:t xml:space="preserve"> Grades </w:t>
            </w:r>
          </w:p>
          <w:p w:rsidR="00117ED8" w:rsidRPr="00C8647A" w:rsidRDefault="00224745" w:rsidP="0040232F">
            <w:pPr>
              <w:autoSpaceDE w:val="0"/>
              <w:autoSpaceDN w:val="0"/>
              <w:adjustRightInd w:val="0"/>
              <w:spacing w:line="240" w:lineRule="auto"/>
              <w:jc w:val="center"/>
              <w:rPr>
                <w:rFonts w:ascii="Arial Narrow" w:hAnsi="Arial Narrow"/>
                <w:b/>
                <w:sz w:val="21"/>
                <w:szCs w:val="21"/>
              </w:rPr>
            </w:pPr>
            <w:r w:rsidRPr="00C8647A">
              <w:rPr>
                <w:rFonts w:ascii="Arial Narrow" w:hAnsi="Arial Narrow"/>
                <w:b/>
                <w:sz w:val="21"/>
                <w:szCs w:val="21"/>
              </w:rPr>
              <w:t>(PK – 2)</w:t>
            </w:r>
          </w:p>
        </w:tc>
        <w:tc>
          <w:tcPr>
            <w:tcW w:w="1080" w:type="dxa"/>
            <w:shd w:val="clear" w:color="auto" w:fill="D9D9D9" w:themeFill="background1" w:themeFillShade="D9"/>
            <w:vAlign w:val="center"/>
          </w:tcPr>
          <w:p w:rsidR="00117ED8" w:rsidRPr="00C8647A" w:rsidRDefault="00117ED8" w:rsidP="0040232F">
            <w:pPr>
              <w:autoSpaceDE w:val="0"/>
              <w:autoSpaceDN w:val="0"/>
              <w:adjustRightInd w:val="0"/>
              <w:spacing w:line="240" w:lineRule="auto"/>
              <w:jc w:val="center"/>
              <w:rPr>
                <w:rFonts w:ascii="Arial Narrow" w:hAnsi="Arial Narrow"/>
                <w:b/>
                <w:sz w:val="21"/>
                <w:szCs w:val="21"/>
              </w:rPr>
            </w:pPr>
            <w:r w:rsidRPr="00C8647A">
              <w:rPr>
                <w:rFonts w:ascii="Arial Narrow" w:hAnsi="Arial Narrow"/>
                <w:b/>
                <w:sz w:val="21"/>
                <w:szCs w:val="21"/>
              </w:rPr>
              <w:t>Special Education</w:t>
            </w:r>
            <w:r w:rsidR="00224745" w:rsidRPr="00C8647A">
              <w:rPr>
                <w:rFonts w:ascii="Arial Narrow" w:hAnsi="Arial Narrow"/>
                <w:b/>
                <w:sz w:val="21"/>
                <w:szCs w:val="21"/>
              </w:rPr>
              <w:t xml:space="preserve"> Students</w:t>
            </w:r>
          </w:p>
        </w:tc>
        <w:tc>
          <w:tcPr>
            <w:tcW w:w="1170" w:type="dxa"/>
            <w:shd w:val="clear" w:color="auto" w:fill="D9D9D9" w:themeFill="background1" w:themeFillShade="D9"/>
            <w:vAlign w:val="center"/>
          </w:tcPr>
          <w:p w:rsidR="00117ED8" w:rsidRPr="00C8647A" w:rsidRDefault="00224745" w:rsidP="0040232F">
            <w:pPr>
              <w:autoSpaceDE w:val="0"/>
              <w:autoSpaceDN w:val="0"/>
              <w:adjustRightInd w:val="0"/>
              <w:spacing w:line="240" w:lineRule="auto"/>
              <w:jc w:val="center"/>
              <w:rPr>
                <w:rFonts w:ascii="Arial Narrow" w:hAnsi="Arial Narrow"/>
                <w:b/>
                <w:sz w:val="21"/>
                <w:szCs w:val="21"/>
              </w:rPr>
            </w:pPr>
            <w:r w:rsidRPr="00C8647A">
              <w:rPr>
                <w:rFonts w:ascii="Arial Narrow" w:hAnsi="Arial Narrow"/>
                <w:b/>
                <w:sz w:val="21"/>
                <w:szCs w:val="21"/>
              </w:rPr>
              <w:t>English Language Learners</w:t>
            </w:r>
          </w:p>
        </w:tc>
      </w:tr>
      <w:tr w:rsidR="00213D04" w:rsidRPr="00C8647A" w:rsidTr="00D12820">
        <w:trPr>
          <w:trHeight w:hRule="exact" w:val="404"/>
        </w:trPr>
        <w:tc>
          <w:tcPr>
            <w:tcW w:w="1800" w:type="dxa"/>
            <w:tcBorders>
              <w:left w:val="single" w:sz="4" w:space="0" w:color="auto"/>
            </w:tcBorders>
            <w:vAlign w:val="center"/>
          </w:tcPr>
          <w:p w:rsidR="0058339D" w:rsidRPr="00C8647A" w:rsidRDefault="0058339D" w:rsidP="0040232F">
            <w:pPr>
              <w:autoSpaceDE w:val="0"/>
              <w:autoSpaceDN w:val="0"/>
              <w:adjustRightInd w:val="0"/>
              <w:spacing w:line="240" w:lineRule="auto"/>
              <w:rPr>
                <w:rFonts w:ascii="Arial Narrow" w:hAnsi="Arial Narrow"/>
                <w:sz w:val="21"/>
                <w:szCs w:val="21"/>
              </w:rPr>
            </w:pPr>
            <w:r w:rsidRPr="00C8647A">
              <w:rPr>
                <w:rFonts w:ascii="Arial Narrow" w:hAnsi="Arial Narrow"/>
                <w:sz w:val="21"/>
                <w:szCs w:val="21"/>
              </w:rPr>
              <w:t>Temporary</w:t>
            </w:r>
            <w:r w:rsidR="00C8647A">
              <w:rPr>
                <w:rFonts w:ascii="Arial Narrow" w:hAnsi="Arial Narrow"/>
                <w:sz w:val="21"/>
                <w:szCs w:val="21"/>
              </w:rPr>
              <w:t xml:space="preserve"> License</w:t>
            </w:r>
          </w:p>
        </w:tc>
        <w:tc>
          <w:tcPr>
            <w:tcW w:w="720" w:type="dxa"/>
            <w:vAlign w:val="center"/>
          </w:tcPr>
          <w:p w:rsidR="0058339D"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1.1</w:t>
            </w:r>
            <w:r w:rsidR="00C8647A" w:rsidRPr="00C8647A">
              <w:rPr>
                <w:rFonts w:ascii="Arial Narrow" w:hAnsi="Arial Narrow"/>
                <w:sz w:val="21"/>
                <w:szCs w:val="21"/>
              </w:rPr>
              <w:t>%</w:t>
            </w:r>
          </w:p>
        </w:tc>
        <w:tc>
          <w:tcPr>
            <w:tcW w:w="900" w:type="dxa"/>
            <w:vAlign w:val="center"/>
          </w:tcPr>
          <w:p w:rsidR="0058339D"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0.9</w:t>
            </w:r>
            <w:r w:rsidR="00C8647A" w:rsidRPr="00C8647A">
              <w:rPr>
                <w:rFonts w:ascii="Arial Narrow" w:hAnsi="Arial Narrow"/>
                <w:sz w:val="21"/>
                <w:szCs w:val="21"/>
              </w:rPr>
              <w:t>%</w:t>
            </w:r>
          </w:p>
        </w:tc>
        <w:tc>
          <w:tcPr>
            <w:tcW w:w="1080" w:type="dxa"/>
            <w:vAlign w:val="center"/>
          </w:tcPr>
          <w:p w:rsidR="0058339D"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0.0</w:t>
            </w:r>
            <w:r w:rsidR="00C8647A" w:rsidRPr="00C8647A">
              <w:rPr>
                <w:rFonts w:ascii="Arial Narrow" w:hAnsi="Arial Narrow"/>
                <w:sz w:val="21"/>
                <w:szCs w:val="21"/>
              </w:rPr>
              <w:t>%</w:t>
            </w:r>
          </w:p>
        </w:tc>
        <w:tc>
          <w:tcPr>
            <w:tcW w:w="1350" w:type="dxa"/>
            <w:vAlign w:val="center"/>
          </w:tcPr>
          <w:p w:rsidR="0058339D"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1.3</w:t>
            </w:r>
            <w:r w:rsidR="00C8647A" w:rsidRPr="00C8647A">
              <w:rPr>
                <w:rFonts w:ascii="Arial Narrow" w:hAnsi="Arial Narrow"/>
                <w:sz w:val="21"/>
                <w:szCs w:val="21"/>
              </w:rPr>
              <w:t>%</w:t>
            </w:r>
          </w:p>
        </w:tc>
        <w:tc>
          <w:tcPr>
            <w:tcW w:w="1170" w:type="dxa"/>
            <w:vAlign w:val="center"/>
          </w:tcPr>
          <w:p w:rsidR="0058339D"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0.5</w:t>
            </w:r>
            <w:r w:rsidR="00C8647A" w:rsidRPr="00C8647A">
              <w:rPr>
                <w:rFonts w:ascii="Arial Narrow" w:hAnsi="Arial Narrow"/>
                <w:sz w:val="21"/>
                <w:szCs w:val="21"/>
              </w:rPr>
              <w:t>%</w:t>
            </w:r>
          </w:p>
        </w:tc>
        <w:tc>
          <w:tcPr>
            <w:tcW w:w="1080" w:type="dxa"/>
            <w:vAlign w:val="center"/>
          </w:tcPr>
          <w:p w:rsidR="0058339D"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1.2</w:t>
            </w:r>
            <w:r w:rsidR="00C8647A" w:rsidRPr="00C8647A">
              <w:rPr>
                <w:rFonts w:ascii="Arial Narrow" w:hAnsi="Arial Narrow"/>
                <w:sz w:val="21"/>
                <w:szCs w:val="21"/>
              </w:rPr>
              <w:t>%</w:t>
            </w:r>
          </w:p>
        </w:tc>
        <w:tc>
          <w:tcPr>
            <w:tcW w:w="1170" w:type="dxa"/>
            <w:vAlign w:val="center"/>
          </w:tcPr>
          <w:p w:rsidR="0058339D"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1.4</w:t>
            </w:r>
            <w:r w:rsidR="00C8647A" w:rsidRPr="00C8647A">
              <w:rPr>
                <w:rFonts w:ascii="Arial Narrow" w:hAnsi="Arial Narrow"/>
                <w:sz w:val="21"/>
                <w:szCs w:val="21"/>
              </w:rPr>
              <w:t>%</w:t>
            </w:r>
          </w:p>
        </w:tc>
      </w:tr>
      <w:tr w:rsidR="00213D04" w:rsidRPr="00C8647A" w:rsidTr="00D12820">
        <w:trPr>
          <w:trHeight w:hRule="exact" w:val="386"/>
        </w:trPr>
        <w:tc>
          <w:tcPr>
            <w:tcW w:w="1800" w:type="dxa"/>
            <w:tcBorders>
              <w:left w:val="single" w:sz="4" w:space="0" w:color="auto"/>
            </w:tcBorders>
            <w:vAlign w:val="center"/>
          </w:tcPr>
          <w:p w:rsidR="00117ED8" w:rsidRPr="00C8647A" w:rsidRDefault="00117ED8" w:rsidP="0040232F">
            <w:pPr>
              <w:autoSpaceDE w:val="0"/>
              <w:autoSpaceDN w:val="0"/>
              <w:adjustRightInd w:val="0"/>
              <w:spacing w:line="240" w:lineRule="auto"/>
              <w:rPr>
                <w:rFonts w:ascii="Arial Narrow" w:hAnsi="Arial Narrow"/>
                <w:sz w:val="21"/>
                <w:szCs w:val="21"/>
              </w:rPr>
            </w:pPr>
            <w:r w:rsidRPr="00C8647A">
              <w:rPr>
                <w:rFonts w:ascii="Arial Narrow" w:hAnsi="Arial Narrow"/>
                <w:sz w:val="21"/>
                <w:szCs w:val="21"/>
              </w:rPr>
              <w:t>Preliminary License</w:t>
            </w:r>
          </w:p>
        </w:tc>
        <w:tc>
          <w:tcPr>
            <w:tcW w:w="72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23.1</w:t>
            </w:r>
            <w:r w:rsidR="00C8647A" w:rsidRPr="00C8647A">
              <w:rPr>
                <w:rFonts w:ascii="Arial Narrow" w:hAnsi="Arial Narrow"/>
                <w:sz w:val="21"/>
                <w:szCs w:val="21"/>
              </w:rPr>
              <w:t>%</w:t>
            </w:r>
          </w:p>
        </w:tc>
        <w:tc>
          <w:tcPr>
            <w:tcW w:w="90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27.3</w:t>
            </w:r>
            <w:r w:rsidR="00C8647A" w:rsidRPr="00C8647A">
              <w:rPr>
                <w:rFonts w:ascii="Arial Narrow" w:hAnsi="Arial Narrow"/>
                <w:sz w:val="21"/>
                <w:szCs w:val="21"/>
              </w:rPr>
              <w:t>%</w:t>
            </w:r>
          </w:p>
        </w:tc>
        <w:tc>
          <w:tcPr>
            <w:tcW w:w="108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51.0</w:t>
            </w:r>
            <w:r w:rsidR="00C8647A" w:rsidRPr="00C8647A">
              <w:rPr>
                <w:rFonts w:ascii="Arial Narrow" w:hAnsi="Arial Narrow"/>
                <w:sz w:val="21"/>
                <w:szCs w:val="21"/>
              </w:rPr>
              <w:t>%</w:t>
            </w:r>
          </w:p>
        </w:tc>
        <w:tc>
          <w:tcPr>
            <w:tcW w:w="135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18.9</w:t>
            </w:r>
            <w:r w:rsidR="00C8647A" w:rsidRPr="00C8647A">
              <w:rPr>
                <w:rFonts w:ascii="Arial Narrow" w:hAnsi="Arial Narrow"/>
                <w:sz w:val="21"/>
                <w:szCs w:val="21"/>
              </w:rPr>
              <w:t>%</w:t>
            </w:r>
          </w:p>
        </w:tc>
        <w:tc>
          <w:tcPr>
            <w:tcW w:w="117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15.9</w:t>
            </w:r>
            <w:r w:rsidR="00C8647A" w:rsidRPr="00C8647A">
              <w:rPr>
                <w:rFonts w:ascii="Arial Narrow" w:hAnsi="Arial Narrow"/>
                <w:sz w:val="21"/>
                <w:szCs w:val="21"/>
              </w:rPr>
              <w:t>%</w:t>
            </w:r>
          </w:p>
        </w:tc>
        <w:tc>
          <w:tcPr>
            <w:tcW w:w="108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18.6</w:t>
            </w:r>
            <w:r w:rsidR="00C8647A" w:rsidRPr="00C8647A">
              <w:rPr>
                <w:rFonts w:ascii="Arial Narrow" w:hAnsi="Arial Narrow"/>
                <w:sz w:val="21"/>
                <w:szCs w:val="21"/>
              </w:rPr>
              <w:t>%</w:t>
            </w:r>
          </w:p>
        </w:tc>
        <w:tc>
          <w:tcPr>
            <w:tcW w:w="117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36.4</w:t>
            </w:r>
            <w:r w:rsidR="00C8647A" w:rsidRPr="00C8647A">
              <w:rPr>
                <w:rFonts w:ascii="Arial Narrow" w:hAnsi="Arial Narrow"/>
                <w:sz w:val="21"/>
                <w:szCs w:val="21"/>
              </w:rPr>
              <w:t>%</w:t>
            </w:r>
          </w:p>
        </w:tc>
      </w:tr>
      <w:tr w:rsidR="00213D04" w:rsidRPr="00C8647A" w:rsidTr="00D12820">
        <w:trPr>
          <w:trHeight w:hRule="exact" w:val="323"/>
        </w:trPr>
        <w:tc>
          <w:tcPr>
            <w:tcW w:w="1800" w:type="dxa"/>
            <w:tcBorders>
              <w:left w:val="single" w:sz="4" w:space="0" w:color="auto"/>
            </w:tcBorders>
            <w:vAlign w:val="center"/>
          </w:tcPr>
          <w:p w:rsidR="00117ED8" w:rsidRPr="00C8647A" w:rsidRDefault="00117ED8" w:rsidP="0040232F">
            <w:pPr>
              <w:autoSpaceDE w:val="0"/>
              <w:autoSpaceDN w:val="0"/>
              <w:adjustRightInd w:val="0"/>
              <w:spacing w:line="240" w:lineRule="auto"/>
              <w:rPr>
                <w:rFonts w:ascii="Arial Narrow" w:hAnsi="Arial Narrow"/>
                <w:sz w:val="21"/>
                <w:szCs w:val="21"/>
              </w:rPr>
            </w:pPr>
            <w:r w:rsidRPr="00C8647A">
              <w:rPr>
                <w:rFonts w:ascii="Arial Narrow" w:hAnsi="Arial Narrow"/>
                <w:sz w:val="21"/>
                <w:szCs w:val="21"/>
              </w:rPr>
              <w:t>Initial License</w:t>
            </w:r>
          </w:p>
        </w:tc>
        <w:tc>
          <w:tcPr>
            <w:tcW w:w="72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75.8</w:t>
            </w:r>
            <w:r w:rsidR="00C8647A" w:rsidRPr="00C8647A">
              <w:rPr>
                <w:rFonts w:ascii="Arial Narrow" w:hAnsi="Arial Narrow"/>
                <w:sz w:val="21"/>
                <w:szCs w:val="21"/>
              </w:rPr>
              <w:t>%</w:t>
            </w:r>
          </w:p>
        </w:tc>
        <w:tc>
          <w:tcPr>
            <w:tcW w:w="90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71.8</w:t>
            </w:r>
            <w:r w:rsidR="00C8647A" w:rsidRPr="00C8647A">
              <w:rPr>
                <w:rFonts w:ascii="Arial Narrow" w:hAnsi="Arial Narrow"/>
                <w:sz w:val="21"/>
                <w:szCs w:val="21"/>
              </w:rPr>
              <w:t>%</w:t>
            </w:r>
          </w:p>
        </w:tc>
        <w:tc>
          <w:tcPr>
            <w:tcW w:w="108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49.0</w:t>
            </w:r>
            <w:r w:rsidR="00C8647A" w:rsidRPr="00C8647A">
              <w:rPr>
                <w:rFonts w:ascii="Arial Narrow" w:hAnsi="Arial Narrow"/>
                <w:sz w:val="21"/>
                <w:szCs w:val="21"/>
              </w:rPr>
              <w:t>%</w:t>
            </w:r>
          </w:p>
        </w:tc>
        <w:tc>
          <w:tcPr>
            <w:tcW w:w="135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79.9</w:t>
            </w:r>
            <w:r w:rsidR="00C8647A" w:rsidRPr="00C8647A">
              <w:rPr>
                <w:rFonts w:ascii="Arial Narrow" w:hAnsi="Arial Narrow"/>
                <w:sz w:val="21"/>
                <w:szCs w:val="21"/>
              </w:rPr>
              <w:t>%</w:t>
            </w:r>
          </w:p>
        </w:tc>
        <w:tc>
          <w:tcPr>
            <w:tcW w:w="117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83.6</w:t>
            </w:r>
            <w:r w:rsidR="00C8647A" w:rsidRPr="00C8647A">
              <w:rPr>
                <w:rFonts w:ascii="Arial Narrow" w:hAnsi="Arial Narrow"/>
                <w:sz w:val="21"/>
                <w:szCs w:val="21"/>
              </w:rPr>
              <w:t>%</w:t>
            </w:r>
          </w:p>
        </w:tc>
        <w:tc>
          <w:tcPr>
            <w:tcW w:w="108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80.2</w:t>
            </w:r>
            <w:r w:rsidR="00C8647A" w:rsidRPr="00C8647A">
              <w:rPr>
                <w:rFonts w:ascii="Arial Narrow" w:hAnsi="Arial Narrow"/>
                <w:sz w:val="21"/>
                <w:szCs w:val="21"/>
              </w:rPr>
              <w:t>%</w:t>
            </w:r>
          </w:p>
        </w:tc>
        <w:tc>
          <w:tcPr>
            <w:tcW w:w="1170" w:type="dxa"/>
            <w:vAlign w:val="center"/>
          </w:tcPr>
          <w:p w:rsidR="00117ED8" w:rsidRPr="00C8647A" w:rsidRDefault="008D0BB7" w:rsidP="0040232F">
            <w:pPr>
              <w:autoSpaceDE w:val="0"/>
              <w:autoSpaceDN w:val="0"/>
              <w:adjustRightInd w:val="0"/>
              <w:spacing w:line="240" w:lineRule="auto"/>
              <w:jc w:val="center"/>
              <w:rPr>
                <w:rFonts w:ascii="Arial Narrow" w:hAnsi="Arial Narrow"/>
                <w:sz w:val="21"/>
                <w:szCs w:val="21"/>
              </w:rPr>
            </w:pPr>
            <w:r w:rsidRPr="00C8647A">
              <w:rPr>
                <w:rFonts w:ascii="Arial Narrow" w:hAnsi="Arial Narrow"/>
                <w:sz w:val="21"/>
                <w:szCs w:val="21"/>
              </w:rPr>
              <w:t>62.1</w:t>
            </w:r>
            <w:r w:rsidR="00C8647A" w:rsidRPr="00C8647A">
              <w:rPr>
                <w:rFonts w:ascii="Arial Narrow" w:hAnsi="Arial Narrow"/>
                <w:sz w:val="21"/>
                <w:szCs w:val="21"/>
              </w:rPr>
              <w:t>%</w:t>
            </w:r>
          </w:p>
        </w:tc>
      </w:tr>
    </w:tbl>
    <w:p w:rsidR="0054760F" w:rsidRDefault="0054760F" w:rsidP="0040232F">
      <w:pPr>
        <w:spacing w:line="240" w:lineRule="auto"/>
      </w:pPr>
    </w:p>
    <w:p w:rsidR="00DF1EFD" w:rsidRDefault="00DF1EFD" w:rsidP="0040232F">
      <w:pPr>
        <w:spacing w:line="240" w:lineRule="auto"/>
      </w:pPr>
    </w:p>
    <w:p w:rsidR="00E678D8" w:rsidRPr="0040232F" w:rsidRDefault="00E678D8" w:rsidP="0040232F">
      <w:pPr>
        <w:spacing w:line="240" w:lineRule="auto"/>
        <w:rPr>
          <w:rFonts w:ascii="Times New Roman" w:hAnsi="Times New Roman"/>
        </w:rPr>
      </w:pPr>
      <w:r w:rsidRPr="0040232F">
        <w:rPr>
          <w:rFonts w:ascii="Times New Roman" w:hAnsi="Times New Roman"/>
        </w:rPr>
        <w:t xml:space="preserve">The preliminary license </w:t>
      </w:r>
      <w:r w:rsidR="00E62DEA" w:rsidRPr="0040232F">
        <w:rPr>
          <w:rFonts w:ascii="Times New Roman" w:hAnsi="Times New Roman"/>
        </w:rPr>
        <w:t>does appear</w:t>
      </w:r>
      <w:r w:rsidRPr="0040232F">
        <w:rPr>
          <w:rFonts w:ascii="Times New Roman" w:hAnsi="Times New Roman"/>
        </w:rPr>
        <w:t xml:space="preserve"> to </w:t>
      </w:r>
      <w:r w:rsidR="00593CCE">
        <w:rPr>
          <w:rFonts w:ascii="Times New Roman" w:hAnsi="Times New Roman"/>
        </w:rPr>
        <w:t>fill</w:t>
      </w:r>
      <w:r w:rsidRPr="0040232F">
        <w:rPr>
          <w:rFonts w:ascii="Times New Roman" w:hAnsi="Times New Roman"/>
        </w:rPr>
        <w:t xml:space="preserve"> a need for new teachers at high-need schools</w:t>
      </w:r>
      <w:r w:rsidR="000727BD" w:rsidRPr="0040232F">
        <w:rPr>
          <w:rFonts w:ascii="Times New Roman" w:hAnsi="Times New Roman"/>
        </w:rPr>
        <w:t>, however</w:t>
      </w:r>
      <w:r w:rsidRPr="0040232F">
        <w:rPr>
          <w:rFonts w:ascii="Times New Roman" w:hAnsi="Times New Roman"/>
        </w:rPr>
        <w:t xml:space="preserve">. As Table </w:t>
      </w:r>
      <w:r w:rsidR="00E62DEA" w:rsidRPr="0040232F">
        <w:rPr>
          <w:rFonts w:ascii="Times New Roman" w:hAnsi="Times New Roman"/>
        </w:rPr>
        <w:t>2.4</w:t>
      </w:r>
      <w:r w:rsidRPr="0040232F">
        <w:rPr>
          <w:rFonts w:ascii="Times New Roman" w:hAnsi="Times New Roman"/>
        </w:rPr>
        <w:t xml:space="preserve"> shows, a slightly higher percent</w:t>
      </w:r>
      <w:r w:rsidR="00A477DB">
        <w:rPr>
          <w:rFonts w:ascii="Times New Roman" w:hAnsi="Times New Roman"/>
        </w:rPr>
        <w:t>age</w:t>
      </w:r>
      <w:r w:rsidRPr="0040232F">
        <w:rPr>
          <w:rFonts w:ascii="Times New Roman" w:hAnsi="Times New Roman"/>
        </w:rPr>
        <w:t xml:space="preserve"> of </w:t>
      </w:r>
      <w:r w:rsidR="0020401A" w:rsidRPr="0040232F">
        <w:rPr>
          <w:rFonts w:ascii="Times New Roman" w:hAnsi="Times New Roman"/>
        </w:rPr>
        <w:t>first-year</w:t>
      </w:r>
      <w:r w:rsidRPr="0040232F">
        <w:rPr>
          <w:rFonts w:ascii="Times New Roman" w:hAnsi="Times New Roman"/>
        </w:rPr>
        <w:t xml:space="preserve"> teachers at </w:t>
      </w:r>
      <w:r w:rsidR="00E36B22" w:rsidRPr="0040232F">
        <w:rPr>
          <w:rFonts w:ascii="Times New Roman" w:hAnsi="Times New Roman"/>
        </w:rPr>
        <w:t>L</w:t>
      </w:r>
      <w:r w:rsidRPr="0040232F">
        <w:rPr>
          <w:rFonts w:ascii="Times New Roman" w:hAnsi="Times New Roman"/>
        </w:rPr>
        <w:t xml:space="preserve">evel </w:t>
      </w:r>
      <w:r w:rsidR="00E36B22" w:rsidRPr="0040232F">
        <w:rPr>
          <w:rFonts w:ascii="Times New Roman" w:hAnsi="Times New Roman"/>
        </w:rPr>
        <w:t>3</w:t>
      </w:r>
      <w:r w:rsidRPr="0040232F">
        <w:rPr>
          <w:rFonts w:ascii="Times New Roman" w:hAnsi="Times New Roman"/>
        </w:rPr>
        <w:t xml:space="preserve"> or</w:t>
      </w:r>
      <w:r w:rsidR="00A477DB">
        <w:rPr>
          <w:rFonts w:ascii="Times New Roman" w:hAnsi="Times New Roman"/>
        </w:rPr>
        <w:t xml:space="preserve"> Level</w:t>
      </w:r>
      <w:r w:rsidRPr="0040232F">
        <w:rPr>
          <w:rFonts w:ascii="Times New Roman" w:hAnsi="Times New Roman"/>
        </w:rPr>
        <w:t xml:space="preserve"> </w:t>
      </w:r>
      <w:r w:rsidR="00E36B22" w:rsidRPr="0040232F">
        <w:rPr>
          <w:rFonts w:ascii="Times New Roman" w:hAnsi="Times New Roman"/>
        </w:rPr>
        <w:t>4</w:t>
      </w:r>
      <w:r w:rsidRPr="0040232F">
        <w:rPr>
          <w:rFonts w:ascii="Times New Roman" w:hAnsi="Times New Roman"/>
        </w:rPr>
        <w:t xml:space="preserve"> school</w:t>
      </w:r>
      <w:r w:rsidR="0020401A" w:rsidRPr="0040232F">
        <w:rPr>
          <w:rFonts w:ascii="Times New Roman" w:hAnsi="Times New Roman"/>
        </w:rPr>
        <w:t>s</w:t>
      </w:r>
      <w:r w:rsidRPr="0040232F">
        <w:rPr>
          <w:rFonts w:ascii="Times New Roman" w:hAnsi="Times New Roman"/>
        </w:rPr>
        <w:t xml:space="preserve"> </w:t>
      </w:r>
      <w:r w:rsidR="0020401A" w:rsidRPr="0040232F">
        <w:rPr>
          <w:rFonts w:ascii="Times New Roman" w:hAnsi="Times New Roman"/>
        </w:rPr>
        <w:t xml:space="preserve">and </w:t>
      </w:r>
      <w:r w:rsidR="00B51BC8" w:rsidRPr="0040232F">
        <w:rPr>
          <w:rFonts w:ascii="Times New Roman" w:hAnsi="Times New Roman"/>
        </w:rPr>
        <w:t>high-poverty schools</w:t>
      </w:r>
      <w:r w:rsidR="0020401A" w:rsidRPr="0040232F">
        <w:rPr>
          <w:rFonts w:ascii="Times New Roman" w:hAnsi="Times New Roman"/>
        </w:rPr>
        <w:t xml:space="preserve"> held a preliminary license</w:t>
      </w:r>
      <w:r w:rsidRPr="0040232F">
        <w:rPr>
          <w:rFonts w:ascii="Times New Roman" w:hAnsi="Times New Roman"/>
        </w:rPr>
        <w:t>.</w:t>
      </w:r>
      <w:r w:rsidR="000727BD" w:rsidRPr="0040232F">
        <w:rPr>
          <w:rFonts w:ascii="Times New Roman" w:hAnsi="Times New Roman"/>
        </w:rPr>
        <w:t xml:space="preserve"> </w:t>
      </w:r>
      <w:r w:rsidR="008A7203" w:rsidRPr="0040232F">
        <w:rPr>
          <w:rFonts w:ascii="Times New Roman" w:hAnsi="Times New Roman"/>
        </w:rPr>
        <w:t xml:space="preserve">Licensure data </w:t>
      </w:r>
      <w:r w:rsidR="00585E16" w:rsidRPr="0040232F">
        <w:rPr>
          <w:rFonts w:ascii="Times New Roman" w:hAnsi="Times New Roman"/>
        </w:rPr>
        <w:t xml:space="preserve">in Table 2.4 </w:t>
      </w:r>
      <w:r w:rsidR="008A7203" w:rsidRPr="0040232F">
        <w:rPr>
          <w:rFonts w:ascii="Times New Roman" w:hAnsi="Times New Roman"/>
        </w:rPr>
        <w:t>is not disaggregated by charter school status b</w:t>
      </w:r>
      <w:r w:rsidR="00B73BC0" w:rsidRPr="0040232F">
        <w:rPr>
          <w:rFonts w:ascii="Times New Roman" w:hAnsi="Times New Roman"/>
        </w:rPr>
        <w:t>ecause charter school teachers are subject to different licensure requirements</w:t>
      </w:r>
      <w:r w:rsidR="00A477DB">
        <w:rPr>
          <w:rFonts w:ascii="Times New Roman" w:hAnsi="Times New Roman"/>
        </w:rPr>
        <w:t>;</w:t>
      </w:r>
      <w:r w:rsidR="00C07DE4" w:rsidRPr="0040232F">
        <w:rPr>
          <w:rFonts w:ascii="Times New Roman" w:hAnsi="Times New Roman"/>
        </w:rPr>
        <w:t xml:space="preserve"> therefore</w:t>
      </w:r>
      <w:r w:rsidR="00A477DB">
        <w:rPr>
          <w:rFonts w:ascii="Times New Roman" w:hAnsi="Times New Roman"/>
        </w:rPr>
        <w:t>,</w:t>
      </w:r>
      <w:r w:rsidR="00C07DE4" w:rsidRPr="0040232F">
        <w:rPr>
          <w:rFonts w:ascii="Times New Roman" w:hAnsi="Times New Roman"/>
        </w:rPr>
        <w:t xml:space="preserve"> 45</w:t>
      </w:r>
      <w:r w:rsidR="00B73BC0" w:rsidRPr="0040232F">
        <w:rPr>
          <w:rFonts w:ascii="Times New Roman" w:hAnsi="Times New Roman"/>
        </w:rPr>
        <w:t xml:space="preserve"> </w:t>
      </w:r>
      <w:r w:rsidR="00585E16" w:rsidRPr="0040232F">
        <w:rPr>
          <w:rFonts w:ascii="Times New Roman" w:hAnsi="Times New Roman"/>
        </w:rPr>
        <w:t>percent</w:t>
      </w:r>
      <w:r w:rsidR="00B73BC0" w:rsidRPr="0040232F">
        <w:rPr>
          <w:rFonts w:ascii="Times New Roman" w:hAnsi="Times New Roman"/>
        </w:rPr>
        <w:t xml:space="preserve"> of </w:t>
      </w:r>
      <w:r w:rsidR="00A477DB">
        <w:rPr>
          <w:rFonts w:ascii="Times New Roman" w:hAnsi="Times New Roman"/>
        </w:rPr>
        <w:t xml:space="preserve">the </w:t>
      </w:r>
      <w:r w:rsidR="00B73BC0" w:rsidRPr="0040232F">
        <w:rPr>
          <w:rFonts w:ascii="Times New Roman" w:hAnsi="Times New Roman"/>
        </w:rPr>
        <w:t>2012-</w:t>
      </w:r>
      <w:r w:rsidR="00A477DB">
        <w:rPr>
          <w:rFonts w:ascii="Times New Roman" w:hAnsi="Times New Roman"/>
        </w:rPr>
        <w:t>20</w:t>
      </w:r>
      <w:r w:rsidR="00B73BC0" w:rsidRPr="0040232F">
        <w:rPr>
          <w:rFonts w:ascii="Times New Roman" w:hAnsi="Times New Roman"/>
        </w:rPr>
        <w:t xml:space="preserve">13 </w:t>
      </w:r>
      <w:r w:rsidR="00A477DB">
        <w:rPr>
          <w:rFonts w:ascii="Times New Roman" w:hAnsi="Times New Roman"/>
        </w:rPr>
        <w:t xml:space="preserve">school year </w:t>
      </w:r>
      <w:r w:rsidR="00B73BC0" w:rsidRPr="0040232F">
        <w:rPr>
          <w:rFonts w:ascii="Times New Roman" w:hAnsi="Times New Roman"/>
        </w:rPr>
        <w:t>first-year charter school teachers did not have active teaching licenses.</w:t>
      </w:r>
      <w:r w:rsidR="00585E16" w:rsidRPr="0040232F">
        <w:rPr>
          <w:rFonts w:ascii="Times New Roman" w:hAnsi="Times New Roman"/>
        </w:rPr>
        <w:t xml:space="preserve"> Of those that did, 32 percent held a preliminary license.</w:t>
      </w:r>
    </w:p>
    <w:p w:rsidR="00E678D8" w:rsidRPr="0040232F" w:rsidRDefault="00E678D8" w:rsidP="0040232F">
      <w:pPr>
        <w:spacing w:line="240" w:lineRule="auto"/>
        <w:rPr>
          <w:rFonts w:ascii="Times New Roman" w:hAnsi="Times New Roman"/>
        </w:rPr>
      </w:pPr>
    </w:p>
    <w:p w:rsidR="003C0A0E" w:rsidRDefault="003C0A0E">
      <w:pPr>
        <w:spacing w:line="240" w:lineRule="auto"/>
        <w:rPr>
          <w:rFonts w:ascii="Arial" w:hAnsi="Arial" w:cs="Arial"/>
          <w:b/>
          <w:bCs/>
          <w:iCs/>
          <w:sz w:val="21"/>
          <w:szCs w:val="21"/>
        </w:rPr>
      </w:pPr>
      <w:r>
        <w:rPr>
          <w:i/>
          <w:sz w:val="21"/>
          <w:szCs w:val="21"/>
        </w:rPr>
        <w:br w:type="page"/>
      </w:r>
    </w:p>
    <w:p w:rsidR="00E678D8" w:rsidRPr="00446709" w:rsidRDefault="00E678D8" w:rsidP="00446709">
      <w:pPr>
        <w:pStyle w:val="Heading2"/>
        <w:spacing w:line="240" w:lineRule="auto"/>
        <w:rPr>
          <w:i w:val="0"/>
          <w:sz w:val="21"/>
          <w:szCs w:val="21"/>
        </w:rPr>
      </w:pPr>
      <w:r w:rsidRPr="00446709">
        <w:rPr>
          <w:i w:val="0"/>
          <w:sz w:val="21"/>
          <w:szCs w:val="21"/>
        </w:rPr>
        <w:t xml:space="preserve">Table </w:t>
      </w:r>
      <w:r w:rsidR="00E62DEA" w:rsidRPr="00446709">
        <w:rPr>
          <w:i w:val="0"/>
          <w:sz w:val="21"/>
          <w:szCs w:val="21"/>
        </w:rPr>
        <w:t>2.4</w:t>
      </w:r>
      <w:r w:rsidRPr="00446709">
        <w:rPr>
          <w:i w:val="0"/>
          <w:sz w:val="21"/>
          <w:szCs w:val="21"/>
        </w:rPr>
        <w:t xml:space="preserve">: </w:t>
      </w:r>
      <w:r w:rsidR="007A1B51" w:rsidRPr="00446709">
        <w:rPr>
          <w:i w:val="0"/>
          <w:sz w:val="21"/>
          <w:szCs w:val="21"/>
        </w:rPr>
        <w:t>Percent</w:t>
      </w:r>
      <w:r w:rsidR="0020401A" w:rsidRPr="00446709">
        <w:rPr>
          <w:i w:val="0"/>
          <w:sz w:val="21"/>
          <w:szCs w:val="21"/>
        </w:rPr>
        <w:t xml:space="preserve"> of 2012-13 First-Year </w:t>
      </w:r>
      <w:r w:rsidRPr="00446709">
        <w:rPr>
          <w:i w:val="0"/>
          <w:sz w:val="21"/>
          <w:szCs w:val="21"/>
        </w:rPr>
        <w:t xml:space="preserve">Teachers by School </w:t>
      </w:r>
      <w:r w:rsidR="0020401A" w:rsidRPr="00446709">
        <w:rPr>
          <w:i w:val="0"/>
          <w:sz w:val="21"/>
          <w:szCs w:val="21"/>
        </w:rPr>
        <w:t>Characteristics and License Type</w:t>
      </w:r>
    </w:p>
    <w:tbl>
      <w:tblPr>
        <w:tblW w:w="441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tblPr>
      <w:tblGrid>
        <w:gridCol w:w="1979"/>
        <w:gridCol w:w="900"/>
        <w:gridCol w:w="887"/>
        <w:gridCol w:w="912"/>
        <w:gridCol w:w="902"/>
        <w:gridCol w:w="1350"/>
        <w:gridCol w:w="1530"/>
      </w:tblGrid>
      <w:tr w:rsidR="00B52104" w:rsidRPr="00D12820" w:rsidTr="00B52104">
        <w:trPr>
          <w:trHeight w:hRule="exact" w:val="377"/>
        </w:trPr>
        <w:tc>
          <w:tcPr>
            <w:tcW w:w="1170" w:type="pct"/>
            <w:tcBorders>
              <w:top w:val="nil"/>
              <w:left w:val="nil"/>
              <w:bottom w:val="single" w:sz="12" w:space="0" w:color="auto"/>
              <w:right w:val="single" w:sz="4" w:space="0" w:color="auto"/>
              <w:tl2br w:val="nil"/>
              <w:tr2bl w:val="nil"/>
            </w:tcBorders>
            <w:shd w:val="clear" w:color="auto" w:fill="auto"/>
            <w:vAlign w:val="center"/>
          </w:tcPr>
          <w:p w:rsidR="00B76216" w:rsidRPr="00D12820" w:rsidRDefault="00B76216" w:rsidP="0040232F">
            <w:pPr>
              <w:autoSpaceDE w:val="0"/>
              <w:autoSpaceDN w:val="0"/>
              <w:adjustRightInd w:val="0"/>
              <w:spacing w:line="240" w:lineRule="auto"/>
              <w:rPr>
                <w:rFonts w:ascii="Arial Narrow" w:hAnsi="Arial Narrow"/>
                <w:b/>
                <w:sz w:val="21"/>
                <w:szCs w:val="21"/>
              </w:rPr>
            </w:pPr>
          </w:p>
        </w:tc>
        <w:tc>
          <w:tcPr>
            <w:tcW w:w="2128" w:type="pct"/>
            <w:gridSpan w:val="4"/>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B76216" w:rsidRPr="00D12820" w:rsidRDefault="00B76216" w:rsidP="0040232F">
            <w:pPr>
              <w:autoSpaceDE w:val="0"/>
              <w:autoSpaceDN w:val="0"/>
              <w:adjustRightInd w:val="0"/>
              <w:spacing w:line="240" w:lineRule="auto"/>
              <w:jc w:val="center"/>
              <w:rPr>
                <w:rFonts w:ascii="Arial Narrow" w:hAnsi="Arial Narrow"/>
                <w:b/>
                <w:sz w:val="21"/>
                <w:szCs w:val="21"/>
              </w:rPr>
            </w:pPr>
            <w:r w:rsidRPr="00D12820">
              <w:rPr>
                <w:rFonts w:ascii="Arial Narrow" w:hAnsi="Arial Narrow"/>
                <w:b/>
                <w:sz w:val="21"/>
                <w:szCs w:val="21"/>
              </w:rPr>
              <w:t>School Accountability Level</w:t>
            </w:r>
          </w:p>
        </w:tc>
        <w:tc>
          <w:tcPr>
            <w:tcW w:w="1702" w:type="pct"/>
            <w:gridSpan w:val="2"/>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B76216" w:rsidRPr="00D12820" w:rsidRDefault="00B76216" w:rsidP="0040232F">
            <w:pPr>
              <w:autoSpaceDE w:val="0"/>
              <w:autoSpaceDN w:val="0"/>
              <w:adjustRightInd w:val="0"/>
              <w:spacing w:line="240" w:lineRule="auto"/>
              <w:jc w:val="center"/>
              <w:rPr>
                <w:rFonts w:ascii="Arial Narrow" w:hAnsi="Arial Narrow"/>
                <w:b/>
                <w:sz w:val="21"/>
                <w:szCs w:val="21"/>
              </w:rPr>
            </w:pPr>
            <w:r w:rsidRPr="00D12820">
              <w:rPr>
                <w:rFonts w:ascii="Arial Narrow" w:hAnsi="Arial Narrow"/>
                <w:b/>
                <w:sz w:val="21"/>
                <w:szCs w:val="21"/>
              </w:rPr>
              <w:t>School Low-Income Enrollment</w:t>
            </w:r>
          </w:p>
        </w:tc>
      </w:tr>
      <w:tr w:rsidR="00D12820" w:rsidRPr="00D12820" w:rsidTr="00B52104">
        <w:trPr>
          <w:trHeight w:hRule="exact" w:val="512"/>
        </w:trPr>
        <w:tc>
          <w:tcPr>
            <w:tcW w:w="1170"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C95F84" w:rsidRPr="00D12820" w:rsidRDefault="00C95F84" w:rsidP="0040232F">
            <w:pPr>
              <w:autoSpaceDE w:val="0"/>
              <w:autoSpaceDN w:val="0"/>
              <w:adjustRightInd w:val="0"/>
              <w:spacing w:line="240" w:lineRule="auto"/>
              <w:rPr>
                <w:rFonts w:ascii="Arial Narrow" w:hAnsi="Arial Narrow"/>
                <w:b/>
                <w:sz w:val="21"/>
                <w:szCs w:val="21"/>
              </w:rPr>
            </w:pPr>
          </w:p>
        </w:tc>
        <w:tc>
          <w:tcPr>
            <w:tcW w:w="532"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C95F84" w:rsidRPr="00D12820" w:rsidRDefault="00C95F84" w:rsidP="0040232F">
            <w:pPr>
              <w:autoSpaceDE w:val="0"/>
              <w:autoSpaceDN w:val="0"/>
              <w:adjustRightInd w:val="0"/>
              <w:spacing w:line="240" w:lineRule="auto"/>
              <w:jc w:val="center"/>
              <w:rPr>
                <w:rFonts w:ascii="Arial Narrow" w:hAnsi="Arial Narrow"/>
                <w:b/>
                <w:sz w:val="21"/>
                <w:szCs w:val="21"/>
              </w:rPr>
            </w:pPr>
            <w:r w:rsidRPr="00D12820">
              <w:rPr>
                <w:rFonts w:ascii="Arial Narrow" w:hAnsi="Arial Narrow"/>
                <w:b/>
                <w:sz w:val="21"/>
                <w:szCs w:val="21"/>
              </w:rPr>
              <w:t>Level 1</w:t>
            </w:r>
          </w:p>
        </w:tc>
        <w:tc>
          <w:tcPr>
            <w:tcW w:w="524"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C95F84" w:rsidRPr="00D12820" w:rsidRDefault="00C95F84" w:rsidP="0040232F">
            <w:pPr>
              <w:autoSpaceDE w:val="0"/>
              <w:autoSpaceDN w:val="0"/>
              <w:adjustRightInd w:val="0"/>
              <w:spacing w:line="240" w:lineRule="auto"/>
              <w:jc w:val="center"/>
              <w:rPr>
                <w:rFonts w:ascii="Arial Narrow" w:hAnsi="Arial Narrow"/>
                <w:b/>
                <w:sz w:val="21"/>
                <w:szCs w:val="21"/>
              </w:rPr>
            </w:pPr>
            <w:r w:rsidRPr="00D12820">
              <w:rPr>
                <w:rFonts w:ascii="Arial Narrow" w:hAnsi="Arial Narrow"/>
                <w:b/>
                <w:sz w:val="21"/>
                <w:szCs w:val="21"/>
              </w:rPr>
              <w:t>Level 2</w:t>
            </w:r>
          </w:p>
        </w:tc>
        <w:tc>
          <w:tcPr>
            <w:tcW w:w="539"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C95F84" w:rsidRPr="00D12820" w:rsidRDefault="00C95F84" w:rsidP="0040232F">
            <w:pPr>
              <w:autoSpaceDE w:val="0"/>
              <w:autoSpaceDN w:val="0"/>
              <w:adjustRightInd w:val="0"/>
              <w:spacing w:line="240" w:lineRule="auto"/>
              <w:jc w:val="center"/>
              <w:rPr>
                <w:rFonts w:ascii="Arial Narrow" w:hAnsi="Arial Narrow"/>
                <w:b/>
                <w:sz w:val="21"/>
                <w:szCs w:val="21"/>
              </w:rPr>
            </w:pPr>
            <w:r w:rsidRPr="00D12820">
              <w:rPr>
                <w:rFonts w:ascii="Arial Narrow" w:hAnsi="Arial Narrow"/>
                <w:b/>
                <w:sz w:val="21"/>
                <w:szCs w:val="21"/>
              </w:rPr>
              <w:t>Level 3</w:t>
            </w:r>
          </w:p>
        </w:tc>
        <w:tc>
          <w:tcPr>
            <w:tcW w:w="533"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C95F84" w:rsidRPr="00D12820" w:rsidRDefault="00C95F84" w:rsidP="0040232F">
            <w:pPr>
              <w:autoSpaceDE w:val="0"/>
              <w:autoSpaceDN w:val="0"/>
              <w:adjustRightInd w:val="0"/>
              <w:spacing w:line="240" w:lineRule="auto"/>
              <w:jc w:val="center"/>
              <w:rPr>
                <w:rFonts w:ascii="Arial Narrow" w:hAnsi="Arial Narrow"/>
                <w:b/>
                <w:sz w:val="21"/>
                <w:szCs w:val="21"/>
              </w:rPr>
            </w:pPr>
            <w:r w:rsidRPr="00D12820">
              <w:rPr>
                <w:rFonts w:ascii="Arial Narrow" w:hAnsi="Arial Narrow"/>
                <w:b/>
                <w:sz w:val="21"/>
                <w:szCs w:val="21"/>
              </w:rPr>
              <w:t>Level 4</w:t>
            </w:r>
          </w:p>
        </w:tc>
        <w:tc>
          <w:tcPr>
            <w:tcW w:w="798"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C95F84" w:rsidRPr="00D12820" w:rsidRDefault="00FB5604" w:rsidP="0040232F">
            <w:pPr>
              <w:autoSpaceDE w:val="0"/>
              <w:autoSpaceDN w:val="0"/>
              <w:adjustRightInd w:val="0"/>
              <w:spacing w:line="240" w:lineRule="auto"/>
              <w:jc w:val="center"/>
              <w:rPr>
                <w:rFonts w:ascii="Arial Narrow" w:hAnsi="Arial Narrow"/>
                <w:b/>
                <w:sz w:val="21"/>
                <w:szCs w:val="21"/>
              </w:rPr>
            </w:pPr>
            <w:r w:rsidRPr="00D12820">
              <w:rPr>
                <w:rFonts w:ascii="Arial Narrow" w:hAnsi="Arial Narrow"/>
                <w:b/>
                <w:sz w:val="21"/>
                <w:szCs w:val="21"/>
              </w:rPr>
              <w:t>Low Poverty</w:t>
            </w:r>
          </w:p>
        </w:tc>
        <w:tc>
          <w:tcPr>
            <w:tcW w:w="904"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C95F84" w:rsidRPr="00D12820" w:rsidRDefault="00FB5604" w:rsidP="0040232F">
            <w:pPr>
              <w:autoSpaceDE w:val="0"/>
              <w:autoSpaceDN w:val="0"/>
              <w:adjustRightInd w:val="0"/>
              <w:spacing w:line="240" w:lineRule="auto"/>
              <w:jc w:val="center"/>
              <w:rPr>
                <w:rFonts w:ascii="Arial Narrow" w:hAnsi="Arial Narrow"/>
                <w:b/>
                <w:sz w:val="21"/>
                <w:szCs w:val="21"/>
              </w:rPr>
            </w:pPr>
            <w:r w:rsidRPr="00D12820">
              <w:rPr>
                <w:rFonts w:ascii="Arial Narrow" w:hAnsi="Arial Narrow"/>
                <w:b/>
                <w:sz w:val="21"/>
                <w:szCs w:val="21"/>
              </w:rPr>
              <w:t>High Poverty</w:t>
            </w:r>
          </w:p>
        </w:tc>
      </w:tr>
      <w:tr w:rsidR="00D12820" w:rsidRPr="00D12820" w:rsidTr="00B52104">
        <w:trPr>
          <w:trHeight w:hRule="exact" w:val="432"/>
        </w:trPr>
        <w:tc>
          <w:tcPr>
            <w:tcW w:w="1170" w:type="pct"/>
            <w:tcBorders>
              <w:left w:val="single" w:sz="4" w:space="0" w:color="auto"/>
            </w:tcBorders>
            <w:vAlign w:val="center"/>
          </w:tcPr>
          <w:p w:rsidR="00C95F84" w:rsidRPr="00D12820" w:rsidRDefault="00C95F84" w:rsidP="00B52104">
            <w:pPr>
              <w:autoSpaceDE w:val="0"/>
              <w:autoSpaceDN w:val="0"/>
              <w:adjustRightInd w:val="0"/>
              <w:spacing w:line="240" w:lineRule="auto"/>
              <w:rPr>
                <w:rFonts w:ascii="Arial Narrow" w:hAnsi="Arial Narrow"/>
                <w:sz w:val="21"/>
                <w:szCs w:val="21"/>
              </w:rPr>
            </w:pPr>
            <w:r w:rsidRPr="00D12820">
              <w:rPr>
                <w:rFonts w:ascii="Arial Narrow" w:hAnsi="Arial Narrow"/>
                <w:sz w:val="21"/>
                <w:szCs w:val="21"/>
              </w:rPr>
              <w:t>Temporary</w:t>
            </w:r>
            <w:r w:rsidR="00D12820" w:rsidRPr="00D12820">
              <w:rPr>
                <w:rFonts w:ascii="Arial Narrow" w:hAnsi="Arial Narrow"/>
                <w:sz w:val="21"/>
                <w:szCs w:val="21"/>
              </w:rPr>
              <w:t xml:space="preserve"> License</w:t>
            </w:r>
          </w:p>
        </w:tc>
        <w:tc>
          <w:tcPr>
            <w:tcW w:w="532"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0.8</w:t>
            </w:r>
            <w:r w:rsidR="00D12820" w:rsidRPr="00D12820">
              <w:rPr>
                <w:rFonts w:ascii="Arial Narrow" w:hAnsi="Arial Narrow"/>
                <w:sz w:val="21"/>
                <w:szCs w:val="21"/>
              </w:rPr>
              <w:t>%</w:t>
            </w:r>
          </w:p>
        </w:tc>
        <w:tc>
          <w:tcPr>
            <w:tcW w:w="524" w:type="pct"/>
            <w:vAlign w:val="center"/>
          </w:tcPr>
          <w:p w:rsidR="00C95F84" w:rsidRPr="00D12820" w:rsidRDefault="001627D9"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1.0</w:t>
            </w:r>
            <w:r w:rsidR="00D12820" w:rsidRPr="00D12820">
              <w:rPr>
                <w:rFonts w:ascii="Arial Narrow" w:hAnsi="Arial Narrow"/>
                <w:sz w:val="21"/>
                <w:szCs w:val="21"/>
              </w:rPr>
              <w:t>%</w:t>
            </w:r>
          </w:p>
        </w:tc>
        <w:tc>
          <w:tcPr>
            <w:tcW w:w="539"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0.</w:t>
            </w:r>
            <w:r w:rsidR="001627D9" w:rsidRPr="00D12820">
              <w:rPr>
                <w:rFonts w:ascii="Arial Narrow" w:hAnsi="Arial Narrow"/>
                <w:sz w:val="21"/>
                <w:szCs w:val="21"/>
              </w:rPr>
              <w:t>8</w:t>
            </w:r>
            <w:r w:rsidR="00D12820" w:rsidRPr="00D12820">
              <w:rPr>
                <w:rFonts w:ascii="Arial Narrow" w:hAnsi="Arial Narrow"/>
                <w:sz w:val="21"/>
                <w:szCs w:val="21"/>
              </w:rPr>
              <w:t>%</w:t>
            </w:r>
          </w:p>
        </w:tc>
        <w:tc>
          <w:tcPr>
            <w:tcW w:w="533"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2.3</w:t>
            </w:r>
            <w:r w:rsidR="00D12820" w:rsidRPr="00D12820">
              <w:rPr>
                <w:rFonts w:ascii="Arial Narrow" w:hAnsi="Arial Narrow"/>
                <w:sz w:val="21"/>
                <w:szCs w:val="21"/>
              </w:rPr>
              <w:t>%</w:t>
            </w:r>
          </w:p>
        </w:tc>
        <w:tc>
          <w:tcPr>
            <w:tcW w:w="798"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1.0</w:t>
            </w:r>
            <w:r w:rsidR="00D12820" w:rsidRPr="00D12820">
              <w:rPr>
                <w:rFonts w:ascii="Arial Narrow" w:hAnsi="Arial Narrow"/>
                <w:sz w:val="21"/>
                <w:szCs w:val="21"/>
              </w:rPr>
              <w:t>%</w:t>
            </w:r>
          </w:p>
        </w:tc>
        <w:tc>
          <w:tcPr>
            <w:tcW w:w="904"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0.8</w:t>
            </w:r>
            <w:r w:rsidR="00D12820" w:rsidRPr="00D12820">
              <w:rPr>
                <w:rFonts w:ascii="Arial Narrow" w:hAnsi="Arial Narrow"/>
                <w:sz w:val="21"/>
                <w:szCs w:val="21"/>
              </w:rPr>
              <w:t>%</w:t>
            </w:r>
          </w:p>
        </w:tc>
      </w:tr>
      <w:tr w:rsidR="00D12820" w:rsidRPr="00D12820" w:rsidTr="00B52104">
        <w:trPr>
          <w:trHeight w:hRule="exact" w:val="432"/>
        </w:trPr>
        <w:tc>
          <w:tcPr>
            <w:tcW w:w="1170" w:type="pct"/>
            <w:tcBorders>
              <w:left w:val="single" w:sz="4" w:space="0" w:color="auto"/>
            </w:tcBorders>
            <w:vAlign w:val="center"/>
          </w:tcPr>
          <w:p w:rsidR="00C95F84" w:rsidRPr="00D12820" w:rsidRDefault="00C95F84" w:rsidP="00B52104">
            <w:pPr>
              <w:autoSpaceDE w:val="0"/>
              <w:autoSpaceDN w:val="0"/>
              <w:adjustRightInd w:val="0"/>
              <w:spacing w:line="240" w:lineRule="auto"/>
              <w:rPr>
                <w:rFonts w:ascii="Arial Narrow" w:hAnsi="Arial Narrow"/>
                <w:sz w:val="21"/>
                <w:szCs w:val="21"/>
              </w:rPr>
            </w:pPr>
            <w:r w:rsidRPr="00D12820">
              <w:rPr>
                <w:rFonts w:ascii="Arial Narrow" w:hAnsi="Arial Narrow"/>
                <w:sz w:val="21"/>
                <w:szCs w:val="21"/>
              </w:rPr>
              <w:t>Preliminary License</w:t>
            </w:r>
          </w:p>
        </w:tc>
        <w:tc>
          <w:tcPr>
            <w:tcW w:w="532"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24.</w:t>
            </w:r>
            <w:r w:rsidR="001627D9" w:rsidRPr="00D12820">
              <w:rPr>
                <w:rFonts w:ascii="Arial Narrow" w:hAnsi="Arial Narrow"/>
                <w:sz w:val="21"/>
                <w:szCs w:val="21"/>
              </w:rPr>
              <w:t>2</w:t>
            </w:r>
            <w:r w:rsidR="00D12820" w:rsidRPr="00D12820">
              <w:rPr>
                <w:rFonts w:ascii="Arial Narrow" w:hAnsi="Arial Narrow"/>
                <w:sz w:val="21"/>
                <w:szCs w:val="21"/>
              </w:rPr>
              <w:t>%</w:t>
            </w:r>
          </w:p>
        </w:tc>
        <w:tc>
          <w:tcPr>
            <w:tcW w:w="524"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23.</w:t>
            </w:r>
            <w:r w:rsidR="001627D9" w:rsidRPr="00D12820">
              <w:rPr>
                <w:rFonts w:ascii="Arial Narrow" w:hAnsi="Arial Narrow"/>
                <w:sz w:val="21"/>
                <w:szCs w:val="21"/>
              </w:rPr>
              <w:t>8</w:t>
            </w:r>
            <w:r w:rsidR="00D12820" w:rsidRPr="00D12820">
              <w:rPr>
                <w:rFonts w:ascii="Arial Narrow" w:hAnsi="Arial Narrow"/>
                <w:sz w:val="21"/>
                <w:szCs w:val="21"/>
              </w:rPr>
              <w:t>%</w:t>
            </w:r>
          </w:p>
        </w:tc>
        <w:tc>
          <w:tcPr>
            <w:tcW w:w="539"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29.0</w:t>
            </w:r>
            <w:r w:rsidR="00D12820" w:rsidRPr="00D12820">
              <w:rPr>
                <w:rFonts w:ascii="Arial Narrow" w:hAnsi="Arial Narrow"/>
                <w:sz w:val="21"/>
                <w:szCs w:val="21"/>
              </w:rPr>
              <w:t>%</w:t>
            </w:r>
          </w:p>
        </w:tc>
        <w:tc>
          <w:tcPr>
            <w:tcW w:w="533"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34.9</w:t>
            </w:r>
            <w:r w:rsidR="00D12820" w:rsidRPr="00D12820">
              <w:rPr>
                <w:rFonts w:ascii="Arial Narrow" w:hAnsi="Arial Narrow"/>
                <w:sz w:val="21"/>
                <w:szCs w:val="21"/>
              </w:rPr>
              <w:t>%</w:t>
            </w:r>
          </w:p>
        </w:tc>
        <w:tc>
          <w:tcPr>
            <w:tcW w:w="798"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20.</w:t>
            </w:r>
            <w:r w:rsidR="001627D9" w:rsidRPr="00D12820">
              <w:rPr>
                <w:rFonts w:ascii="Arial Narrow" w:hAnsi="Arial Narrow"/>
                <w:sz w:val="21"/>
                <w:szCs w:val="21"/>
              </w:rPr>
              <w:t>6</w:t>
            </w:r>
            <w:r w:rsidR="00D12820" w:rsidRPr="00D12820">
              <w:rPr>
                <w:rFonts w:ascii="Arial Narrow" w:hAnsi="Arial Narrow"/>
                <w:sz w:val="21"/>
                <w:szCs w:val="21"/>
              </w:rPr>
              <w:t>%</w:t>
            </w:r>
          </w:p>
        </w:tc>
        <w:tc>
          <w:tcPr>
            <w:tcW w:w="904"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29.</w:t>
            </w:r>
            <w:r w:rsidR="001627D9" w:rsidRPr="00D12820">
              <w:rPr>
                <w:rFonts w:ascii="Arial Narrow" w:hAnsi="Arial Narrow"/>
                <w:sz w:val="21"/>
                <w:szCs w:val="21"/>
              </w:rPr>
              <w:t>8</w:t>
            </w:r>
            <w:r w:rsidR="00D12820" w:rsidRPr="00D12820">
              <w:rPr>
                <w:rFonts w:ascii="Arial Narrow" w:hAnsi="Arial Narrow"/>
                <w:sz w:val="21"/>
                <w:szCs w:val="21"/>
              </w:rPr>
              <w:t>%</w:t>
            </w:r>
          </w:p>
        </w:tc>
      </w:tr>
      <w:tr w:rsidR="00D12820" w:rsidRPr="00D12820" w:rsidTr="00B52104">
        <w:trPr>
          <w:trHeight w:hRule="exact" w:val="432"/>
        </w:trPr>
        <w:tc>
          <w:tcPr>
            <w:tcW w:w="1170" w:type="pct"/>
            <w:tcBorders>
              <w:left w:val="single" w:sz="4" w:space="0" w:color="auto"/>
            </w:tcBorders>
            <w:vAlign w:val="center"/>
          </w:tcPr>
          <w:p w:rsidR="00C95F84" w:rsidRPr="00D12820" w:rsidRDefault="00C95F84" w:rsidP="00B52104">
            <w:pPr>
              <w:autoSpaceDE w:val="0"/>
              <w:autoSpaceDN w:val="0"/>
              <w:adjustRightInd w:val="0"/>
              <w:spacing w:line="240" w:lineRule="auto"/>
              <w:rPr>
                <w:rFonts w:ascii="Arial Narrow" w:hAnsi="Arial Narrow"/>
                <w:sz w:val="21"/>
                <w:szCs w:val="21"/>
              </w:rPr>
            </w:pPr>
            <w:r w:rsidRPr="00D12820">
              <w:rPr>
                <w:rFonts w:ascii="Arial Narrow" w:hAnsi="Arial Narrow"/>
                <w:sz w:val="21"/>
                <w:szCs w:val="21"/>
              </w:rPr>
              <w:t>Initial License</w:t>
            </w:r>
          </w:p>
        </w:tc>
        <w:tc>
          <w:tcPr>
            <w:tcW w:w="532" w:type="pct"/>
            <w:vAlign w:val="center"/>
          </w:tcPr>
          <w:p w:rsidR="00C95F84" w:rsidRPr="00D12820" w:rsidRDefault="001627D9"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75.0</w:t>
            </w:r>
            <w:r w:rsidR="00D12820" w:rsidRPr="00D12820">
              <w:rPr>
                <w:rFonts w:ascii="Arial Narrow" w:hAnsi="Arial Narrow"/>
                <w:sz w:val="21"/>
                <w:szCs w:val="21"/>
              </w:rPr>
              <w:t>%</w:t>
            </w:r>
          </w:p>
        </w:tc>
        <w:tc>
          <w:tcPr>
            <w:tcW w:w="524"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75.</w:t>
            </w:r>
            <w:r w:rsidR="001627D9" w:rsidRPr="00D12820">
              <w:rPr>
                <w:rFonts w:ascii="Arial Narrow" w:hAnsi="Arial Narrow"/>
                <w:sz w:val="21"/>
                <w:szCs w:val="21"/>
              </w:rPr>
              <w:t>2</w:t>
            </w:r>
            <w:r w:rsidR="00D12820" w:rsidRPr="00D12820">
              <w:rPr>
                <w:rFonts w:ascii="Arial Narrow" w:hAnsi="Arial Narrow"/>
                <w:sz w:val="21"/>
                <w:szCs w:val="21"/>
              </w:rPr>
              <w:t>%</w:t>
            </w:r>
          </w:p>
        </w:tc>
        <w:tc>
          <w:tcPr>
            <w:tcW w:w="539"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70.</w:t>
            </w:r>
            <w:r w:rsidR="001627D9" w:rsidRPr="00D12820">
              <w:rPr>
                <w:rFonts w:ascii="Arial Narrow" w:hAnsi="Arial Narrow"/>
                <w:sz w:val="21"/>
                <w:szCs w:val="21"/>
              </w:rPr>
              <w:t>2</w:t>
            </w:r>
            <w:r w:rsidR="00D12820" w:rsidRPr="00D12820">
              <w:rPr>
                <w:rFonts w:ascii="Arial Narrow" w:hAnsi="Arial Narrow"/>
                <w:sz w:val="21"/>
                <w:szCs w:val="21"/>
              </w:rPr>
              <w:t>%</w:t>
            </w:r>
          </w:p>
        </w:tc>
        <w:tc>
          <w:tcPr>
            <w:tcW w:w="533"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62.9</w:t>
            </w:r>
            <w:r w:rsidR="00D12820" w:rsidRPr="00D12820">
              <w:rPr>
                <w:rFonts w:ascii="Arial Narrow" w:hAnsi="Arial Narrow"/>
                <w:sz w:val="21"/>
                <w:szCs w:val="21"/>
              </w:rPr>
              <w:t>%</w:t>
            </w:r>
          </w:p>
        </w:tc>
        <w:tc>
          <w:tcPr>
            <w:tcW w:w="798"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78.</w:t>
            </w:r>
            <w:r w:rsidR="001627D9" w:rsidRPr="00D12820">
              <w:rPr>
                <w:rFonts w:ascii="Arial Narrow" w:hAnsi="Arial Narrow"/>
                <w:sz w:val="21"/>
                <w:szCs w:val="21"/>
              </w:rPr>
              <w:t>4</w:t>
            </w:r>
            <w:r w:rsidR="00D12820" w:rsidRPr="00D12820">
              <w:rPr>
                <w:rFonts w:ascii="Arial Narrow" w:hAnsi="Arial Narrow"/>
                <w:sz w:val="21"/>
                <w:szCs w:val="21"/>
              </w:rPr>
              <w:t>%</w:t>
            </w:r>
          </w:p>
        </w:tc>
        <w:tc>
          <w:tcPr>
            <w:tcW w:w="904" w:type="pct"/>
            <w:vAlign w:val="center"/>
          </w:tcPr>
          <w:p w:rsidR="00C95F84" w:rsidRPr="00D12820" w:rsidRDefault="00C95F84" w:rsidP="00B52104">
            <w:pPr>
              <w:autoSpaceDE w:val="0"/>
              <w:autoSpaceDN w:val="0"/>
              <w:adjustRightInd w:val="0"/>
              <w:spacing w:line="240" w:lineRule="auto"/>
              <w:jc w:val="center"/>
              <w:rPr>
                <w:rFonts w:ascii="Arial Narrow" w:hAnsi="Arial Narrow"/>
                <w:sz w:val="21"/>
                <w:szCs w:val="21"/>
              </w:rPr>
            </w:pPr>
            <w:r w:rsidRPr="00D12820">
              <w:rPr>
                <w:rFonts w:ascii="Arial Narrow" w:hAnsi="Arial Narrow"/>
                <w:sz w:val="21"/>
                <w:szCs w:val="21"/>
              </w:rPr>
              <w:t>69.</w:t>
            </w:r>
            <w:r w:rsidR="001627D9" w:rsidRPr="00D12820">
              <w:rPr>
                <w:rFonts w:ascii="Arial Narrow" w:hAnsi="Arial Narrow"/>
                <w:sz w:val="21"/>
                <w:szCs w:val="21"/>
              </w:rPr>
              <w:t>3</w:t>
            </w:r>
            <w:r w:rsidR="00D12820" w:rsidRPr="00D12820">
              <w:rPr>
                <w:rFonts w:ascii="Arial Narrow" w:hAnsi="Arial Narrow"/>
                <w:sz w:val="21"/>
                <w:szCs w:val="21"/>
              </w:rPr>
              <w:t>%</w:t>
            </w:r>
          </w:p>
        </w:tc>
      </w:tr>
    </w:tbl>
    <w:p w:rsidR="00B51BC8" w:rsidRDefault="00B51BC8" w:rsidP="0040232F">
      <w:pPr>
        <w:spacing w:line="240" w:lineRule="auto"/>
      </w:pPr>
    </w:p>
    <w:p w:rsidR="00DF1EFD" w:rsidRDefault="00DF1EFD" w:rsidP="0040232F">
      <w:pPr>
        <w:spacing w:line="240" w:lineRule="auto"/>
      </w:pPr>
    </w:p>
    <w:p w:rsidR="00B21F56" w:rsidRDefault="00E678D8" w:rsidP="0040232F">
      <w:pPr>
        <w:spacing w:line="240" w:lineRule="auto"/>
        <w:rPr>
          <w:rFonts w:ascii="Times New Roman" w:hAnsi="Times New Roman"/>
        </w:rPr>
      </w:pPr>
      <w:r w:rsidRPr="0040232F">
        <w:rPr>
          <w:rFonts w:ascii="Times New Roman" w:hAnsi="Times New Roman"/>
        </w:rPr>
        <w:t xml:space="preserve">The preliminary license also appears to attract more </w:t>
      </w:r>
      <w:r w:rsidR="00973B48" w:rsidRPr="0040232F">
        <w:rPr>
          <w:rFonts w:ascii="Times New Roman" w:hAnsi="Times New Roman"/>
        </w:rPr>
        <w:t>teachers of color</w:t>
      </w:r>
      <w:r w:rsidRPr="0040232F">
        <w:rPr>
          <w:rFonts w:ascii="Times New Roman" w:hAnsi="Times New Roman"/>
        </w:rPr>
        <w:t xml:space="preserve"> and male teachers, two groups that are currently underrepresented in the Massachusetts educator workforce. As </w:t>
      </w:r>
      <w:r w:rsidR="00CF4DBF" w:rsidRPr="0040232F">
        <w:rPr>
          <w:rFonts w:ascii="Times New Roman" w:hAnsi="Times New Roman"/>
        </w:rPr>
        <w:t xml:space="preserve">Table </w:t>
      </w:r>
      <w:r w:rsidR="003B4B43" w:rsidRPr="0040232F">
        <w:rPr>
          <w:rFonts w:ascii="Times New Roman" w:hAnsi="Times New Roman"/>
        </w:rPr>
        <w:t>2.</w:t>
      </w:r>
      <w:r w:rsidR="00CF4DBF" w:rsidRPr="0040232F">
        <w:rPr>
          <w:rFonts w:ascii="Times New Roman" w:hAnsi="Times New Roman"/>
        </w:rPr>
        <w:t>5</w:t>
      </w:r>
      <w:r w:rsidRPr="0040232F">
        <w:rPr>
          <w:rFonts w:ascii="Times New Roman" w:hAnsi="Times New Roman"/>
        </w:rPr>
        <w:t xml:space="preserve"> shows, </w:t>
      </w:r>
      <w:r w:rsidR="00637517" w:rsidRPr="0040232F">
        <w:rPr>
          <w:rFonts w:ascii="Times New Roman" w:hAnsi="Times New Roman"/>
        </w:rPr>
        <w:t>43</w:t>
      </w:r>
      <w:r w:rsidR="00592141" w:rsidRPr="0040232F">
        <w:rPr>
          <w:rFonts w:ascii="Times New Roman" w:hAnsi="Times New Roman"/>
        </w:rPr>
        <w:t xml:space="preserve"> percent</w:t>
      </w:r>
      <w:r w:rsidRPr="0040232F">
        <w:rPr>
          <w:rFonts w:ascii="Times New Roman" w:hAnsi="Times New Roman"/>
        </w:rPr>
        <w:t xml:space="preserve"> of </w:t>
      </w:r>
      <w:r w:rsidR="00865CE8" w:rsidRPr="0040232F">
        <w:rPr>
          <w:rFonts w:ascii="Times New Roman" w:hAnsi="Times New Roman"/>
        </w:rPr>
        <w:t xml:space="preserve">first-year </w:t>
      </w:r>
      <w:r w:rsidRPr="0040232F">
        <w:rPr>
          <w:rFonts w:ascii="Times New Roman" w:hAnsi="Times New Roman"/>
        </w:rPr>
        <w:t xml:space="preserve">teachers </w:t>
      </w:r>
      <w:r w:rsidR="00973B48" w:rsidRPr="0040232F">
        <w:rPr>
          <w:rFonts w:ascii="Times New Roman" w:hAnsi="Times New Roman"/>
        </w:rPr>
        <w:t xml:space="preserve">of color </w:t>
      </w:r>
      <w:r w:rsidR="00865CE8" w:rsidRPr="0040232F">
        <w:rPr>
          <w:rFonts w:ascii="Times New Roman" w:hAnsi="Times New Roman"/>
        </w:rPr>
        <w:t xml:space="preserve">and </w:t>
      </w:r>
      <w:r w:rsidR="00637517" w:rsidRPr="0040232F">
        <w:rPr>
          <w:rFonts w:ascii="Times New Roman" w:hAnsi="Times New Roman"/>
        </w:rPr>
        <w:t xml:space="preserve">40 </w:t>
      </w:r>
      <w:r w:rsidR="00592141" w:rsidRPr="0040232F">
        <w:rPr>
          <w:rFonts w:ascii="Times New Roman" w:hAnsi="Times New Roman"/>
        </w:rPr>
        <w:t xml:space="preserve">percent of first-year </w:t>
      </w:r>
      <w:r w:rsidR="00865CE8" w:rsidRPr="0040232F">
        <w:rPr>
          <w:rFonts w:ascii="Times New Roman" w:hAnsi="Times New Roman"/>
        </w:rPr>
        <w:t>male teachers held</w:t>
      </w:r>
      <w:r w:rsidRPr="0040232F">
        <w:rPr>
          <w:rFonts w:ascii="Times New Roman" w:hAnsi="Times New Roman"/>
        </w:rPr>
        <w:t xml:space="preserve"> a preliminary</w:t>
      </w:r>
      <w:r w:rsidR="00637517" w:rsidRPr="0040232F">
        <w:rPr>
          <w:rFonts w:ascii="Times New Roman" w:hAnsi="Times New Roman"/>
        </w:rPr>
        <w:t xml:space="preserve"> license</w:t>
      </w:r>
      <w:r w:rsidRPr="0040232F">
        <w:rPr>
          <w:rFonts w:ascii="Times New Roman" w:hAnsi="Times New Roman"/>
        </w:rPr>
        <w:t xml:space="preserve"> </w:t>
      </w:r>
      <w:r w:rsidR="00865CE8" w:rsidRPr="0040232F">
        <w:rPr>
          <w:rFonts w:ascii="Times New Roman" w:hAnsi="Times New Roman"/>
        </w:rPr>
        <w:t xml:space="preserve">compared with </w:t>
      </w:r>
      <w:r w:rsidR="00592141" w:rsidRPr="0040232F">
        <w:rPr>
          <w:rFonts w:ascii="Times New Roman" w:hAnsi="Times New Roman"/>
        </w:rPr>
        <w:t>26 percent of all</w:t>
      </w:r>
      <w:r w:rsidR="00865CE8" w:rsidRPr="0040232F">
        <w:rPr>
          <w:rFonts w:ascii="Times New Roman" w:hAnsi="Times New Roman"/>
        </w:rPr>
        <w:t xml:space="preserve"> first-year teachers. This pattern continues among teachers with more than one year of experience</w:t>
      </w:r>
      <w:r w:rsidR="00354985" w:rsidRPr="0040232F">
        <w:rPr>
          <w:rFonts w:ascii="Times New Roman" w:hAnsi="Times New Roman"/>
        </w:rPr>
        <w:t xml:space="preserve">, with a higher share of </w:t>
      </w:r>
      <w:r w:rsidR="00973B48" w:rsidRPr="0040232F">
        <w:rPr>
          <w:rFonts w:ascii="Times New Roman" w:hAnsi="Times New Roman"/>
        </w:rPr>
        <w:t>teachers of color</w:t>
      </w:r>
      <w:r w:rsidR="00354985" w:rsidRPr="0040232F">
        <w:rPr>
          <w:rFonts w:ascii="Times New Roman" w:hAnsi="Times New Roman"/>
        </w:rPr>
        <w:t xml:space="preserve"> and male teachers holding a preliminary license and a smaller percent</w:t>
      </w:r>
      <w:r w:rsidR="00A477DB">
        <w:rPr>
          <w:rFonts w:ascii="Times New Roman" w:hAnsi="Times New Roman"/>
        </w:rPr>
        <w:t>age</w:t>
      </w:r>
      <w:r w:rsidR="00354985" w:rsidRPr="0040232F">
        <w:rPr>
          <w:rFonts w:ascii="Times New Roman" w:hAnsi="Times New Roman"/>
        </w:rPr>
        <w:t xml:space="preserve"> holding a professional license</w:t>
      </w:r>
      <w:r w:rsidRPr="0040232F">
        <w:rPr>
          <w:rFonts w:ascii="Times New Roman" w:hAnsi="Times New Roman"/>
        </w:rPr>
        <w:t>.</w:t>
      </w:r>
      <w:r w:rsidR="005572A6" w:rsidRPr="0040232F">
        <w:rPr>
          <w:rFonts w:ascii="Times New Roman" w:hAnsi="Times New Roman"/>
        </w:rPr>
        <w:t xml:space="preserve"> </w:t>
      </w:r>
    </w:p>
    <w:p w:rsidR="00B52104" w:rsidRPr="0040232F" w:rsidRDefault="00B52104" w:rsidP="0040232F">
      <w:pPr>
        <w:spacing w:line="240" w:lineRule="auto"/>
        <w:rPr>
          <w:rFonts w:ascii="Times New Roman" w:hAnsi="Times New Roman"/>
        </w:rPr>
      </w:pPr>
    </w:p>
    <w:p w:rsidR="00CF4DBF" w:rsidRPr="00446709" w:rsidRDefault="00CF4DBF" w:rsidP="00446709">
      <w:pPr>
        <w:pStyle w:val="Heading2"/>
        <w:spacing w:line="240" w:lineRule="auto"/>
        <w:rPr>
          <w:i w:val="0"/>
          <w:sz w:val="21"/>
          <w:szCs w:val="21"/>
        </w:rPr>
      </w:pPr>
      <w:r w:rsidRPr="00446709">
        <w:rPr>
          <w:i w:val="0"/>
          <w:sz w:val="21"/>
          <w:szCs w:val="21"/>
        </w:rPr>
        <w:t>Table 2.</w:t>
      </w:r>
      <w:r w:rsidR="007F6178" w:rsidRPr="00446709">
        <w:rPr>
          <w:i w:val="0"/>
          <w:sz w:val="21"/>
          <w:szCs w:val="21"/>
        </w:rPr>
        <w:t>5</w:t>
      </w:r>
      <w:r w:rsidRPr="00446709">
        <w:rPr>
          <w:i w:val="0"/>
          <w:sz w:val="21"/>
          <w:szCs w:val="21"/>
        </w:rPr>
        <w:t xml:space="preserve">: </w:t>
      </w:r>
      <w:r w:rsidR="00DC259F" w:rsidRPr="00446709">
        <w:rPr>
          <w:i w:val="0"/>
          <w:sz w:val="21"/>
          <w:szCs w:val="21"/>
        </w:rPr>
        <w:t>Percent</w:t>
      </w:r>
      <w:r w:rsidR="007F6178" w:rsidRPr="00446709">
        <w:rPr>
          <w:i w:val="0"/>
          <w:sz w:val="21"/>
          <w:szCs w:val="21"/>
        </w:rPr>
        <w:t xml:space="preserve"> </w:t>
      </w:r>
      <w:r w:rsidR="00433E5F">
        <w:rPr>
          <w:i w:val="0"/>
          <w:sz w:val="21"/>
          <w:szCs w:val="21"/>
        </w:rPr>
        <w:t xml:space="preserve">of </w:t>
      </w:r>
      <w:r w:rsidR="007F6178" w:rsidRPr="00446709">
        <w:rPr>
          <w:i w:val="0"/>
          <w:sz w:val="21"/>
          <w:szCs w:val="21"/>
        </w:rPr>
        <w:t>2012-13 Teachers</w:t>
      </w:r>
      <w:r w:rsidR="00DC259F" w:rsidRPr="00446709">
        <w:rPr>
          <w:i w:val="0"/>
          <w:sz w:val="21"/>
          <w:szCs w:val="21"/>
        </w:rPr>
        <w:t xml:space="preserve"> by</w:t>
      </w:r>
      <w:r w:rsidR="007F6178" w:rsidRPr="00446709">
        <w:rPr>
          <w:i w:val="0"/>
          <w:sz w:val="21"/>
          <w:szCs w:val="21"/>
        </w:rPr>
        <w:t xml:space="preserve"> </w:t>
      </w:r>
      <w:r w:rsidR="00DC259F" w:rsidRPr="00446709">
        <w:rPr>
          <w:i w:val="0"/>
          <w:sz w:val="21"/>
          <w:szCs w:val="21"/>
        </w:rPr>
        <w:t xml:space="preserve">License Type and </w:t>
      </w:r>
      <w:r w:rsidR="007F6178" w:rsidRPr="00446709">
        <w:rPr>
          <w:i w:val="0"/>
          <w:sz w:val="21"/>
          <w:szCs w:val="21"/>
        </w:rPr>
        <w:t>Race and Gender</w:t>
      </w:r>
    </w:p>
    <w:tbl>
      <w:tblPr>
        <w:tblW w:w="427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tblPr>
      <w:tblGrid>
        <w:gridCol w:w="1889"/>
        <w:gridCol w:w="989"/>
        <w:gridCol w:w="1171"/>
        <w:gridCol w:w="991"/>
        <w:gridCol w:w="989"/>
        <w:gridCol w:w="1032"/>
        <w:gridCol w:w="1129"/>
      </w:tblGrid>
      <w:tr w:rsidR="00CF4DBF" w:rsidRPr="00B52104" w:rsidTr="00B52104">
        <w:trPr>
          <w:trHeight w:hRule="exact" w:val="305"/>
        </w:trPr>
        <w:tc>
          <w:tcPr>
            <w:tcW w:w="1153" w:type="pct"/>
            <w:tcBorders>
              <w:top w:val="nil"/>
              <w:left w:val="nil"/>
              <w:bottom w:val="single" w:sz="12" w:space="0" w:color="auto"/>
              <w:right w:val="single" w:sz="4" w:space="0" w:color="auto"/>
              <w:tl2br w:val="nil"/>
              <w:tr2bl w:val="nil"/>
            </w:tcBorders>
            <w:shd w:val="clear" w:color="auto" w:fill="auto"/>
            <w:vAlign w:val="center"/>
          </w:tcPr>
          <w:p w:rsidR="00CF4DBF" w:rsidRPr="00B52104" w:rsidRDefault="00CF4DBF" w:rsidP="0040232F">
            <w:pPr>
              <w:autoSpaceDE w:val="0"/>
              <w:autoSpaceDN w:val="0"/>
              <w:adjustRightInd w:val="0"/>
              <w:spacing w:line="240" w:lineRule="auto"/>
              <w:rPr>
                <w:rFonts w:ascii="Arial Narrow" w:hAnsi="Arial Narrow"/>
                <w:b/>
                <w:sz w:val="21"/>
                <w:szCs w:val="21"/>
              </w:rPr>
            </w:pPr>
          </w:p>
        </w:tc>
        <w:tc>
          <w:tcPr>
            <w:tcW w:w="1924" w:type="pct"/>
            <w:gridSpan w:val="3"/>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CF4DBF" w:rsidRPr="00B52104" w:rsidRDefault="00CF4DBF" w:rsidP="0040232F">
            <w:pPr>
              <w:autoSpaceDE w:val="0"/>
              <w:autoSpaceDN w:val="0"/>
              <w:adjustRightInd w:val="0"/>
              <w:spacing w:line="240" w:lineRule="auto"/>
              <w:jc w:val="center"/>
              <w:rPr>
                <w:rFonts w:ascii="Arial Narrow" w:hAnsi="Arial Narrow"/>
                <w:b/>
                <w:sz w:val="21"/>
                <w:szCs w:val="21"/>
              </w:rPr>
            </w:pPr>
            <w:r w:rsidRPr="00B52104">
              <w:rPr>
                <w:rFonts w:ascii="Arial Narrow" w:hAnsi="Arial Narrow"/>
                <w:b/>
                <w:sz w:val="21"/>
                <w:szCs w:val="21"/>
              </w:rPr>
              <w:t>First-Year Teachers</w:t>
            </w:r>
          </w:p>
        </w:tc>
        <w:tc>
          <w:tcPr>
            <w:tcW w:w="1923" w:type="pct"/>
            <w:gridSpan w:val="3"/>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tcPr>
          <w:p w:rsidR="00CF4DBF" w:rsidRPr="00B52104" w:rsidRDefault="00CF4DBF" w:rsidP="0040232F">
            <w:pPr>
              <w:autoSpaceDE w:val="0"/>
              <w:autoSpaceDN w:val="0"/>
              <w:adjustRightInd w:val="0"/>
              <w:spacing w:line="240" w:lineRule="auto"/>
              <w:jc w:val="center"/>
              <w:rPr>
                <w:rFonts w:ascii="Arial Narrow" w:hAnsi="Arial Narrow"/>
                <w:b/>
                <w:sz w:val="21"/>
                <w:szCs w:val="21"/>
              </w:rPr>
            </w:pPr>
            <w:r w:rsidRPr="00B52104">
              <w:rPr>
                <w:rFonts w:ascii="Arial Narrow" w:hAnsi="Arial Narrow"/>
                <w:b/>
                <w:sz w:val="21"/>
                <w:szCs w:val="21"/>
              </w:rPr>
              <w:t>Experienced Teachers</w:t>
            </w:r>
          </w:p>
        </w:tc>
      </w:tr>
      <w:tr w:rsidR="00B52104" w:rsidRPr="00B52104" w:rsidTr="00B52104">
        <w:trPr>
          <w:trHeight w:hRule="exact" w:val="584"/>
        </w:trPr>
        <w:tc>
          <w:tcPr>
            <w:tcW w:w="1153"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center"/>
          </w:tcPr>
          <w:p w:rsidR="00CF4DBF" w:rsidRPr="00B52104" w:rsidRDefault="00CF4DBF" w:rsidP="0040232F">
            <w:pPr>
              <w:autoSpaceDE w:val="0"/>
              <w:autoSpaceDN w:val="0"/>
              <w:adjustRightInd w:val="0"/>
              <w:spacing w:line="240" w:lineRule="auto"/>
              <w:rPr>
                <w:rFonts w:ascii="Arial Narrow" w:hAnsi="Arial Narrow"/>
                <w:b/>
                <w:sz w:val="21"/>
                <w:szCs w:val="21"/>
              </w:rPr>
            </w:pPr>
          </w:p>
        </w:tc>
        <w:tc>
          <w:tcPr>
            <w:tcW w:w="604"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bottom"/>
          </w:tcPr>
          <w:p w:rsidR="00B21F56" w:rsidRPr="00B52104" w:rsidRDefault="00CF4DBF" w:rsidP="00B52104">
            <w:pPr>
              <w:autoSpaceDE w:val="0"/>
              <w:autoSpaceDN w:val="0"/>
              <w:adjustRightInd w:val="0"/>
              <w:spacing w:line="240" w:lineRule="auto"/>
              <w:jc w:val="center"/>
              <w:rPr>
                <w:rFonts w:ascii="Arial Narrow" w:hAnsi="Arial Narrow"/>
                <w:b/>
                <w:sz w:val="21"/>
                <w:szCs w:val="21"/>
              </w:rPr>
            </w:pPr>
            <w:r w:rsidRPr="00B52104">
              <w:rPr>
                <w:rFonts w:ascii="Arial Narrow" w:hAnsi="Arial Narrow"/>
                <w:b/>
                <w:sz w:val="21"/>
                <w:szCs w:val="21"/>
              </w:rPr>
              <w:t>All Teachers</w:t>
            </w:r>
          </w:p>
        </w:tc>
        <w:tc>
          <w:tcPr>
            <w:tcW w:w="715"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bottom"/>
          </w:tcPr>
          <w:p w:rsidR="00B21F56" w:rsidRPr="00B52104" w:rsidRDefault="00CF4DBF" w:rsidP="00B52104">
            <w:pPr>
              <w:autoSpaceDE w:val="0"/>
              <w:autoSpaceDN w:val="0"/>
              <w:adjustRightInd w:val="0"/>
              <w:spacing w:line="240" w:lineRule="auto"/>
              <w:jc w:val="center"/>
              <w:rPr>
                <w:rFonts w:ascii="Arial Narrow" w:hAnsi="Arial Narrow"/>
                <w:b/>
                <w:sz w:val="21"/>
                <w:szCs w:val="21"/>
              </w:rPr>
            </w:pPr>
            <w:r w:rsidRPr="00B52104">
              <w:rPr>
                <w:rFonts w:ascii="Arial Narrow" w:hAnsi="Arial Narrow"/>
                <w:b/>
                <w:sz w:val="21"/>
                <w:szCs w:val="21"/>
              </w:rPr>
              <w:t>Teachers of Color</w:t>
            </w:r>
          </w:p>
        </w:tc>
        <w:tc>
          <w:tcPr>
            <w:tcW w:w="605"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bottom"/>
          </w:tcPr>
          <w:p w:rsidR="00B21F56" w:rsidRPr="00B52104" w:rsidRDefault="00CF4DBF" w:rsidP="00B52104">
            <w:pPr>
              <w:autoSpaceDE w:val="0"/>
              <w:autoSpaceDN w:val="0"/>
              <w:adjustRightInd w:val="0"/>
              <w:spacing w:line="240" w:lineRule="auto"/>
              <w:jc w:val="center"/>
              <w:rPr>
                <w:rFonts w:ascii="Arial Narrow" w:hAnsi="Arial Narrow"/>
                <w:b/>
                <w:sz w:val="21"/>
                <w:szCs w:val="21"/>
              </w:rPr>
            </w:pPr>
            <w:r w:rsidRPr="00B52104">
              <w:rPr>
                <w:rFonts w:ascii="Arial Narrow" w:hAnsi="Arial Narrow"/>
                <w:b/>
                <w:sz w:val="21"/>
                <w:szCs w:val="21"/>
              </w:rPr>
              <w:t>Male Teachers</w:t>
            </w:r>
          </w:p>
        </w:tc>
        <w:tc>
          <w:tcPr>
            <w:tcW w:w="604"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bottom"/>
          </w:tcPr>
          <w:p w:rsidR="00B21F56" w:rsidRPr="00B52104" w:rsidRDefault="00CF4DBF" w:rsidP="00B52104">
            <w:pPr>
              <w:autoSpaceDE w:val="0"/>
              <w:autoSpaceDN w:val="0"/>
              <w:adjustRightInd w:val="0"/>
              <w:spacing w:line="240" w:lineRule="auto"/>
              <w:jc w:val="center"/>
              <w:rPr>
                <w:rFonts w:ascii="Arial Narrow" w:hAnsi="Arial Narrow"/>
                <w:b/>
                <w:sz w:val="21"/>
                <w:szCs w:val="21"/>
              </w:rPr>
            </w:pPr>
            <w:r w:rsidRPr="00B52104">
              <w:rPr>
                <w:rFonts w:ascii="Arial Narrow" w:hAnsi="Arial Narrow"/>
                <w:b/>
                <w:sz w:val="21"/>
                <w:szCs w:val="21"/>
              </w:rPr>
              <w:t>All Teachers</w:t>
            </w:r>
          </w:p>
        </w:tc>
        <w:tc>
          <w:tcPr>
            <w:tcW w:w="630"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bottom"/>
          </w:tcPr>
          <w:p w:rsidR="00B21F56" w:rsidRPr="00B52104" w:rsidRDefault="00CF4DBF" w:rsidP="00B52104">
            <w:pPr>
              <w:autoSpaceDE w:val="0"/>
              <w:autoSpaceDN w:val="0"/>
              <w:adjustRightInd w:val="0"/>
              <w:spacing w:line="240" w:lineRule="auto"/>
              <w:jc w:val="center"/>
              <w:rPr>
                <w:rFonts w:ascii="Arial Narrow" w:hAnsi="Arial Narrow"/>
                <w:b/>
                <w:sz w:val="21"/>
                <w:szCs w:val="21"/>
              </w:rPr>
            </w:pPr>
            <w:r w:rsidRPr="00B52104">
              <w:rPr>
                <w:rFonts w:ascii="Arial Narrow" w:hAnsi="Arial Narrow"/>
                <w:b/>
                <w:sz w:val="21"/>
                <w:szCs w:val="21"/>
              </w:rPr>
              <w:t>Teachers of Color</w:t>
            </w:r>
          </w:p>
        </w:tc>
        <w:tc>
          <w:tcPr>
            <w:tcW w:w="689" w:type="pct"/>
            <w:tcBorders>
              <w:top w:val="single" w:sz="4" w:space="0" w:color="auto"/>
              <w:left w:val="single" w:sz="4" w:space="0" w:color="auto"/>
              <w:bottom w:val="single" w:sz="12" w:space="0" w:color="auto"/>
              <w:right w:val="single" w:sz="4" w:space="0" w:color="auto"/>
              <w:tl2br w:val="nil"/>
              <w:tr2bl w:val="nil"/>
            </w:tcBorders>
            <w:shd w:val="clear" w:color="auto" w:fill="D9D9D9" w:themeFill="background1" w:themeFillShade="D9"/>
            <w:vAlign w:val="bottom"/>
          </w:tcPr>
          <w:p w:rsidR="00B21F56" w:rsidRPr="00B52104" w:rsidRDefault="00CF4DBF" w:rsidP="00B52104">
            <w:pPr>
              <w:autoSpaceDE w:val="0"/>
              <w:autoSpaceDN w:val="0"/>
              <w:adjustRightInd w:val="0"/>
              <w:spacing w:line="240" w:lineRule="auto"/>
              <w:jc w:val="center"/>
              <w:rPr>
                <w:rFonts w:ascii="Arial Narrow" w:hAnsi="Arial Narrow"/>
                <w:b/>
                <w:sz w:val="21"/>
                <w:szCs w:val="21"/>
              </w:rPr>
            </w:pPr>
            <w:r w:rsidRPr="00B52104">
              <w:rPr>
                <w:rFonts w:ascii="Arial Narrow" w:hAnsi="Arial Narrow"/>
                <w:b/>
                <w:sz w:val="21"/>
                <w:szCs w:val="21"/>
              </w:rPr>
              <w:t>Male Teachers</w:t>
            </w:r>
          </w:p>
        </w:tc>
      </w:tr>
      <w:tr w:rsidR="00B52104" w:rsidRPr="00B52104" w:rsidTr="00B52104">
        <w:trPr>
          <w:trHeight w:hRule="exact" w:val="404"/>
        </w:trPr>
        <w:tc>
          <w:tcPr>
            <w:tcW w:w="1153" w:type="pct"/>
            <w:tcBorders>
              <w:left w:val="single" w:sz="4" w:space="0" w:color="auto"/>
            </w:tcBorders>
            <w:vAlign w:val="center"/>
          </w:tcPr>
          <w:p w:rsidR="00CF4DBF" w:rsidRPr="00B52104" w:rsidRDefault="00CF4DBF" w:rsidP="00B52104">
            <w:pPr>
              <w:autoSpaceDE w:val="0"/>
              <w:autoSpaceDN w:val="0"/>
              <w:adjustRightInd w:val="0"/>
              <w:spacing w:line="240" w:lineRule="auto"/>
              <w:rPr>
                <w:rFonts w:ascii="Arial Narrow" w:hAnsi="Arial Narrow"/>
                <w:sz w:val="21"/>
                <w:szCs w:val="21"/>
              </w:rPr>
            </w:pPr>
            <w:r w:rsidRPr="00B52104">
              <w:rPr>
                <w:rFonts w:ascii="Arial Narrow" w:hAnsi="Arial Narrow"/>
                <w:sz w:val="21"/>
                <w:szCs w:val="21"/>
              </w:rPr>
              <w:t>Temporary</w:t>
            </w:r>
            <w:r w:rsidR="00B52104">
              <w:rPr>
                <w:rFonts w:ascii="Arial Narrow" w:hAnsi="Arial Narrow"/>
                <w:sz w:val="21"/>
                <w:szCs w:val="21"/>
              </w:rPr>
              <w:t xml:space="preserve"> License</w:t>
            </w:r>
          </w:p>
        </w:tc>
        <w:tc>
          <w:tcPr>
            <w:tcW w:w="604"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0.9</w:t>
            </w:r>
            <w:r w:rsidR="00D12820" w:rsidRPr="00B52104">
              <w:rPr>
                <w:rFonts w:ascii="Arial Narrow" w:hAnsi="Arial Narrow"/>
                <w:sz w:val="21"/>
                <w:szCs w:val="21"/>
              </w:rPr>
              <w:t>%</w:t>
            </w:r>
          </w:p>
        </w:tc>
        <w:tc>
          <w:tcPr>
            <w:tcW w:w="715"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1.5</w:t>
            </w:r>
            <w:r w:rsidR="00D12820" w:rsidRPr="00B52104">
              <w:rPr>
                <w:rFonts w:ascii="Arial Narrow" w:hAnsi="Arial Narrow"/>
                <w:sz w:val="21"/>
                <w:szCs w:val="21"/>
              </w:rPr>
              <w:t>%</w:t>
            </w:r>
          </w:p>
        </w:tc>
        <w:tc>
          <w:tcPr>
            <w:tcW w:w="605"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1.2</w:t>
            </w:r>
            <w:r w:rsidR="00D12820" w:rsidRPr="00B52104">
              <w:rPr>
                <w:rFonts w:ascii="Arial Narrow" w:hAnsi="Arial Narrow"/>
                <w:sz w:val="21"/>
                <w:szCs w:val="21"/>
              </w:rPr>
              <w:t>%</w:t>
            </w:r>
          </w:p>
        </w:tc>
        <w:tc>
          <w:tcPr>
            <w:tcW w:w="604"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w:t>
            </w:r>
          </w:p>
        </w:tc>
        <w:tc>
          <w:tcPr>
            <w:tcW w:w="630"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w:t>
            </w:r>
          </w:p>
        </w:tc>
        <w:tc>
          <w:tcPr>
            <w:tcW w:w="689"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w:t>
            </w:r>
          </w:p>
        </w:tc>
      </w:tr>
      <w:tr w:rsidR="00B52104" w:rsidRPr="00B52104" w:rsidTr="00B52104">
        <w:trPr>
          <w:trHeight w:hRule="exact" w:val="377"/>
        </w:trPr>
        <w:tc>
          <w:tcPr>
            <w:tcW w:w="1153" w:type="pct"/>
            <w:tcBorders>
              <w:left w:val="single" w:sz="4" w:space="0" w:color="auto"/>
            </w:tcBorders>
            <w:vAlign w:val="center"/>
          </w:tcPr>
          <w:p w:rsidR="00CF4DBF" w:rsidRPr="00B52104" w:rsidRDefault="00CF4DBF" w:rsidP="00B52104">
            <w:pPr>
              <w:autoSpaceDE w:val="0"/>
              <w:autoSpaceDN w:val="0"/>
              <w:adjustRightInd w:val="0"/>
              <w:spacing w:line="240" w:lineRule="auto"/>
              <w:rPr>
                <w:rFonts w:ascii="Arial Narrow" w:hAnsi="Arial Narrow"/>
                <w:sz w:val="21"/>
                <w:szCs w:val="21"/>
              </w:rPr>
            </w:pPr>
            <w:r w:rsidRPr="00B52104">
              <w:rPr>
                <w:rFonts w:ascii="Arial Narrow" w:hAnsi="Arial Narrow"/>
                <w:sz w:val="21"/>
                <w:szCs w:val="21"/>
              </w:rPr>
              <w:t>Preliminary License</w:t>
            </w:r>
          </w:p>
        </w:tc>
        <w:tc>
          <w:tcPr>
            <w:tcW w:w="604"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26.2</w:t>
            </w:r>
            <w:r w:rsidR="00D12820" w:rsidRPr="00B52104">
              <w:rPr>
                <w:rFonts w:ascii="Arial Narrow" w:hAnsi="Arial Narrow"/>
                <w:sz w:val="21"/>
                <w:szCs w:val="21"/>
              </w:rPr>
              <w:t>%</w:t>
            </w:r>
          </w:p>
        </w:tc>
        <w:tc>
          <w:tcPr>
            <w:tcW w:w="715"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43.1</w:t>
            </w:r>
            <w:r w:rsidR="00D12820" w:rsidRPr="00B52104">
              <w:rPr>
                <w:rFonts w:ascii="Arial Narrow" w:hAnsi="Arial Narrow"/>
                <w:sz w:val="21"/>
                <w:szCs w:val="21"/>
              </w:rPr>
              <w:t>%</w:t>
            </w:r>
          </w:p>
        </w:tc>
        <w:tc>
          <w:tcPr>
            <w:tcW w:w="605"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39.9</w:t>
            </w:r>
            <w:r w:rsidR="00D12820" w:rsidRPr="00B52104">
              <w:rPr>
                <w:rFonts w:ascii="Arial Narrow" w:hAnsi="Arial Narrow"/>
                <w:sz w:val="21"/>
                <w:szCs w:val="21"/>
              </w:rPr>
              <w:t>%</w:t>
            </w:r>
          </w:p>
        </w:tc>
        <w:tc>
          <w:tcPr>
            <w:tcW w:w="604"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5.3</w:t>
            </w:r>
            <w:r w:rsidR="00D12820" w:rsidRPr="00B52104">
              <w:rPr>
                <w:rFonts w:ascii="Arial Narrow" w:hAnsi="Arial Narrow"/>
                <w:sz w:val="21"/>
                <w:szCs w:val="21"/>
              </w:rPr>
              <w:t>%</w:t>
            </w:r>
          </w:p>
        </w:tc>
        <w:tc>
          <w:tcPr>
            <w:tcW w:w="630"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12.3</w:t>
            </w:r>
            <w:r w:rsidR="00D12820" w:rsidRPr="00B52104">
              <w:rPr>
                <w:rFonts w:ascii="Arial Narrow" w:hAnsi="Arial Narrow"/>
                <w:sz w:val="21"/>
                <w:szCs w:val="21"/>
              </w:rPr>
              <w:t>%</w:t>
            </w:r>
          </w:p>
        </w:tc>
        <w:tc>
          <w:tcPr>
            <w:tcW w:w="689"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10.6</w:t>
            </w:r>
            <w:r w:rsidR="00D12820" w:rsidRPr="00B52104">
              <w:rPr>
                <w:rFonts w:ascii="Arial Narrow" w:hAnsi="Arial Narrow"/>
                <w:sz w:val="21"/>
                <w:szCs w:val="21"/>
              </w:rPr>
              <w:t>%</w:t>
            </w:r>
          </w:p>
        </w:tc>
      </w:tr>
      <w:tr w:rsidR="00B52104" w:rsidRPr="00B52104" w:rsidTr="00B52104">
        <w:trPr>
          <w:trHeight w:hRule="exact" w:val="350"/>
        </w:trPr>
        <w:tc>
          <w:tcPr>
            <w:tcW w:w="1153" w:type="pct"/>
            <w:tcBorders>
              <w:left w:val="single" w:sz="4" w:space="0" w:color="auto"/>
            </w:tcBorders>
            <w:vAlign w:val="center"/>
          </w:tcPr>
          <w:p w:rsidR="00CF4DBF" w:rsidRPr="00B52104" w:rsidRDefault="00CF4DBF" w:rsidP="00B52104">
            <w:pPr>
              <w:autoSpaceDE w:val="0"/>
              <w:autoSpaceDN w:val="0"/>
              <w:adjustRightInd w:val="0"/>
              <w:spacing w:line="240" w:lineRule="auto"/>
              <w:rPr>
                <w:rFonts w:ascii="Arial Narrow" w:hAnsi="Arial Narrow"/>
                <w:sz w:val="21"/>
                <w:szCs w:val="21"/>
              </w:rPr>
            </w:pPr>
            <w:r w:rsidRPr="00B52104">
              <w:rPr>
                <w:rFonts w:ascii="Arial Narrow" w:hAnsi="Arial Narrow"/>
                <w:sz w:val="21"/>
                <w:szCs w:val="21"/>
              </w:rPr>
              <w:t>Initial License</w:t>
            </w:r>
          </w:p>
        </w:tc>
        <w:tc>
          <w:tcPr>
            <w:tcW w:w="604"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73.0</w:t>
            </w:r>
            <w:r w:rsidR="00D12820" w:rsidRPr="00B52104">
              <w:rPr>
                <w:rFonts w:ascii="Arial Narrow" w:hAnsi="Arial Narrow"/>
                <w:sz w:val="21"/>
                <w:szCs w:val="21"/>
              </w:rPr>
              <w:t>%</w:t>
            </w:r>
          </w:p>
        </w:tc>
        <w:tc>
          <w:tcPr>
            <w:tcW w:w="715"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55.4</w:t>
            </w:r>
            <w:r w:rsidR="00D12820" w:rsidRPr="00B52104">
              <w:rPr>
                <w:rFonts w:ascii="Arial Narrow" w:hAnsi="Arial Narrow"/>
                <w:sz w:val="21"/>
                <w:szCs w:val="21"/>
              </w:rPr>
              <w:t>%</w:t>
            </w:r>
          </w:p>
        </w:tc>
        <w:tc>
          <w:tcPr>
            <w:tcW w:w="605"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58.9</w:t>
            </w:r>
            <w:r w:rsidR="00D12820" w:rsidRPr="00B52104">
              <w:rPr>
                <w:rFonts w:ascii="Arial Narrow" w:hAnsi="Arial Narrow"/>
                <w:sz w:val="21"/>
                <w:szCs w:val="21"/>
              </w:rPr>
              <w:t>%</w:t>
            </w:r>
          </w:p>
        </w:tc>
        <w:tc>
          <w:tcPr>
            <w:tcW w:w="604"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26.3</w:t>
            </w:r>
            <w:r w:rsidR="00D12820" w:rsidRPr="00B52104">
              <w:rPr>
                <w:rFonts w:ascii="Arial Narrow" w:hAnsi="Arial Narrow"/>
                <w:sz w:val="21"/>
                <w:szCs w:val="21"/>
              </w:rPr>
              <w:t>%</w:t>
            </w:r>
          </w:p>
        </w:tc>
        <w:tc>
          <w:tcPr>
            <w:tcW w:w="630"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33.5</w:t>
            </w:r>
            <w:r w:rsidR="00D12820" w:rsidRPr="00B52104">
              <w:rPr>
                <w:rFonts w:ascii="Arial Narrow" w:hAnsi="Arial Narrow"/>
                <w:sz w:val="21"/>
                <w:szCs w:val="21"/>
              </w:rPr>
              <w:t>%</w:t>
            </w:r>
          </w:p>
        </w:tc>
        <w:tc>
          <w:tcPr>
            <w:tcW w:w="689"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33.8</w:t>
            </w:r>
            <w:r w:rsidR="00D12820" w:rsidRPr="00B52104">
              <w:rPr>
                <w:rFonts w:ascii="Arial Narrow" w:hAnsi="Arial Narrow"/>
                <w:sz w:val="21"/>
                <w:szCs w:val="21"/>
              </w:rPr>
              <w:t>%</w:t>
            </w:r>
          </w:p>
        </w:tc>
      </w:tr>
      <w:tr w:rsidR="00B52104" w:rsidRPr="00B52104" w:rsidTr="00B52104">
        <w:trPr>
          <w:trHeight w:hRule="exact" w:val="332"/>
        </w:trPr>
        <w:tc>
          <w:tcPr>
            <w:tcW w:w="1153" w:type="pct"/>
            <w:tcBorders>
              <w:left w:val="single" w:sz="4" w:space="0" w:color="auto"/>
            </w:tcBorders>
            <w:vAlign w:val="center"/>
          </w:tcPr>
          <w:p w:rsidR="00CF4DBF" w:rsidRPr="00B52104" w:rsidRDefault="00CF4DBF" w:rsidP="00B52104">
            <w:pPr>
              <w:autoSpaceDE w:val="0"/>
              <w:autoSpaceDN w:val="0"/>
              <w:adjustRightInd w:val="0"/>
              <w:spacing w:line="240" w:lineRule="auto"/>
              <w:rPr>
                <w:rFonts w:ascii="Arial Narrow" w:hAnsi="Arial Narrow"/>
                <w:sz w:val="21"/>
                <w:szCs w:val="21"/>
              </w:rPr>
            </w:pPr>
            <w:r w:rsidRPr="00B52104">
              <w:rPr>
                <w:rFonts w:ascii="Arial Narrow" w:hAnsi="Arial Narrow"/>
                <w:sz w:val="21"/>
                <w:szCs w:val="21"/>
              </w:rPr>
              <w:t>Professional</w:t>
            </w:r>
            <w:r w:rsidR="00B52104">
              <w:rPr>
                <w:rFonts w:ascii="Arial Narrow" w:hAnsi="Arial Narrow"/>
                <w:sz w:val="21"/>
                <w:szCs w:val="21"/>
              </w:rPr>
              <w:t xml:space="preserve"> License</w:t>
            </w:r>
          </w:p>
        </w:tc>
        <w:tc>
          <w:tcPr>
            <w:tcW w:w="604"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w:t>
            </w:r>
          </w:p>
        </w:tc>
        <w:tc>
          <w:tcPr>
            <w:tcW w:w="715"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w:t>
            </w:r>
          </w:p>
        </w:tc>
        <w:tc>
          <w:tcPr>
            <w:tcW w:w="605"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w:t>
            </w:r>
          </w:p>
        </w:tc>
        <w:tc>
          <w:tcPr>
            <w:tcW w:w="604"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68.3</w:t>
            </w:r>
            <w:r w:rsidR="00D12820" w:rsidRPr="00B52104">
              <w:rPr>
                <w:rFonts w:ascii="Arial Narrow" w:hAnsi="Arial Narrow"/>
                <w:sz w:val="21"/>
                <w:szCs w:val="21"/>
              </w:rPr>
              <w:t>%</w:t>
            </w:r>
          </w:p>
        </w:tc>
        <w:tc>
          <w:tcPr>
            <w:tcW w:w="630"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54.1</w:t>
            </w:r>
            <w:r w:rsidR="00D12820" w:rsidRPr="00B52104">
              <w:rPr>
                <w:rFonts w:ascii="Arial Narrow" w:hAnsi="Arial Narrow"/>
                <w:sz w:val="21"/>
                <w:szCs w:val="21"/>
              </w:rPr>
              <w:t>%</w:t>
            </w:r>
          </w:p>
        </w:tc>
        <w:tc>
          <w:tcPr>
            <w:tcW w:w="689" w:type="pct"/>
            <w:vAlign w:val="center"/>
          </w:tcPr>
          <w:p w:rsidR="00CF4DBF" w:rsidRPr="00B52104" w:rsidRDefault="007F6178" w:rsidP="00B52104">
            <w:pPr>
              <w:autoSpaceDE w:val="0"/>
              <w:autoSpaceDN w:val="0"/>
              <w:adjustRightInd w:val="0"/>
              <w:spacing w:line="240" w:lineRule="auto"/>
              <w:jc w:val="center"/>
              <w:rPr>
                <w:rFonts w:ascii="Arial Narrow" w:hAnsi="Arial Narrow"/>
                <w:sz w:val="21"/>
                <w:szCs w:val="21"/>
              </w:rPr>
            </w:pPr>
            <w:r w:rsidRPr="00B52104">
              <w:rPr>
                <w:rFonts w:ascii="Arial Narrow" w:hAnsi="Arial Narrow"/>
                <w:sz w:val="21"/>
                <w:szCs w:val="21"/>
              </w:rPr>
              <w:t>55.6</w:t>
            </w:r>
            <w:r w:rsidR="00D12820" w:rsidRPr="00B52104">
              <w:rPr>
                <w:rFonts w:ascii="Arial Narrow" w:hAnsi="Arial Narrow"/>
                <w:sz w:val="21"/>
                <w:szCs w:val="21"/>
              </w:rPr>
              <w:t>%</w:t>
            </w:r>
          </w:p>
        </w:tc>
      </w:tr>
    </w:tbl>
    <w:p w:rsidR="00CF4DBF" w:rsidRDefault="00CF4DBF" w:rsidP="0040232F">
      <w:pPr>
        <w:spacing w:line="240" w:lineRule="auto"/>
      </w:pPr>
    </w:p>
    <w:p w:rsidR="00E678D8" w:rsidRDefault="00E678D8" w:rsidP="007F03D4">
      <w:pPr>
        <w:pStyle w:val="Heading2"/>
      </w:pPr>
      <w:bookmarkStart w:id="9" w:name="_Toc374114885"/>
      <w:r>
        <w:t>Teacher Preparation Programs</w:t>
      </w:r>
      <w:bookmarkEnd w:id="9"/>
    </w:p>
    <w:p w:rsidR="00CA5C7F" w:rsidRDefault="00E678D8" w:rsidP="0040232F">
      <w:pPr>
        <w:spacing w:line="240" w:lineRule="auto"/>
        <w:rPr>
          <w:rFonts w:ascii="Times New Roman" w:hAnsi="Times New Roman"/>
        </w:rPr>
      </w:pPr>
      <w:r w:rsidRPr="0040232F">
        <w:rPr>
          <w:rFonts w:ascii="Times New Roman" w:hAnsi="Times New Roman"/>
        </w:rPr>
        <w:t>In the 2011-</w:t>
      </w:r>
      <w:r w:rsidR="00A477DB">
        <w:rPr>
          <w:rFonts w:ascii="Times New Roman" w:hAnsi="Times New Roman"/>
        </w:rPr>
        <w:t>20</w:t>
      </w:r>
      <w:r w:rsidRPr="0040232F">
        <w:rPr>
          <w:rFonts w:ascii="Times New Roman" w:hAnsi="Times New Roman"/>
        </w:rPr>
        <w:t xml:space="preserve">12 school </w:t>
      </w:r>
      <w:proofErr w:type="gramStart"/>
      <w:r w:rsidRPr="0040232F">
        <w:rPr>
          <w:rFonts w:ascii="Times New Roman" w:hAnsi="Times New Roman"/>
        </w:rPr>
        <w:t>year</w:t>
      </w:r>
      <w:proofErr w:type="gramEnd"/>
      <w:r w:rsidRPr="0040232F">
        <w:rPr>
          <w:rFonts w:ascii="Times New Roman" w:hAnsi="Times New Roman"/>
        </w:rPr>
        <w:t xml:space="preserve">, </w:t>
      </w:r>
      <w:r w:rsidR="00671B84" w:rsidRPr="0040232F">
        <w:rPr>
          <w:rFonts w:ascii="Times New Roman" w:hAnsi="Times New Roman"/>
        </w:rPr>
        <w:t xml:space="preserve">about </w:t>
      </w:r>
      <w:r w:rsidR="007A1B51" w:rsidRPr="0040232F">
        <w:rPr>
          <w:rFonts w:ascii="Times New Roman" w:hAnsi="Times New Roman"/>
        </w:rPr>
        <w:t xml:space="preserve">4,700 </w:t>
      </w:r>
      <w:r w:rsidRPr="0040232F">
        <w:rPr>
          <w:rFonts w:ascii="Times New Roman" w:hAnsi="Times New Roman"/>
        </w:rPr>
        <w:t>teachers completed a Massachusetts teacher preparation program for an initial teaching license.</w:t>
      </w:r>
      <w:r w:rsidR="00CA5C7F" w:rsidRPr="0040232F">
        <w:rPr>
          <w:rFonts w:ascii="Times New Roman" w:hAnsi="Times New Roman"/>
        </w:rPr>
        <w:t xml:space="preserve"> </w:t>
      </w:r>
      <w:r w:rsidR="00463211" w:rsidRPr="0040232F">
        <w:rPr>
          <w:rFonts w:ascii="Times New Roman" w:hAnsi="Times New Roman"/>
        </w:rPr>
        <w:t>Table</w:t>
      </w:r>
      <w:r w:rsidR="008C1AFD" w:rsidRPr="0040232F">
        <w:rPr>
          <w:rFonts w:ascii="Times New Roman" w:hAnsi="Times New Roman"/>
        </w:rPr>
        <w:t xml:space="preserve"> </w:t>
      </w:r>
      <w:r w:rsidR="00666473" w:rsidRPr="0040232F">
        <w:rPr>
          <w:rFonts w:ascii="Times New Roman" w:hAnsi="Times New Roman"/>
        </w:rPr>
        <w:t>2.</w:t>
      </w:r>
      <w:r w:rsidR="00B91D2A" w:rsidRPr="0040232F">
        <w:rPr>
          <w:rFonts w:ascii="Times New Roman" w:hAnsi="Times New Roman"/>
        </w:rPr>
        <w:t>6</w:t>
      </w:r>
      <w:r w:rsidR="008C1AFD" w:rsidRPr="0040232F">
        <w:rPr>
          <w:rFonts w:ascii="Times New Roman" w:hAnsi="Times New Roman"/>
        </w:rPr>
        <w:t xml:space="preserve"> shows the breakdown of these completers by the type of organization in which they were prepared</w:t>
      </w:r>
      <w:r w:rsidR="00482E3F" w:rsidRPr="0040232F">
        <w:rPr>
          <w:rFonts w:ascii="Times New Roman" w:hAnsi="Times New Roman"/>
        </w:rPr>
        <w:t xml:space="preserve">. </w:t>
      </w:r>
      <w:r w:rsidR="0096746B" w:rsidRPr="0040232F">
        <w:rPr>
          <w:rFonts w:ascii="Times New Roman" w:hAnsi="Times New Roman"/>
        </w:rPr>
        <w:t>Of the 80 educator preparation organizations in Massachusetts</w:t>
      </w:r>
      <w:r w:rsidR="002E4C2A" w:rsidRPr="0040232F">
        <w:rPr>
          <w:rFonts w:ascii="Times New Roman" w:hAnsi="Times New Roman"/>
        </w:rPr>
        <w:t>, 57</w:t>
      </w:r>
      <w:r w:rsidR="0096746B" w:rsidRPr="0040232F">
        <w:rPr>
          <w:rFonts w:ascii="Times New Roman" w:hAnsi="Times New Roman"/>
        </w:rPr>
        <w:t xml:space="preserve"> are colleges or universities</w:t>
      </w:r>
      <w:r w:rsidR="0063090F" w:rsidRPr="0040232F">
        <w:rPr>
          <w:rFonts w:ascii="Times New Roman" w:hAnsi="Times New Roman"/>
        </w:rPr>
        <w:t>.</w:t>
      </w:r>
      <w:r w:rsidR="0096746B" w:rsidRPr="0040232F">
        <w:rPr>
          <w:rFonts w:ascii="Times New Roman" w:hAnsi="Times New Roman"/>
        </w:rPr>
        <w:t xml:space="preserve"> </w:t>
      </w:r>
      <w:r w:rsidR="0063090F" w:rsidRPr="0040232F">
        <w:rPr>
          <w:rFonts w:ascii="Times New Roman" w:hAnsi="Times New Roman"/>
        </w:rPr>
        <w:t>T</w:t>
      </w:r>
      <w:r w:rsidR="002E4C2A" w:rsidRPr="0040232F">
        <w:rPr>
          <w:rFonts w:ascii="Times New Roman" w:hAnsi="Times New Roman"/>
        </w:rPr>
        <w:t xml:space="preserve">he </w:t>
      </w:r>
      <w:r w:rsidR="00531CA2" w:rsidRPr="0040232F">
        <w:rPr>
          <w:rFonts w:ascii="Times New Roman" w:hAnsi="Times New Roman"/>
        </w:rPr>
        <w:t xml:space="preserve">remaining </w:t>
      </w:r>
      <w:r w:rsidR="002E4C2A" w:rsidRPr="0040232F">
        <w:rPr>
          <w:rFonts w:ascii="Times New Roman" w:hAnsi="Times New Roman"/>
        </w:rPr>
        <w:t>23</w:t>
      </w:r>
      <w:r w:rsidR="0096746B" w:rsidRPr="0040232F">
        <w:rPr>
          <w:rFonts w:ascii="Times New Roman" w:hAnsi="Times New Roman"/>
        </w:rPr>
        <w:t xml:space="preserve"> non-higher education organizations</w:t>
      </w:r>
      <w:r w:rsidR="005B11D8" w:rsidRPr="0040232F">
        <w:rPr>
          <w:rFonts w:ascii="Times New Roman" w:hAnsi="Times New Roman"/>
        </w:rPr>
        <w:t xml:space="preserve"> include</w:t>
      </w:r>
      <w:r w:rsidR="00BC5E21" w:rsidRPr="0040232F">
        <w:rPr>
          <w:rFonts w:ascii="Times New Roman" w:hAnsi="Times New Roman"/>
        </w:rPr>
        <w:t xml:space="preserve"> </w:t>
      </w:r>
      <w:r w:rsidR="00756E36" w:rsidRPr="0040232F">
        <w:rPr>
          <w:rFonts w:ascii="Times New Roman" w:hAnsi="Times New Roman"/>
        </w:rPr>
        <w:t xml:space="preserve">9 private organizations, </w:t>
      </w:r>
      <w:r w:rsidR="00BC5E21" w:rsidRPr="0040232F">
        <w:rPr>
          <w:rFonts w:ascii="Times New Roman" w:hAnsi="Times New Roman"/>
        </w:rPr>
        <w:t>5 collaboratives,</w:t>
      </w:r>
      <w:r w:rsidR="0096746B" w:rsidRPr="0040232F">
        <w:rPr>
          <w:rFonts w:ascii="Times New Roman" w:hAnsi="Times New Roman"/>
        </w:rPr>
        <w:t xml:space="preserve"> 3 charter schools, </w:t>
      </w:r>
      <w:r w:rsidR="00BC5E21" w:rsidRPr="0040232F">
        <w:rPr>
          <w:rFonts w:ascii="Times New Roman" w:hAnsi="Times New Roman"/>
        </w:rPr>
        <w:t>3</w:t>
      </w:r>
      <w:r w:rsidR="0096746B" w:rsidRPr="0040232F">
        <w:rPr>
          <w:rFonts w:ascii="Times New Roman" w:hAnsi="Times New Roman"/>
        </w:rPr>
        <w:t xml:space="preserve"> public school districts</w:t>
      </w:r>
      <w:r w:rsidR="00756E36" w:rsidRPr="0040232F">
        <w:rPr>
          <w:rFonts w:ascii="Times New Roman" w:hAnsi="Times New Roman"/>
        </w:rPr>
        <w:t>, 2 professional associations</w:t>
      </w:r>
      <w:r w:rsidR="0096746B" w:rsidRPr="0040232F">
        <w:rPr>
          <w:rFonts w:ascii="Times New Roman" w:hAnsi="Times New Roman"/>
        </w:rPr>
        <w:t xml:space="preserve"> and one private school. </w:t>
      </w:r>
      <w:r w:rsidR="00463211" w:rsidRPr="0040232F">
        <w:rPr>
          <w:rFonts w:ascii="Times New Roman" w:hAnsi="Times New Roman"/>
        </w:rPr>
        <w:t xml:space="preserve"> </w:t>
      </w:r>
    </w:p>
    <w:p w:rsidR="006E5F4C" w:rsidRPr="0040232F" w:rsidRDefault="006E5F4C" w:rsidP="0040232F">
      <w:pPr>
        <w:spacing w:line="240" w:lineRule="auto"/>
        <w:rPr>
          <w:rFonts w:ascii="Times New Roman" w:hAnsi="Times New Roman"/>
        </w:rPr>
      </w:pPr>
    </w:p>
    <w:p w:rsidR="002C71D4" w:rsidRDefault="002C71D4">
      <w:pPr>
        <w:spacing w:line="240" w:lineRule="auto"/>
        <w:rPr>
          <w:rFonts w:ascii="Arial" w:hAnsi="Arial" w:cs="Arial"/>
          <w:b/>
          <w:bCs/>
          <w:iCs/>
          <w:sz w:val="21"/>
          <w:szCs w:val="21"/>
        </w:rPr>
      </w:pPr>
      <w:r>
        <w:rPr>
          <w:i/>
          <w:sz w:val="21"/>
          <w:szCs w:val="21"/>
        </w:rPr>
        <w:br w:type="page"/>
      </w:r>
    </w:p>
    <w:p w:rsidR="00CA5C7F" w:rsidRPr="00446709" w:rsidRDefault="004A4B43" w:rsidP="00446709">
      <w:pPr>
        <w:pStyle w:val="Heading2"/>
        <w:spacing w:line="240" w:lineRule="auto"/>
        <w:rPr>
          <w:i w:val="0"/>
          <w:sz w:val="21"/>
          <w:szCs w:val="21"/>
        </w:rPr>
      </w:pPr>
      <w:r w:rsidRPr="00446709">
        <w:rPr>
          <w:i w:val="0"/>
          <w:sz w:val="21"/>
          <w:szCs w:val="21"/>
        </w:rPr>
        <w:t>Table</w:t>
      </w:r>
      <w:r w:rsidR="00CA5C7F" w:rsidRPr="00446709">
        <w:rPr>
          <w:i w:val="0"/>
          <w:sz w:val="21"/>
          <w:szCs w:val="21"/>
        </w:rPr>
        <w:t xml:space="preserve"> </w:t>
      </w:r>
      <w:r w:rsidR="005D6666" w:rsidRPr="00446709">
        <w:rPr>
          <w:i w:val="0"/>
          <w:sz w:val="21"/>
          <w:szCs w:val="21"/>
        </w:rPr>
        <w:t>2.</w:t>
      </w:r>
      <w:r w:rsidR="00B91D2A" w:rsidRPr="00446709">
        <w:rPr>
          <w:i w:val="0"/>
          <w:sz w:val="21"/>
          <w:szCs w:val="21"/>
        </w:rPr>
        <w:t>6</w:t>
      </w:r>
      <w:r w:rsidR="00CA5C7F" w:rsidRPr="00446709">
        <w:rPr>
          <w:i w:val="0"/>
          <w:sz w:val="21"/>
          <w:szCs w:val="21"/>
        </w:rPr>
        <w:t xml:space="preserve">: </w:t>
      </w:r>
      <w:r w:rsidR="00433E5F">
        <w:rPr>
          <w:i w:val="0"/>
          <w:sz w:val="21"/>
          <w:szCs w:val="21"/>
        </w:rPr>
        <w:t>Percent</w:t>
      </w:r>
      <w:r w:rsidR="00433E5F" w:rsidRPr="00446709">
        <w:rPr>
          <w:i w:val="0"/>
          <w:sz w:val="21"/>
          <w:szCs w:val="21"/>
        </w:rPr>
        <w:t xml:space="preserve"> </w:t>
      </w:r>
      <w:r w:rsidR="00CA5C7F" w:rsidRPr="00446709">
        <w:rPr>
          <w:i w:val="0"/>
          <w:sz w:val="21"/>
          <w:szCs w:val="21"/>
        </w:rPr>
        <w:t xml:space="preserve">of </w:t>
      </w:r>
      <w:r w:rsidR="00423318" w:rsidRPr="00446709">
        <w:rPr>
          <w:i w:val="0"/>
          <w:sz w:val="21"/>
          <w:szCs w:val="21"/>
        </w:rPr>
        <w:t>2011</w:t>
      </w:r>
      <w:r w:rsidR="00CA5C7F" w:rsidRPr="00446709">
        <w:rPr>
          <w:i w:val="0"/>
          <w:sz w:val="21"/>
          <w:szCs w:val="21"/>
        </w:rPr>
        <w:t>-1</w:t>
      </w:r>
      <w:r w:rsidR="00423318" w:rsidRPr="00446709">
        <w:rPr>
          <w:i w:val="0"/>
          <w:sz w:val="21"/>
          <w:szCs w:val="21"/>
        </w:rPr>
        <w:t>2</w:t>
      </w:r>
      <w:r w:rsidR="00CA5C7F" w:rsidRPr="00446709">
        <w:rPr>
          <w:i w:val="0"/>
          <w:sz w:val="21"/>
          <w:szCs w:val="21"/>
        </w:rPr>
        <w:t xml:space="preserve"> Teacher Preparation Program Completers by Organization Type</w:t>
      </w:r>
    </w:p>
    <w:tbl>
      <w:tblPr>
        <w:tblStyle w:val="TableGrid"/>
        <w:tblW w:w="0" w:type="auto"/>
        <w:tblInd w:w="198" w:type="dxa"/>
        <w:tblLayout w:type="fixed"/>
        <w:tblLook w:val="04A0"/>
      </w:tblPr>
      <w:tblGrid>
        <w:gridCol w:w="5130"/>
        <w:gridCol w:w="1260"/>
      </w:tblGrid>
      <w:tr w:rsidR="004A4B43" w:rsidRPr="006E5F4C" w:rsidTr="006E5F4C">
        <w:tc>
          <w:tcPr>
            <w:tcW w:w="5130" w:type="dxa"/>
            <w:shd w:val="clear" w:color="auto" w:fill="D9D9D9" w:themeFill="background1" w:themeFillShade="D9"/>
            <w:vAlign w:val="center"/>
          </w:tcPr>
          <w:p w:rsidR="004A4B43" w:rsidRPr="006E5F4C" w:rsidRDefault="00E678D8" w:rsidP="0040232F">
            <w:pPr>
              <w:spacing w:line="240" w:lineRule="auto"/>
              <w:jc w:val="center"/>
              <w:rPr>
                <w:rFonts w:ascii="Arial Narrow" w:hAnsi="Arial Narrow"/>
                <w:b/>
                <w:sz w:val="21"/>
                <w:szCs w:val="21"/>
              </w:rPr>
            </w:pPr>
            <w:r w:rsidRPr="006E5F4C">
              <w:rPr>
                <w:rFonts w:ascii="Arial Narrow" w:hAnsi="Arial Narrow"/>
                <w:sz w:val="21"/>
                <w:szCs w:val="21"/>
              </w:rPr>
              <w:t xml:space="preserve"> </w:t>
            </w:r>
            <w:r w:rsidR="004A4B43" w:rsidRPr="006E5F4C">
              <w:rPr>
                <w:rFonts w:ascii="Arial Narrow" w:hAnsi="Arial Narrow"/>
                <w:b/>
                <w:sz w:val="21"/>
                <w:szCs w:val="21"/>
              </w:rPr>
              <w:t>Organization Type</w:t>
            </w:r>
          </w:p>
        </w:tc>
        <w:tc>
          <w:tcPr>
            <w:tcW w:w="1260" w:type="dxa"/>
            <w:shd w:val="clear" w:color="auto" w:fill="D9D9D9" w:themeFill="background1" w:themeFillShade="D9"/>
            <w:vAlign w:val="center"/>
          </w:tcPr>
          <w:p w:rsidR="004A4B43" w:rsidRPr="006E5F4C" w:rsidRDefault="004A4B43" w:rsidP="0040232F">
            <w:pPr>
              <w:spacing w:line="240" w:lineRule="auto"/>
              <w:jc w:val="center"/>
              <w:rPr>
                <w:rFonts w:ascii="Arial Narrow" w:hAnsi="Arial Narrow"/>
                <w:b/>
                <w:sz w:val="21"/>
                <w:szCs w:val="21"/>
              </w:rPr>
            </w:pPr>
            <w:r w:rsidRPr="006E5F4C">
              <w:rPr>
                <w:rFonts w:ascii="Arial Narrow" w:hAnsi="Arial Narrow"/>
                <w:b/>
                <w:sz w:val="21"/>
                <w:szCs w:val="21"/>
              </w:rPr>
              <w:t>Percent of Program Completers</w:t>
            </w:r>
          </w:p>
        </w:tc>
      </w:tr>
      <w:tr w:rsidR="004A4B43" w:rsidRPr="006E5F4C" w:rsidTr="006E5F4C">
        <w:trPr>
          <w:trHeight w:val="305"/>
        </w:trPr>
        <w:tc>
          <w:tcPr>
            <w:tcW w:w="5130" w:type="dxa"/>
            <w:vAlign w:val="center"/>
          </w:tcPr>
          <w:p w:rsidR="004A4B43" w:rsidRPr="006E5F4C" w:rsidRDefault="004A4B43" w:rsidP="006E5F4C">
            <w:pPr>
              <w:spacing w:line="240" w:lineRule="auto"/>
              <w:rPr>
                <w:rFonts w:ascii="Arial Narrow" w:hAnsi="Arial Narrow"/>
                <w:sz w:val="21"/>
                <w:szCs w:val="21"/>
              </w:rPr>
            </w:pPr>
            <w:r w:rsidRPr="006E5F4C">
              <w:rPr>
                <w:rFonts w:ascii="Arial Narrow" w:hAnsi="Arial Narrow"/>
                <w:sz w:val="21"/>
                <w:szCs w:val="21"/>
              </w:rPr>
              <w:t>Private College or University</w:t>
            </w:r>
          </w:p>
        </w:tc>
        <w:tc>
          <w:tcPr>
            <w:tcW w:w="1260" w:type="dxa"/>
            <w:vAlign w:val="center"/>
          </w:tcPr>
          <w:p w:rsidR="004A4B43" w:rsidRPr="006E5F4C" w:rsidRDefault="00AC4667" w:rsidP="006E5F4C">
            <w:pPr>
              <w:spacing w:line="240" w:lineRule="auto"/>
              <w:jc w:val="center"/>
              <w:rPr>
                <w:rFonts w:ascii="Arial Narrow" w:hAnsi="Arial Narrow"/>
                <w:sz w:val="21"/>
                <w:szCs w:val="21"/>
              </w:rPr>
            </w:pPr>
            <w:r w:rsidRPr="006E5F4C">
              <w:rPr>
                <w:rFonts w:ascii="Arial Narrow" w:hAnsi="Arial Narrow"/>
                <w:sz w:val="21"/>
                <w:szCs w:val="21"/>
              </w:rPr>
              <w:t>55.7</w:t>
            </w:r>
            <w:r w:rsidR="006E5F4C" w:rsidRPr="006E5F4C">
              <w:rPr>
                <w:rFonts w:ascii="Arial Narrow" w:hAnsi="Arial Narrow"/>
                <w:sz w:val="21"/>
                <w:szCs w:val="21"/>
              </w:rPr>
              <w:t>%</w:t>
            </w:r>
          </w:p>
        </w:tc>
      </w:tr>
      <w:tr w:rsidR="004A4B43" w:rsidRPr="006E5F4C" w:rsidTr="006E5F4C">
        <w:trPr>
          <w:trHeight w:val="350"/>
        </w:trPr>
        <w:tc>
          <w:tcPr>
            <w:tcW w:w="5130" w:type="dxa"/>
            <w:vAlign w:val="center"/>
          </w:tcPr>
          <w:p w:rsidR="004A4B43" w:rsidRPr="006E5F4C" w:rsidRDefault="00F15E78" w:rsidP="006E5F4C">
            <w:pPr>
              <w:spacing w:line="240" w:lineRule="auto"/>
              <w:rPr>
                <w:rFonts w:ascii="Arial Narrow" w:hAnsi="Arial Narrow"/>
                <w:sz w:val="21"/>
                <w:szCs w:val="21"/>
              </w:rPr>
            </w:pPr>
            <w:r w:rsidRPr="006E5F4C">
              <w:rPr>
                <w:rFonts w:ascii="Arial Narrow" w:hAnsi="Arial Narrow"/>
                <w:sz w:val="21"/>
                <w:szCs w:val="21"/>
              </w:rPr>
              <w:t>Public Higher Education</w:t>
            </w:r>
            <w:r w:rsidR="004A4B43" w:rsidRPr="006E5F4C">
              <w:rPr>
                <w:rFonts w:ascii="Arial Narrow" w:hAnsi="Arial Narrow"/>
                <w:sz w:val="21"/>
                <w:szCs w:val="21"/>
              </w:rPr>
              <w:t xml:space="preserve"> System—State University </w:t>
            </w:r>
            <w:r w:rsidRPr="006E5F4C">
              <w:rPr>
                <w:rFonts w:ascii="Arial Narrow" w:hAnsi="Arial Narrow"/>
                <w:sz w:val="21"/>
                <w:szCs w:val="21"/>
              </w:rPr>
              <w:t>Institution</w:t>
            </w:r>
          </w:p>
        </w:tc>
        <w:tc>
          <w:tcPr>
            <w:tcW w:w="1260" w:type="dxa"/>
            <w:vAlign w:val="center"/>
          </w:tcPr>
          <w:p w:rsidR="004A4B43" w:rsidRPr="006E5F4C" w:rsidRDefault="00F15E78" w:rsidP="006E5F4C">
            <w:pPr>
              <w:spacing w:line="240" w:lineRule="auto"/>
              <w:jc w:val="center"/>
              <w:rPr>
                <w:rFonts w:ascii="Arial Narrow" w:hAnsi="Arial Narrow"/>
                <w:sz w:val="21"/>
                <w:szCs w:val="21"/>
              </w:rPr>
            </w:pPr>
            <w:r w:rsidRPr="006E5F4C">
              <w:rPr>
                <w:rFonts w:ascii="Arial Narrow" w:hAnsi="Arial Narrow"/>
                <w:sz w:val="21"/>
                <w:szCs w:val="21"/>
              </w:rPr>
              <w:t>26.2</w:t>
            </w:r>
            <w:r w:rsidR="006E5F4C" w:rsidRPr="006E5F4C">
              <w:rPr>
                <w:rFonts w:ascii="Arial Narrow" w:hAnsi="Arial Narrow"/>
                <w:sz w:val="21"/>
                <w:szCs w:val="21"/>
              </w:rPr>
              <w:t>%</w:t>
            </w:r>
          </w:p>
        </w:tc>
      </w:tr>
      <w:tr w:rsidR="004A4B43" w:rsidRPr="006E5F4C" w:rsidTr="006E5F4C">
        <w:trPr>
          <w:trHeight w:val="350"/>
        </w:trPr>
        <w:tc>
          <w:tcPr>
            <w:tcW w:w="5130" w:type="dxa"/>
            <w:vAlign w:val="center"/>
          </w:tcPr>
          <w:p w:rsidR="004A4B43" w:rsidRPr="006E5F4C" w:rsidRDefault="00F15E78" w:rsidP="006E5F4C">
            <w:pPr>
              <w:spacing w:line="240" w:lineRule="auto"/>
              <w:rPr>
                <w:rFonts w:ascii="Arial Narrow" w:hAnsi="Arial Narrow"/>
                <w:sz w:val="21"/>
                <w:szCs w:val="21"/>
              </w:rPr>
            </w:pPr>
            <w:r w:rsidRPr="006E5F4C">
              <w:rPr>
                <w:rFonts w:ascii="Arial Narrow" w:hAnsi="Arial Narrow"/>
                <w:sz w:val="21"/>
                <w:szCs w:val="21"/>
              </w:rPr>
              <w:t>Public Higher Education</w:t>
            </w:r>
            <w:r w:rsidR="004A4B43" w:rsidRPr="006E5F4C">
              <w:rPr>
                <w:rFonts w:ascii="Arial Narrow" w:hAnsi="Arial Narrow"/>
                <w:sz w:val="21"/>
                <w:szCs w:val="21"/>
              </w:rPr>
              <w:t xml:space="preserve"> System—UMass Institution</w:t>
            </w:r>
          </w:p>
        </w:tc>
        <w:tc>
          <w:tcPr>
            <w:tcW w:w="1260" w:type="dxa"/>
            <w:vAlign w:val="center"/>
          </w:tcPr>
          <w:p w:rsidR="004A4B43" w:rsidRPr="006E5F4C" w:rsidRDefault="00F15E78" w:rsidP="006E5F4C">
            <w:pPr>
              <w:spacing w:line="240" w:lineRule="auto"/>
              <w:jc w:val="center"/>
              <w:rPr>
                <w:rFonts w:ascii="Arial Narrow" w:hAnsi="Arial Narrow"/>
                <w:sz w:val="21"/>
                <w:szCs w:val="21"/>
              </w:rPr>
            </w:pPr>
            <w:r w:rsidRPr="006E5F4C">
              <w:rPr>
                <w:rFonts w:ascii="Arial Narrow" w:hAnsi="Arial Narrow"/>
                <w:sz w:val="21"/>
                <w:szCs w:val="21"/>
              </w:rPr>
              <w:t>10.5</w:t>
            </w:r>
            <w:r w:rsidR="006E5F4C" w:rsidRPr="006E5F4C">
              <w:rPr>
                <w:rFonts w:ascii="Arial Narrow" w:hAnsi="Arial Narrow"/>
                <w:sz w:val="21"/>
                <w:szCs w:val="21"/>
              </w:rPr>
              <w:t>%</w:t>
            </w:r>
          </w:p>
        </w:tc>
      </w:tr>
      <w:tr w:rsidR="004A4B43" w:rsidRPr="006E5F4C" w:rsidTr="006E5F4C">
        <w:trPr>
          <w:trHeight w:val="350"/>
        </w:trPr>
        <w:tc>
          <w:tcPr>
            <w:tcW w:w="5130" w:type="dxa"/>
            <w:vAlign w:val="center"/>
          </w:tcPr>
          <w:p w:rsidR="004A4B43" w:rsidRPr="006E5F4C" w:rsidRDefault="00F15E78" w:rsidP="006E5F4C">
            <w:pPr>
              <w:spacing w:line="240" w:lineRule="auto"/>
              <w:rPr>
                <w:rFonts w:ascii="Arial Narrow" w:hAnsi="Arial Narrow"/>
                <w:sz w:val="21"/>
                <w:szCs w:val="21"/>
              </w:rPr>
            </w:pPr>
            <w:r w:rsidRPr="006E5F4C">
              <w:rPr>
                <w:rFonts w:ascii="Arial Narrow" w:hAnsi="Arial Narrow"/>
                <w:sz w:val="21"/>
                <w:szCs w:val="21"/>
              </w:rPr>
              <w:t>Non-Higher Education Organization</w:t>
            </w:r>
          </w:p>
        </w:tc>
        <w:tc>
          <w:tcPr>
            <w:tcW w:w="1260" w:type="dxa"/>
            <w:vAlign w:val="center"/>
          </w:tcPr>
          <w:p w:rsidR="004A4B43" w:rsidRPr="006E5F4C" w:rsidRDefault="00AC4667" w:rsidP="006E5F4C">
            <w:pPr>
              <w:spacing w:line="240" w:lineRule="auto"/>
              <w:jc w:val="center"/>
              <w:rPr>
                <w:rFonts w:ascii="Arial Narrow" w:hAnsi="Arial Narrow"/>
                <w:sz w:val="21"/>
                <w:szCs w:val="21"/>
              </w:rPr>
            </w:pPr>
            <w:r w:rsidRPr="006E5F4C">
              <w:rPr>
                <w:rFonts w:ascii="Arial Narrow" w:hAnsi="Arial Narrow"/>
                <w:sz w:val="21"/>
                <w:szCs w:val="21"/>
              </w:rPr>
              <w:t>7</w:t>
            </w:r>
            <w:r w:rsidR="00F15E78" w:rsidRPr="006E5F4C">
              <w:rPr>
                <w:rFonts w:ascii="Arial Narrow" w:hAnsi="Arial Narrow"/>
                <w:sz w:val="21"/>
                <w:szCs w:val="21"/>
              </w:rPr>
              <w:t>.7</w:t>
            </w:r>
            <w:r w:rsidR="006E5F4C" w:rsidRPr="006E5F4C">
              <w:rPr>
                <w:rFonts w:ascii="Arial Narrow" w:hAnsi="Arial Narrow"/>
                <w:sz w:val="21"/>
                <w:szCs w:val="21"/>
              </w:rPr>
              <w:t>%</w:t>
            </w:r>
          </w:p>
        </w:tc>
      </w:tr>
    </w:tbl>
    <w:p w:rsidR="006E5F4C" w:rsidRDefault="006E5F4C" w:rsidP="0040232F">
      <w:pPr>
        <w:spacing w:line="240" w:lineRule="auto"/>
        <w:rPr>
          <w:rFonts w:ascii="Times New Roman" w:hAnsi="Times New Roman"/>
        </w:rPr>
      </w:pPr>
    </w:p>
    <w:p w:rsidR="00DF1EFD" w:rsidRDefault="00DF1EFD" w:rsidP="0040232F">
      <w:pPr>
        <w:spacing w:line="240" w:lineRule="auto"/>
        <w:rPr>
          <w:rFonts w:ascii="Times New Roman" w:hAnsi="Times New Roman"/>
        </w:rPr>
      </w:pPr>
    </w:p>
    <w:p w:rsidR="008345D6" w:rsidRDefault="0096746B" w:rsidP="0040232F">
      <w:pPr>
        <w:spacing w:line="240" w:lineRule="auto"/>
        <w:rPr>
          <w:rFonts w:ascii="Times New Roman" w:hAnsi="Times New Roman"/>
        </w:rPr>
      </w:pPr>
      <w:r w:rsidRPr="0040232F">
        <w:rPr>
          <w:rFonts w:ascii="Times New Roman" w:hAnsi="Times New Roman"/>
        </w:rPr>
        <w:t>Non-higher education org</w:t>
      </w:r>
      <w:r w:rsidR="00137107" w:rsidRPr="0040232F">
        <w:rPr>
          <w:rFonts w:ascii="Times New Roman" w:hAnsi="Times New Roman"/>
        </w:rPr>
        <w:t xml:space="preserve">anizations </w:t>
      </w:r>
      <w:r w:rsidRPr="0040232F">
        <w:rPr>
          <w:rFonts w:ascii="Times New Roman" w:hAnsi="Times New Roman"/>
        </w:rPr>
        <w:t>typically offer alternative preparation routes through which teachers can earn their teaching credential</w:t>
      </w:r>
      <w:r w:rsidR="00A477DB">
        <w:rPr>
          <w:rFonts w:ascii="Times New Roman" w:hAnsi="Times New Roman"/>
        </w:rPr>
        <w:t>s</w:t>
      </w:r>
      <w:r w:rsidRPr="0040232F">
        <w:rPr>
          <w:rFonts w:ascii="Times New Roman" w:hAnsi="Times New Roman"/>
        </w:rPr>
        <w:t xml:space="preserve"> while wo</w:t>
      </w:r>
      <w:r w:rsidR="00EC0E37" w:rsidRPr="0040232F">
        <w:rPr>
          <w:rFonts w:ascii="Times New Roman" w:hAnsi="Times New Roman"/>
        </w:rPr>
        <w:t>rking as a teacher. As Chart 2.1</w:t>
      </w:r>
      <w:r w:rsidRPr="0040232F">
        <w:rPr>
          <w:rFonts w:ascii="Times New Roman" w:hAnsi="Times New Roman"/>
        </w:rPr>
        <w:t xml:space="preserve"> shows, t</w:t>
      </w:r>
      <w:r w:rsidR="00FE727C" w:rsidRPr="0040232F">
        <w:rPr>
          <w:rFonts w:ascii="Times New Roman" w:hAnsi="Times New Roman"/>
        </w:rPr>
        <w:t>hese</w:t>
      </w:r>
      <w:r w:rsidR="008345D6" w:rsidRPr="0040232F">
        <w:rPr>
          <w:rFonts w:ascii="Times New Roman" w:hAnsi="Times New Roman"/>
        </w:rPr>
        <w:t xml:space="preserve"> alternative programs are </w:t>
      </w:r>
      <w:r w:rsidR="005D6666" w:rsidRPr="0040232F">
        <w:rPr>
          <w:rFonts w:ascii="Times New Roman" w:hAnsi="Times New Roman"/>
        </w:rPr>
        <w:t>enrolling</w:t>
      </w:r>
      <w:r w:rsidR="008345D6" w:rsidRPr="0040232F">
        <w:rPr>
          <w:rFonts w:ascii="Times New Roman" w:hAnsi="Times New Roman"/>
        </w:rPr>
        <w:t xml:space="preserve"> a disproportionately large number of </w:t>
      </w:r>
      <w:r w:rsidR="00973B48" w:rsidRPr="0040232F">
        <w:rPr>
          <w:rFonts w:ascii="Times New Roman" w:hAnsi="Times New Roman"/>
        </w:rPr>
        <w:t xml:space="preserve">teachers of color </w:t>
      </w:r>
      <w:r w:rsidR="008345D6" w:rsidRPr="0040232F">
        <w:rPr>
          <w:rFonts w:ascii="Times New Roman" w:hAnsi="Times New Roman"/>
        </w:rPr>
        <w:t xml:space="preserve">and male teachers and teachers in </w:t>
      </w:r>
      <w:r w:rsidR="00941904" w:rsidRPr="0040232F">
        <w:rPr>
          <w:rFonts w:ascii="Times New Roman" w:hAnsi="Times New Roman"/>
        </w:rPr>
        <w:t>shortage</w:t>
      </w:r>
      <w:r w:rsidR="008345D6" w:rsidRPr="0040232F">
        <w:rPr>
          <w:rFonts w:ascii="Times New Roman" w:hAnsi="Times New Roman"/>
        </w:rPr>
        <w:t xml:space="preserve"> subject areas</w:t>
      </w:r>
      <w:r w:rsidR="00424392" w:rsidRPr="0040232F">
        <w:rPr>
          <w:rFonts w:ascii="Times New Roman" w:hAnsi="Times New Roman"/>
        </w:rPr>
        <w:t xml:space="preserve">—higher than </w:t>
      </w:r>
      <w:r w:rsidR="00142BF5" w:rsidRPr="0040232F">
        <w:rPr>
          <w:rFonts w:ascii="Times New Roman" w:hAnsi="Times New Roman"/>
        </w:rPr>
        <w:t xml:space="preserve">the proportion of </w:t>
      </w:r>
      <w:r w:rsidR="00973B48" w:rsidRPr="0040232F">
        <w:rPr>
          <w:rFonts w:ascii="Times New Roman" w:hAnsi="Times New Roman"/>
        </w:rPr>
        <w:t xml:space="preserve">these </w:t>
      </w:r>
      <w:r w:rsidR="003C063A" w:rsidRPr="0040232F">
        <w:rPr>
          <w:rFonts w:ascii="Times New Roman" w:hAnsi="Times New Roman"/>
        </w:rPr>
        <w:t xml:space="preserve">underrepresented </w:t>
      </w:r>
      <w:r w:rsidR="00142BF5" w:rsidRPr="0040232F">
        <w:rPr>
          <w:rFonts w:ascii="Times New Roman" w:hAnsi="Times New Roman"/>
        </w:rPr>
        <w:t>teachers in the current workforce</w:t>
      </w:r>
      <w:r w:rsidRPr="0040232F">
        <w:rPr>
          <w:rFonts w:ascii="Times New Roman" w:hAnsi="Times New Roman"/>
        </w:rPr>
        <w:t>.</w:t>
      </w:r>
      <w:r w:rsidR="00142BF5" w:rsidRPr="0040232F">
        <w:rPr>
          <w:rFonts w:ascii="Times New Roman" w:hAnsi="Times New Roman"/>
        </w:rPr>
        <w:t xml:space="preserve"> </w:t>
      </w:r>
      <w:r w:rsidR="00D109BB" w:rsidRPr="0040232F">
        <w:rPr>
          <w:rFonts w:ascii="Times New Roman" w:hAnsi="Times New Roman"/>
        </w:rPr>
        <w:t>This is consistent with data nationwide, which shows higher proportions of male</w:t>
      </w:r>
      <w:r w:rsidR="00973B48" w:rsidRPr="0040232F">
        <w:rPr>
          <w:rFonts w:ascii="Times New Roman" w:hAnsi="Times New Roman"/>
        </w:rPr>
        <w:t>s</w:t>
      </w:r>
      <w:r w:rsidR="00D109BB" w:rsidRPr="0040232F">
        <w:rPr>
          <w:rFonts w:ascii="Times New Roman" w:hAnsi="Times New Roman"/>
        </w:rPr>
        <w:t xml:space="preserve"> and </w:t>
      </w:r>
      <w:r w:rsidR="00973B48" w:rsidRPr="0040232F">
        <w:rPr>
          <w:rFonts w:ascii="Times New Roman" w:hAnsi="Times New Roman"/>
        </w:rPr>
        <w:t>individuals of color</w:t>
      </w:r>
      <w:r w:rsidR="00D109BB" w:rsidRPr="0040232F">
        <w:rPr>
          <w:rFonts w:ascii="Times New Roman" w:hAnsi="Times New Roman"/>
        </w:rPr>
        <w:t xml:space="preserve"> in alternative programs.</w:t>
      </w:r>
      <w:r w:rsidR="00D109BB" w:rsidRPr="0040232F">
        <w:rPr>
          <w:rStyle w:val="FootnoteReference"/>
          <w:rFonts w:ascii="Times New Roman" w:hAnsi="Times New Roman"/>
        </w:rPr>
        <w:footnoteReference w:id="10"/>
      </w:r>
      <w:r w:rsidR="00D109BB" w:rsidRPr="0040232F">
        <w:rPr>
          <w:rFonts w:ascii="Times New Roman" w:hAnsi="Times New Roman"/>
        </w:rPr>
        <w:t xml:space="preserve"> </w:t>
      </w:r>
      <w:r w:rsidR="00142BF5" w:rsidRPr="0040232F">
        <w:rPr>
          <w:rFonts w:ascii="Times New Roman" w:hAnsi="Times New Roman"/>
        </w:rPr>
        <w:t xml:space="preserve">UMass institutions also enrolled a higher share of </w:t>
      </w:r>
      <w:r w:rsidR="008B4D06" w:rsidRPr="0040232F">
        <w:rPr>
          <w:rFonts w:ascii="Times New Roman" w:hAnsi="Times New Roman"/>
        </w:rPr>
        <w:t>male teachers and teachers of color</w:t>
      </w:r>
      <w:r w:rsidR="003C063A" w:rsidRPr="0040232F">
        <w:rPr>
          <w:rFonts w:ascii="Times New Roman" w:hAnsi="Times New Roman"/>
        </w:rPr>
        <w:t xml:space="preserve"> </w:t>
      </w:r>
      <w:r w:rsidR="00142BF5" w:rsidRPr="0040232F">
        <w:rPr>
          <w:rFonts w:ascii="Times New Roman" w:hAnsi="Times New Roman"/>
        </w:rPr>
        <w:t xml:space="preserve">in comparison </w:t>
      </w:r>
      <w:r w:rsidR="008B4D06" w:rsidRPr="0040232F">
        <w:rPr>
          <w:rFonts w:ascii="Times New Roman" w:hAnsi="Times New Roman"/>
        </w:rPr>
        <w:t xml:space="preserve">to </w:t>
      </w:r>
      <w:r w:rsidR="00142BF5" w:rsidRPr="0040232F">
        <w:rPr>
          <w:rFonts w:ascii="Times New Roman" w:hAnsi="Times New Roman"/>
        </w:rPr>
        <w:t>the current teacher workforce.</w:t>
      </w:r>
      <w:r w:rsidR="00630346" w:rsidRPr="0040232F">
        <w:rPr>
          <w:rFonts w:ascii="Times New Roman" w:hAnsi="Times New Roman"/>
        </w:rPr>
        <w:t xml:space="preserve"> </w:t>
      </w:r>
    </w:p>
    <w:p w:rsidR="00381AC3" w:rsidRPr="0040232F" w:rsidRDefault="00381AC3" w:rsidP="0040232F">
      <w:pPr>
        <w:spacing w:line="240" w:lineRule="auto"/>
        <w:rPr>
          <w:rFonts w:ascii="Times New Roman" w:hAnsi="Times New Roman"/>
        </w:rPr>
      </w:pPr>
    </w:p>
    <w:p w:rsidR="008345D6" w:rsidRPr="00446709" w:rsidRDefault="008345D6" w:rsidP="00446709">
      <w:pPr>
        <w:pStyle w:val="Heading2"/>
        <w:spacing w:line="240" w:lineRule="auto"/>
        <w:rPr>
          <w:i w:val="0"/>
          <w:sz w:val="21"/>
          <w:szCs w:val="21"/>
        </w:rPr>
      </w:pPr>
      <w:r w:rsidRPr="00446709">
        <w:rPr>
          <w:i w:val="0"/>
          <w:sz w:val="21"/>
          <w:szCs w:val="21"/>
        </w:rPr>
        <w:t xml:space="preserve">Chart </w:t>
      </w:r>
      <w:r w:rsidR="00EC0E37" w:rsidRPr="00446709">
        <w:rPr>
          <w:i w:val="0"/>
          <w:sz w:val="21"/>
          <w:szCs w:val="21"/>
        </w:rPr>
        <w:t>2.1</w:t>
      </w:r>
      <w:r w:rsidRPr="00446709">
        <w:rPr>
          <w:i w:val="0"/>
          <w:sz w:val="21"/>
          <w:szCs w:val="21"/>
        </w:rPr>
        <w:t>:</w:t>
      </w:r>
      <w:r w:rsidR="002E2FE0" w:rsidRPr="00446709">
        <w:rPr>
          <w:i w:val="0"/>
          <w:sz w:val="21"/>
          <w:szCs w:val="21"/>
        </w:rPr>
        <w:t xml:space="preserve"> 2011-12 </w:t>
      </w:r>
      <w:r w:rsidRPr="00446709">
        <w:rPr>
          <w:i w:val="0"/>
          <w:sz w:val="21"/>
          <w:szCs w:val="21"/>
        </w:rPr>
        <w:t xml:space="preserve">Preparation Program </w:t>
      </w:r>
      <w:r w:rsidR="00491E07" w:rsidRPr="00446709">
        <w:rPr>
          <w:i w:val="0"/>
          <w:sz w:val="21"/>
          <w:szCs w:val="21"/>
        </w:rPr>
        <w:t>Candidate</w:t>
      </w:r>
      <w:r w:rsidR="000663A1" w:rsidRPr="00446709">
        <w:rPr>
          <w:i w:val="0"/>
          <w:sz w:val="21"/>
          <w:szCs w:val="21"/>
        </w:rPr>
        <w:t>s</w:t>
      </w:r>
      <w:r w:rsidR="00491E07" w:rsidRPr="00446709">
        <w:rPr>
          <w:i w:val="0"/>
          <w:sz w:val="21"/>
          <w:szCs w:val="21"/>
        </w:rPr>
        <w:t xml:space="preserve"> </w:t>
      </w:r>
      <w:r w:rsidR="000663A1" w:rsidRPr="00446709">
        <w:rPr>
          <w:i w:val="0"/>
          <w:sz w:val="21"/>
          <w:szCs w:val="21"/>
        </w:rPr>
        <w:t xml:space="preserve">by Organization Type, Demographics and </w:t>
      </w:r>
      <w:r w:rsidR="00491E07" w:rsidRPr="00446709">
        <w:rPr>
          <w:i w:val="0"/>
          <w:sz w:val="21"/>
          <w:szCs w:val="21"/>
        </w:rPr>
        <w:t>Subject Area Completed</w:t>
      </w:r>
    </w:p>
    <w:p w:rsidR="008345D6" w:rsidRDefault="000663A1" w:rsidP="0040232F">
      <w:pPr>
        <w:spacing w:line="240" w:lineRule="auto"/>
      </w:pPr>
      <w:r w:rsidRPr="000663A1">
        <w:rPr>
          <w:noProof/>
          <w:lang w:eastAsia="zh-CN" w:bidi="km-KH"/>
        </w:rPr>
        <w:drawing>
          <wp:inline distT="0" distB="0" distL="0" distR="0">
            <wp:extent cx="5019261" cy="3896139"/>
            <wp:effectExtent l="19050" t="0" r="9939" b="9111"/>
            <wp:docPr id="20" name="Chart 2" descr="Higher Education: University of Massachusetts - State University Institution, Teachers of Color: 7.1%&#10;Higher Education: University of Massachusetts - UMass Institution, Teachers of Color: 15.3%&#10;Higher Education: Private College or University, Teachers of Color:19.1%&#10;Non-Higher Education Organization, Teachers of Color: 26.3%&#10;Higher Education: University of Massachusetts - State University Institution, Male Teachers: 18.8%&#10;Higher Education: University of Massachusetts - UMass Institution, Male Teachers: 32.3%&#10;Higher Education: Private College or University, Male Teachers: 16.9%&#10;Non-Higher Education Organization, Male Teachers: 31.2%&#10;Higher Education: University of Massachusetts - State University Institution, Completers in a Shortage Subject Area: 49.9%&#10;Higher Education: University of Massachusetts - UMass Institution, Completers in a Shortage Subject Area: 53.3%&#10;Higher Education: Private College or University, Completers in a Shortage Subject Area: 53.8%&#10;Non-Higher Education Organization, Completers in a Shortage Subject Area: 75.8%&#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345D6" w:rsidRDefault="008345D6" w:rsidP="0040232F">
      <w:pPr>
        <w:spacing w:line="240" w:lineRule="auto"/>
      </w:pPr>
    </w:p>
    <w:p w:rsidR="00E678D8" w:rsidRDefault="00E678D8" w:rsidP="0040232F">
      <w:pPr>
        <w:spacing w:line="240" w:lineRule="auto"/>
        <w:rPr>
          <w:rFonts w:ascii="Times New Roman" w:hAnsi="Times New Roman"/>
        </w:rPr>
      </w:pPr>
      <w:r w:rsidRPr="0040232F">
        <w:rPr>
          <w:rFonts w:ascii="Times New Roman" w:hAnsi="Times New Roman"/>
        </w:rPr>
        <w:t xml:space="preserve">Of </w:t>
      </w:r>
      <w:r w:rsidR="00927BDB" w:rsidRPr="0040232F">
        <w:rPr>
          <w:rFonts w:ascii="Times New Roman" w:hAnsi="Times New Roman"/>
        </w:rPr>
        <w:t>the</w:t>
      </w:r>
      <w:r w:rsidR="008764CC" w:rsidRPr="0040232F">
        <w:rPr>
          <w:rFonts w:ascii="Times New Roman" w:hAnsi="Times New Roman"/>
        </w:rPr>
        <w:t xml:space="preserve"> </w:t>
      </w:r>
      <w:r w:rsidR="000347F0" w:rsidRPr="0040232F">
        <w:rPr>
          <w:rFonts w:ascii="Times New Roman" w:hAnsi="Times New Roman"/>
        </w:rPr>
        <w:t xml:space="preserve">prospective </w:t>
      </w:r>
      <w:r w:rsidR="00927BDB" w:rsidRPr="0040232F">
        <w:rPr>
          <w:rFonts w:ascii="Times New Roman" w:hAnsi="Times New Roman"/>
        </w:rPr>
        <w:t xml:space="preserve">teachers who completed a preparation program in </w:t>
      </w:r>
      <w:r w:rsidR="00A94A6C">
        <w:rPr>
          <w:rFonts w:ascii="Times New Roman" w:hAnsi="Times New Roman"/>
        </w:rPr>
        <w:t xml:space="preserve">the </w:t>
      </w:r>
      <w:r w:rsidR="00927BDB" w:rsidRPr="0040232F">
        <w:rPr>
          <w:rFonts w:ascii="Times New Roman" w:hAnsi="Times New Roman"/>
        </w:rPr>
        <w:t>2011-</w:t>
      </w:r>
      <w:r w:rsidR="00A94A6C">
        <w:rPr>
          <w:rFonts w:ascii="Times New Roman" w:hAnsi="Times New Roman"/>
        </w:rPr>
        <w:t>20</w:t>
      </w:r>
      <w:r w:rsidR="00927BDB" w:rsidRPr="0040232F">
        <w:rPr>
          <w:rFonts w:ascii="Times New Roman" w:hAnsi="Times New Roman"/>
        </w:rPr>
        <w:t>12</w:t>
      </w:r>
      <w:r w:rsidR="00A94A6C">
        <w:rPr>
          <w:rFonts w:ascii="Times New Roman" w:hAnsi="Times New Roman"/>
        </w:rPr>
        <w:t xml:space="preserve"> school </w:t>
      </w:r>
      <w:proofErr w:type="gramStart"/>
      <w:r w:rsidR="00A94A6C">
        <w:rPr>
          <w:rFonts w:ascii="Times New Roman" w:hAnsi="Times New Roman"/>
        </w:rPr>
        <w:t>year</w:t>
      </w:r>
      <w:proofErr w:type="gramEnd"/>
      <w:r w:rsidRPr="0040232F">
        <w:rPr>
          <w:rFonts w:ascii="Times New Roman" w:hAnsi="Times New Roman"/>
        </w:rPr>
        <w:t xml:space="preserve">, </w:t>
      </w:r>
      <w:r w:rsidR="00433E5F">
        <w:rPr>
          <w:rFonts w:ascii="Times New Roman" w:hAnsi="Times New Roman"/>
        </w:rPr>
        <w:t xml:space="preserve">almost </w:t>
      </w:r>
      <w:r w:rsidR="0021158F" w:rsidRPr="0040232F">
        <w:rPr>
          <w:rFonts w:ascii="Times New Roman" w:hAnsi="Times New Roman"/>
        </w:rPr>
        <w:t>60</w:t>
      </w:r>
      <w:r w:rsidRPr="0040232F">
        <w:rPr>
          <w:rFonts w:ascii="Times New Roman" w:hAnsi="Times New Roman"/>
        </w:rPr>
        <w:t xml:space="preserve"> percent became employed in a Massachusetts public school within one year. Not</w:t>
      </w:r>
      <w:r w:rsidR="008764CC" w:rsidRPr="0040232F">
        <w:rPr>
          <w:rFonts w:ascii="Times New Roman" w:hAnsi="Times New Roman"/>
        </w:rPr>
        <w:t xml:space="preserve"> all program completers who beca</w:t>
      </w:r>
      <w:r w:rsidRPr="0040232F">
        <w:rPr>
          <w:rFonts w:ascii="Times New Roman" w:hAnsi="Times New Roman"/>
        </w:rPr>
        <w:t xml:space="preserve">me employed </w:t>
      </w:r>
      <w:r w:rsidR="0038688B" w:rsidRPr="0040232F">
        <w:rPr>
          <w:rFonts w:ascii="Times New Roman" w:hAnsi="Times New Roman"/>
        </w:rPr>
        <w:t>were</w:t>
      </w:r>
      <w:r w:rsidRPr="0040232F">
        <w:rPr>
          <w:rFonts w:ascii="Times New Roman" w:hAnsi="Times New Roman"/>
        </w:rPr>
        <w:t xml:space="preserve"> employed immediately as a teacher, however. </w:t>
      </w:r>
      <w:r w:rsidR="00A94A6C">
        <w:rPr>
          <w:rFonts w:ascii="Times New Roman" w:hAnsi="Times New Roman"/>
        </w:rPr>
        <w:t>Forty-seven</w:t>
      </w:r>
      <w:r w:rsidRPr="0040232F">
        <w:rPr>
          <w:rFonts w:ascii="Times New Roman" w:hAnsi="Times New Roman"/>
        </w:rPr>
        <w:t xml:space="preserve"> percent</w:t>
      </w:r>
      <w:r w:rsidR="00E75664" w:rsidRPr="0040232F">
        <w:rPr>
          <w:rFonts w:ascii="Times New Roman" w:hAnsi="Times New Roman"/>
        </w:rPr>
        <w:t xml:space="preserve"> of program completers</w:t>
      </w:r>
      <w:r w:rsidRPr="0040232F">
        <w:rPr>
          <w:rFonts w:ascii="Times New Roman" w:hAnsi="Times New Roman"/>
        </w:rPr>
        <w:t xml:space="preserve"> were employed as a teacher </w:t>
      </w:r>
      <w:r w:rsidR="007A1B51" w:rsidRPr="0040232F">
        <w:rPr>
          <w:rFonts w:ascii="Times New Roman" w:hAnsi="Times New Roman"/>
        </w:rPr>
        <w:t xml:space="preserve">in Massachusetts in </w:t>
      </w:r>
      <w:r w:rsidRPr="0040232F">
        <w:rPr>
          <w:rFonts w:ascii="Times New Roman" w:hAnsi="Times New Roman"/>
        </w:rPr>
        <w:t>the</w:t>
      </w:r>
      <w:r w:rsidR="007A1B51" w:rsidRPr="0040232F">
        <w:rPr>
          <w:rFonts w:ascii="Times New Roman" w:hAnsi="Times New Roman"/>
        </w:rPr>
        <w:t>ir</w:t>
      </w:r>
      <w:r w:rsidRPr="0040232F">
        <w:rPr>
          <w:rFonts w:ascii="Times New Roman" w:hAnsi="Times New Roman"/>
        </w:rPr>
        <w:t xml:space="preserve"> first year after program completion.</w:t>
      </w:r>
      <w:r w:rsidR="004659CC" w:rsidRPr="0040232F">
        <w:rPr>
          <w:rFonts w:ascii="Times New Roman" w:hAnsi="Times New Roman"/>
        </w:rPr>
        <w:t xml:space="preserve"> </w:t>
      </w:r>
      <w:r w:rsidR="006241CD" w:rsidRPr="0040232F">
        <w:rPr>
          <w:rFonts w:ascii="Times New Roman" w:hAnsi="Times New Roman"/>
        </w:rPr>
        <w:t xml:space="preserve">Chart </w:t>
      </w:r>
      <w:r w:rsidR="00945AAE" w:rsidRPr="0040232F">
        <w:rPr>
          <w:rFonts w:ascii="Times New Roman" w:hAnsi="Times New Roman"/>
        </w:rPr>
        <w:t>2.</w:t>
      </w:r>
      <w:r w:rsidR="00EC0E37" w:rsidRPr="0040232F">
        <w:rPr>
          <w:rFonts w:ascii="Times New Roman" w:hAnsi="Times New Roman"/>
        </w:rPr>
        <w:t>2</w:t>
      </w:r>
      <w:r w:rsidR="006241CD" w:rsidRPr="0040232F">
        <w:rPr>
          <w:rFonts w:ascii="Times New Roman" w:hAnsi="Times New Roman"/>
        </w:rPr>
        <w:t xml:space="preserve"> breaks out employment rates by organization type</w:t>
      </w:r>
      <w:r w:rsidR="008764CC" w:rsidRPr="0040232F">
        <w:rPr>
          <w:rFonts w:ascii="Times New Roman" w:hAnsi="Times New Roman"/>
        </w:rPr>
        <w:t xml:space="preserve">, showing </w:t>
      </w:r>
      <w:r w:rsidR="006241CD" w:rsidRPr="0040232F">
        <w:rPr>
          <w:rFonts w:ascii="Times New Roman" w:hAnsi="Times New Roman"/>
        </w:rPr>
        <w:t xml:space="preserve">that a higher percent of teachers who complete programs at </w:t>
      </w:r>
      <w:r w:rsidR="00874166" w:rsidRPr="0040232F">
        <w:rPr>
          <w:rFonts w:ascii="Times New Roman" w:hAnsi="Times New Roman"/>
        </w:rPr>
        <w:t>public higher education</w:t>
      </w:r>
      <w:r w:rsidR="006241CD" w:rsidRPr="0040232F">
        <w:rPr>
          <w:rFonts w:ascii="Times New Roman" w:hAnsi="Times New Roman"/>
        </w:rPr>
        <w:t xml:space="preserve"> institutions or at a non-hi</w:t>
      </w:r>
      <w:r w:rsidR="000347F0" w:rsidRPr="0040232F">
        <w:rPr>
          <w:rFonts w:ascii="Times New Roman" w:hAnsi="Times New Roman"/>
        </w:rPr>
        <w:t>gher education organization beca</w:t>
      </w:r>
      <w:r w:rsidR="006241CD" w:rsidRPr="0040232F">
        <w:rPr>
          <w:rFonts w:ascii="Times New Roman" w:hAnsi="Times New Roman"/>
        </w:rPr>
        <w:t xml:space="preserve">me employed in a Massachusetts public school within one year. </w:t>
      </w:r>
      <w:r w:rsidR="000347F0" w:rsidRPr="0040232F">
        <w:rPr>
          <w:rFonts w:ascii="Times New Roman" w:hAnsi="Times New Roman"/>
        </w:rPr>
        <w:t>And among those who beca</w:t>
      </w:r>
      <w:r w:rsidR="00C528BE" w:rsidRPr="0040232F">
        <w:rPr>
          <w:rFonts w:ascii="Times New Roman" w:hAnsi="Times New Roman"/>
        </w:rPr>
        <w:t xml:space="preserve">me employed, there are differences among organization types in the percent who </w:t>
      </w:r>
      <w:r w:rsidR="000347F0" w:rsidRPr="0040232F">
        <w:rPr>
          <w:rFonts w:ascii="Times New Roman" w:hAnsi="Times New Roman"/>
        </w:rPr>
        <w:t>were</w:t>
      </w:r>
      <w:r w:rsidR="00C528BE" w:rsidRPr="0040232F">
        <w:rPr>
          <w:rFonts w:ascii="Times New Roman" w:hAnsi="Times New Roman"/>
        </w:rPr>
        <w:t xml:space="preserve"> employed as a teacher</w:t>
      </w:r>
      <w:r w:rsidR="006241CD" w:rsidRPr="0040232F">
        <w:rPr>
          <w:rFonts w:ascii="Times New Roman" w:hAnsi="Times New Roman"/>
        </w:rPr>
        <w:t xml:space="preserve">. As we discuss below, this may </w:t>
      </w:r>
      <w:r w:rsidR="00C528BE" w:rsidRPr="0040232F">
        <w:rPr>
          <w:rFonts w:ascii="Times New Roman" w:hAnsi="Times New Roman"/>
        </w:rPr>
        <w:t>be because of</w:t>
      </w:r>
      <w:r w:rsidR="006241CD" w:rsidRPr="0040232F">
        <w:rPr>
          <w:rFonts w:ascii="Times New Roman" w:hAnsi="Times New Roman"/>
        </w:rPr>
        <w:t xml:space="preserve"> the </w:t>
      </w:r>
      <w:r w:rsidR="00C528BE" w:rsidRPr="0040232F">
        <w:rPr>
          <w:rFonts w:ascii="Times New Roman" w:hAnsi="Times New Roman"/>
        </w:rPr>
        <w:t>mix</w:t>
      </w:r>
      <w:r w:rsidR="006241CD" w:rsidRPr="0040232F">
        <w:rPr>
          <w:rFonts w:ascii="Times New Roman" w:hAnsi="Times New Roman"/>
        </w:rPr>
        <w:t xml:space="preserve"> of programs offered at different organization</w:t>
      </w:r>
      <w:r w:rsidR="00C528BE" w:rsidRPr="0040232F">
        <w:rPr>
          <w:rFonts w:ascii="Times New Roman" w:hAnsi="Times New Roman"/>
        </w:rPr>
        <w:t xml:space="preserve">s, including </w:t>
      </w:r>
      <w:r w:rsidR="006241CD" w:rsidRPr="0040232F">
        <w:rPr>
          <w:rFonts w:ascii="Times New Roman" w:hAnsi="Times New Roman"/>
        </w:rPr>
        <w:t>whether they are at the baccalaureate or post-baccalaureate level and the subject areas offered.</w:t>
      </w:r>
    </w:p>
    <w:p w:rsidR="002C71D4" w:rsidRPr="0040232F" w:rsidRDefault="002C71D4" w:rsidP="0040232F">
      <w:pPr>
        <w:spacing w:line="240" w:lineRule="auto"/>
        <w:rPr>
          <w:rFonts w:ascii="Times New Roman" w:hAnsi="Times New Roman"/>
        </w:rPr>
      </w:pPr>
    </w:p>
    <w:p w:rsidR="006241CD" w:rsidRPr="00446709" w:rsidRDefault="00A96977" w:rsidP="00446709">
      <w:pPr>
        <w:pStyle w:val="Heading2"/>
        <w:spacing w:line="240" w:lineRule="auto"/>
        <w:rPr>
          <w:i w:val="0"/>
          <w:sz w:val="21"/>
          <w:szCs w:val="21"/>
        </w:rPr>
      </w:pPr>
      <w:r w:rsidRPr="00446709">
        <w:rPr>
          <w:i w:val="0"/>
          <w:sz w:val="21"/>
          <w:szCs w:val="21"/>
        </w:rPr>
        <w:t xml:space="preserve">Chart </w:t>
      </w:r>
      <w:r w:rsidR="00EC0E37" w:rsidRPr="00446709">
        <w:rPr>
          <w:i w:val="0"/>
          <w:sz w:val="21"/>
          <w:szCs w:val="21"/>
        </w:rPr>
        <w:t>2.2</w:t>
      </w:r>
      <w:r w:rsidRPr="00446709">
        <w:rPr>
          <w:i w:val="0"/>
          <w:sz w:val="21"/>
          <w:szCs w:val="21"/>
        </w:rPr>
        <w:t>: Employment of 2011-12 Initial License Teacher Preparation Program Completers in a Massachusetts Public School, by Organization Type</w:t>
      </w:r>
    </w:p>
    <w:p w:rsidR="00A96977" w:rsidRDefault="0021158F" w:rsidP="0040232F">
      <w:pPr>
        <w:spacing w:line="240" w:lineRule="auto"/>
      </w:pPr>
      <w:r w:rsidRPr="0021158F">
        <w:rPr>
          <w:noProof/>
          <w:lang w:eastAsia="zh-CN" w:bidi="km-KH"/>
        </w:rPr>
        <w:drawing>
          <wp:inline distT="0" distB="0" distL="0" distR="0">
            <wp:extent cx="5023071" cy="3116911"/>
            <wp:effectExtent l="19050" t="0" r="25179" b="7289"/>
            <wp:docPr id="22" name="Chart 3" descr="State University, Employed as a Teacher: 47%&#10;University of Massachusetts Institution, Employed as a Teacher: 57%&#10;Private College or University, Employed as a Teacher: 41%&#10;Non-Higher Education Organization, Employed as a Teacher: 74%&#10;State University, Employed in a Non-Teaching Position: 17%&#10;University of Massachusetts Institution,Employed in a Non-Teaching Position: 9%&#10;Private College or University, Employed in a Non-Teaching Position: 12%&#10;Non-Higher Education Organization, Employed in a Non-Teaching Position: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F5E1F" w:rsidRDefault="00EF5E1F" w:rsidP="0040232F">
      <w:pPr>
        <w:pStyle w:val="Sources"/>
        <w:spacing w:line="240" w:lineRule="auto"/>
      </w:pPr>
    </w:p>
    <w:p w:rsidR="00DF1EFD" w:rsidRPr="00DF1EFD" w:rsidRDefault="00DF1EFD" w:rsidP="00DF1EFD"/>
    <w:p w:rsidR="002F627F" w:rsidRPr="0040232F" w:rsidRDefault="00EF62BF" w:rsidP="0040232F">
      <w:pPr>
        <w:spacing w:line="240" w:lineRule="auto"/>
        <w:rPr>
          <w:rFonts w:ascii="Times New Roman" w:hAnsi="Times New Roman"/>
        </w:rPr>
      </w:pPr>
      <w:r w:rsidRPr="0040232F">
        <w:rPr>
          <w:rFonts w:ascii="Times New Roman" w:hAnsi="Times New Roman"/>
        </w:rPr>
        <w:t xml:space="preserve">As Chart </w:t>
      </w:r>
      <w:r w:rsidR="00EC0E37" w:rsidRPr="0040232F">
        <w:rPr>
          <w:rFonts w:ascii="Times New Roman" w:hAnsi="Times New Roman"/>
        </w:rPr>
        <w:t>2.3</w:t>
      </w:r>
      <w:r w:rsidR="004F650E" w:rsidRPr="0040232F">
        <w:rPr>
          <w:rFonts w:ascii="Times New Roman" w:hAnsi="Times New Roman"/>
        </w:rPr>
        <w:t xml:space="preserve"> and</w:t>
      </w:r>
      <w:r w:rsidR="00A94A6C">
        <w:rPr>
          <w:rFonts w:ascii="Times New Roman" w:hAnsi="Times New Roman"/>
        </w:rPr>
        <w:t xml:space="preserve"> Chart</w:t>
      </w:r>
      <w:r w:rsidR="004F650E" w:rsidRPr="0040232F">
        <w:rPr>
          <w:rFonts w:ascii="Times New Roman" w:hAnsi="Times New Roman"/>
        </w:rPr>
        <w:t xml:space="preserve"> 2.</w:t>
      </w:r>
      <w:r w:rsidR="00EC0E37" w:rsidRPr="0040232F">
        <w:rPr>
          <w:rFonts w:ascii="Times New Roman" w:hAnsi="Times New Roman"/>
        </w:rPr>
        <w:t>4</w:t>
      </w:r>
      <w:r w:rsidRPr="0040232F">
        <w:rPr>
          <w:rFonts w:ascii="Times New Roman" w:hAnsi="Times New Roman"/>
        </w:rPr>
        <w:t xml:space="preserve"> show, e</w:t>
      </w:r>
      <w:r w:rsidR="00E678D8" w:rsidRPr="0040232F">
        <w:rPr>
          <w:rFonts w:ascii="Times New Roman" w:hAnsi="Times New Roman"/>
        </w:rPr>
        <w:t>mployment varies by the type of program prospective teachers complete and</w:t>
      </w:r>
      <w:r w:rsidRPr="0040232F">
        <w:rPr>
          <w:rFonts w:ascii="Times New Roman" w:hAnsi="Times New Roman"/>
        </w:rPr>
        <w:t xml:space="preserve"> the subject area </w:t>
      </w:r>
      <w:r w:rsidR="00A94A6C">
        <w:rPr>
          <w:rFonts w:ascii="Times New Roman" w:hAnsi="Times New Roman"/>
        </w:rPr>
        <w:t xml:space="preserve">on which </w:t>
      </w:r>
      <w:r w:rsidRPr="0040232F">
        <w:rPr>
          <w:rFonts w:ascii="Times New Roman" w:hAnsi="Times New Roman"/>
        </w:rPr>
        <w:t>they focus</w:t>
      </w:r>
      <w:r w:rsidR="00E678D8" w:rsidRPr="0040232F">
        <w:rPr>
          <w:rFonts w:ascii="Times New Roman" w:hAnsi="Times New Roman"/>
        </w:rPr>
        <w:t>.</w:t>
      </w:r>
      <w:r w:rsidR="006F5B71" w:rsidRPr="0040232F">
        <w:rPr>
          <w:rFonts w:ascii="Times New Roman" w:hAnsi="Times New Roman"/>
        </w:rPr>
        <w:t xml:space="preserve"> In </w:t>
      </w:r>
      <w:r w:rsidR="00477728" w:rsidRPr="0040232F">
        <w:rPr>
          <w:rFonts w:ascii="Times New Roman" w:hAnsi="Times New Roman"/>
        </w:rPr>
        <w:t>post-baccalaureate apprenticeship/teacher of record</w:t>
      </w:r>
      <w:r w:rsidR="006F5B71" w:rsidRPr="0040232F">
        <w:rPr>
          <w:rFonts w:ascii="Times New Roman" w:hAnsi="Times New Roman"/>
        </w:rPr>
        <w:t xml:space="preserve"> preparation program</w:t>
      </w:r>
      <w:r w:rsidR="00AB0757" w:rsidRPr="0040232F">
        <w:rPr>
          <w:rFonts w:ascii="Times New Roman" w:hAnsi="Times New Roman"/>
        </w:rPr>
        <w:t>s</w:t>
      </w:r>
      <w:r w:rsidR="006F5B71" w:rsidRPr="0040232F">
        <w:rPr>
          <w:rFonts w:ascii="Times New Roman" w:hAnsi="Times New Roman"/>
        </w:rPr>
        <w:t xml:space="preserve">, </w:t>
      </w:r>
      <w:r w:rsidR="00477728" w:rsidRPr="0040232F">
        <w:rPr>
          <w:rFonts w:ascii="Times New Roman" w:hAnsi="Times New Roman"/>
        </w:rPr>
        <w:t>which are</w:t>
      </w:r>
      <w:r w:rsidR="004A48D4" w:rsidRPr="0040232F">
        <w:rPr>
          <w:rFonts w:ascii="Times New Roman" w:hAnsi="Times New Roman"/>
        </w:rPr>
        <w:t xml:space="preserve"> offered by non-higher education organizations, </w:t>
      </w:r>
      <w:r w:rsidR="006F5B71" w:rsidRPr="0040232F">
        <w:rPr>
          <w:rFonts w:ascii="Times New Roman" w:hAnsi="Times New Roman"/>
        </w:rPr>
        <w:t xml:space="preserve">candidates </w:t>
      </w:r>
      <w:r w:rsidR="00477728" w:rsidRPr="0040232F">
        <w:rPr>
          <w:rFonts w:ascii="Times New Roman" w:hAnsi="Times New Roman"/>
        </w:rPr>
        <w:t>work full-time</w:t>
      </w:r>
      <w:r w:rsidR="006F5B71" w:rsidRPr="0040232F">
        <w:rPr>
          <w:rFonts w:ascii="Times New Roman" w:hAnsi="Times New Roman"/>
        </w:rPr>
        <w:t xml:space="preserve"> in a school while completing the coursework and supervised teaching necessary to gain an initial teaching license. As a result, a higher percent</w:t>
      </w:r>
      <w:r w:rsidR="00A94A6C">
        <w:rPr>
          <w:rFonts w:ascii="Times New Roman" w:hAnsi="Times New Roman"/>
        </w:rPr>
        <w:t>age</w:t>
      </w:r>
      <w:r w:rsidR="006F5B71" w:rsidRPr="0040232F">
        <w:rPr>
          <w:rFonts w:ascii="Times New Roman" w:hAnsi="Times New Roman"/>
        </w:rPr>
        <w:t xml:space="preserve"> of alternative program completers are employed in a Massachusetts public school after program completion </w:t>
      </w:r>
      <w:r w:rsidR="002F627F" w:rsidRPr="0040232F">
        <w:rPr>
          <w:rFonts w:ascii="Times New Roman" w:hAnsi="Times New Roman"/>
        </w:rPr>
        <w:t>as</w:t>
      </w:r>
      <w:r w:rsidR="006F5B71" w:rsidRPr="0040232F">
        <w:rPr>
          <w:rFonts w:ascii="Times New Roman" w:hAnsi="Times New Roman"/>
        </w:rPr>
        <w:t xml:space="preserve"> compared </w:t>
      </w:r>
      <w:r w:rsidR="002F627F" w:rsidRPr="0040232F">
        <w:rPr>
          <w:rFonts w:ascii="Times New Roman" w:hAnsi="Times New Roman"/>
        </w:rPr>
        <w:t>to</w:t>
      </w:r>
      <w:r w:rsidR="006F5B71" w:rsidRPr="0040232F">
        <w:rPr>
          <w:rFonts w:ascii="Times New Roman" w:hAnsi="Times New Roman"/>
        </w:rPr>
        <w:t xml:space="preserve"> traditional program completers. </w:t>
      </w:r>
    </w:p>
    <w:p w:rsidR="002C71D4" w:rsidRDefault="002C71D4" w:rsidP="0040232F">
      <w:pPr>
        <w:spacing w:line="240" w:lineRule="auto"/>
        <w:rPr>
          <w:rFonts w:ascii="Times New Roman" w:hAnsi="Times New Roman"/>
        </w:rPr>
      </w:pPr>
    </w:p>
    <w:p w:rsidR="004B372B" w:rsidRPr="0040232F" w:rsidRDefault="00433E5F" w:rsidP="0040232F">
      <w:pPr>
        <w:spacing w:line="240" w:lineRule="auto"/>
        <w:rPr>
          <w:rFonts w:ascii="Times New Roman" w:hAnsi="Times New Roman"/>
        </w:rPr>
      </w:pPr>
      <w:r>
        <w:rPr>
          <w:rFonts w:ascii="Times New Roman" w:hAnsi="Times New Roman"/>
        </w:rPr>
        <w:t>A</w:t>
      </w:r>
      <w:r w:rsidR="006F5B71" w:rsidRPr="0040232F">
        <w:rPr>
          <w:rFonts w:ascii="Times New Roman" w:hAnsi="Times New Roman"/>
        </w:rPr>
        <w:t>mong traditional program completers, those completing a post-baccalaureate program have higher employment rates than those who complete a baccalaureate program</w:t>
      </w:r>
      <w:r w:rsidR="006060DB" w:rsidRPr="0040232F">
        <w:rPr>
          <w:rFonts w:ascii="Times New Roman" w:hAnsi="Times New Roman"/>
        </w:rPr>
        <w:t>,</w:t>
      </w:r>
      <w:r w:rsidR="006F5B71" w:rsidRPr="0040232F">
        <w:rPr>
          <w:rFonts w:ascii="Times New Roman" w:hAnsi="Times New Roman"/>
        </w:rPr>
        <w:t xml:space="preserve"> and are </w:t>
      </w:r>
      <w:r w:rsidR="00A94A6C">
        <w:rPr>
          <w:rFonts w:ascii="Times New Roman" w:hAnsi="Times New Roman"/>
        </w:rPr>
        <w:t xml:space="preserve">also </w:t>
      </w:r>
      <w:r w:rsidR="006F5B71" w:rsidRPr="0040232F">
        <w:rPr>
          <w:rFonts w:ascii="Times New Roman" w:hAnsi="Times New Roman"/>
        </w:rPr>
        <w:t xml:space="preserve">more likely to get employed as a teacher. </w:t>
      </w:r>
    </w:p>
    <w:p w:rsidR="00E678D8" w:rsidRPr="00446709" w:rsidRDefault="00E678D8" w:rsidP="00446709">
      <w:pPr>
        <w:pStyle w:val="Heading2"/>
        <w:spacing w:line="240" w:lineRule="auto"/>
        <w:rPr>
          <w:i w:val="0"/>
          <w:sz w:val="21"/>
          <w:szCs w:val="21"/>
        </w:rPr>
      </w:pPr>
      <w:r w:rsidRPr="00446709">
        <w:rPr>
          <w:i w:val="0"/>
          <w:sz w:val="21"/>
          <w:szCs w:val="21"/>
        </w:rPr>
        <w:t xml:space="preserve">Chart </w:t>
      </w:r>
      <w:r w:rsidR="00945AAE" w:rsidRPr="00446709">
        <w:rPr>
          <w:i w:val="0"/>
          <w:sz w:val="21"/>
          <w:szCs w:val="21"/>
        </w:rPr>
        <w:t>2.</w:t>
      </w:r>
      <w:r w:rsidR="00EC0E37" w:rsidRPr="00446709">
        <w:rPr>
          <w:i w:val="0"/>
          <w:sz w:val="21"/>
          <w:szCs w:val="21"/>
        </w:rPr>
        <w:t>3</w:t>
      </w:r>
      <w:r w:rsidRPr="00446709">
        <w:rPr>
          <w:i w:val="0"/>
          <w:sz w:val="21"/>
          <w:szCs w:val="21"/>
        </w:rPr>
        <w:t>: Employment of 2011-12 Initial License Teacher Preparation Program Completers in a Massachusetts Public School, by Program Type</w:t>
      </w:r>
    </w:p>
    <w:p w:rsidR="00E678D8" w:rsidRDefault="00764FB2" w:rsidP="002C71D4">
      <w:pPr>
        <w:spacing w:line="276" w:lineRule="auto"/>
      </w:pPr>
      <w:r w:rsidRPr="00764FB2">
        <w:rPr>
          <w:noProof/>
          <w:lang w:eastAsia="zh-CN" w:bidi="km-KH"/>
        </w:rPr>
        <w:drawing>
          <wp:inline distT="0" distB="0" distL="0" distR="0">
            <wp:extent cx="5018626" cy="3252084"/>
            <wp:effectExtent l="19050" t="0" r="10574" b="5466"/>
            <wp:docPr id="23" name="Chart 4" descr="Baccalaureate Program, Employed as a Teacher: 26%&#10;Post-Baccalaureate Program, Employed as a Teacher: 55%&#10;Post-Baccalaureate - Apprenticeship/Teacher of Record Program, Employed as a Teacher: 74%&#10;Baccalaureate Program, Employed in a Non-Teaching Position: 16%&#10;Post-Baccalaureate Program,Employed in a Non-Teaching Position: 12%&#10;Post-Baccalaureate - Apprenticeship/Teacher of Record Program, Employed in a Non-Teaching Position: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60DB" w:rsidRDefault="006060DB" w:rsidP="0040232F">
      <w:pPr>
        <w:spacing w:line="240" w:lineRule="auto"/>
      </w:pPr>
    </w:p>
    <w:p w:rsidR="00DF1EFD" w:rsidRDefault="00DF1EFD" w:rsidP="0040232F">
      <w:pPr>
        <w:spacing w:line="240" w:lineRule="auto"/>
      </w:pPr>
    </w:p>
    <w:p w:rsidR="00E678D8" w:rsidRPr="0040232F" w:rsidRDefault="00895DBB" w:rsidP="0040232F">
      <w:pPr>
        <w:spacing w:line="240" w:lineRule="auto"/>
        <w:rPr>
          <w:rFonts w:ascii="Times New Roman" w:hAnsi="Times New Roman"/>
        </w:rPr>
      </w:pPr>
      <w:r w:rsidRPr="0040232F">
        <w:rPr>
          <w:rFonts w:ascii="Times New Roman" w:hAnsi="Times New Roman"/>
        </w:rPr>
        <w:t>Overall, t</w:t>
      </w:r>
      <w:r w:rsidR="00E678D8" w:rsidRPr="0040232F">
        <w:rPr>
          <w:rFonts w:ascii="Times New Roman" w:hAnsi="Times New Roman"/>
        </w:rPr>
        <w:t xml:space="preserve">he employment rate for most </w:t>
      </w:r>
      <w:r w:rsidR="00941904" w:rsidRPr="0040232F">
        <w:rPr>
          <w:rFonts w:ascii="Times New Roman" w:hAnsi="Times New Roman"/>
        </w:rPr>
        <w:t>shortage</w:t>
      </w:r>
      <w:r w:rsidR="00E678D8" w:rsidRPr="0040232F">
        <w:rPr>
          <w:rFonts w:ascii="Times New Roman" w:hAnsi="Times New Roman"/>
        </w:rPr>
        <w:t xml:space="preserve"> subject areas is higher than the employment rate across all subjects and a larger percent of those who get employed are employed as a teacher</w:t>
      </w:r>
      <w:r w:rsidRPr="0040232F">
        <w:rPr>
          <w:rFonts w:ascii="Times New Roman" w:hAnsi="Times New Roman"/>
        </w:rPr>
        <w:t xml:space="preserve"> (Chart 2.</w:t>
      </w:r>
      <w:r w:rsidR="00EC0E37" w:rsidRPr="0040232F">
        <w:rPr>
          <w:rFonts w:ascii="Times New Roman" w:hAnsi="Times New Roman"/>
        </w:rPr>
        <w:t>4</w:t>
      </w:r>
      <w:r w:rsidRPr="0040232F">
        <w:rPr>
          <w:rFonts w:ascii="Times New Roman" w:hAnsi="Times New Roman"/>
        </w:rPr>
        <w:t>)</w:t>
      </w:r>
      <w:r w:rsidR="00E678D8" w:rsidRPr="0040232F">
        <w:rPr>
          <w:rFonts w:ascii="Times New Roman" w:hAnsi="Times New Roman"/>
        </w:rPr>
        <w:t xml:space="preserve">. Teachers who complete English preparation programs are an exception, with only 55 percent becoming employed in a Massachusetts public school within one year. Teachers completing programs in Severe Disabilities and Early Childhood also have lower employment rates in Massachusetts public schools, potentially because </w:t>
      </w:r>
      <w:r w:rsidR="00CD254F" w:rsidRPr="0040232F">
        <w:rPr>
          <w:rFonts w:ascii="Times New Roman" w:hAnsi="Times New Roman"/>
        </w:rPr>
        <w:t xml:space="preserve">the data presented below does not include employment in private, early </w:t>
      </w:r>
      <w:r w:rsidR="00A93680" w:rsidRPr="0040232F">
        <w:rPr>
          <w:rFonts w:ascii="Times New Roman" w:hAnsi="Times New Roman"/>
        </w:rPr>
        <w:t>education programs</w:t>
      </w:r>
      <w:r w:rsidR="00CD254F" w:rsidRPr="0040232F">
        <w:rPr>
          <w:rFonts w:ascii="Times New Roman" w:hAnsi="Times New Roman"/>
        </w:rPr>
        <w:t xml:space="preserve"> or in private special education schools that receive state funds</w:t>
      </w:r>
      <w:r w:rsidR="00E678D8" w:rsidRPr="0040232F">
        <w:rPr>
          <w:rFonts w:ascii="Times New Roman" w:hAnsi="Times New Roman"/>
        </w:rPr>
        <w:t>.</w:t>
      </w:r>
    </w:p>
    <w:p w:rsidR="002C71D4" w:rsidRDefault="002C71D4" w:rsidP="00446709">
      <w:pPr>
        <w:pStyle w:val="Heading2"/>
        <w:spacing w:line="240" w:lineRule="auto"/>
        <w:rPr>
          <w:i w:val="0"/>
          <w:sz w:val="21"/>
          <w:szCs w:val="21"/>
        </w:rPr>
      </w:pPr>
    </w:p>
    <w:p w:rsidR="002C71D4" w:rsidRDefault="002C71D4">
      <w:pPr>
        <w:spacing w:line="240" w:lineRule="auto"/>
        <w:rPr>
          <w:rFonts w:ascii="Arial" w:hAnsi="Arial" w:cs="Arial"/>
          <w:b/>
          <w:bCs/>
          <w:iCs/>
          <w:sz w:val="21"/>
          <w:szCs w:val="21"/>
        </w:rPr>
      </w:pPr>
      <w:r>
        <w:rPr>
          <w:i/>
          <w:sz w:val="21"/>
          <w:szCs w:val="21"/>
        </w:rPr>
        <w:br w:type="page"/>
      </w:r>
    </w:p>
    <w:p w:rsidR="00E678D8" w:rsidRDefault="00E678D8" w:rsidP="00446709">
      <w:pPr>
        <w:pStyle w:val="Heading2"/>
        <w:spacing w:line="240" w:lineRule="auto"/>
        <w:rPr>
          <w:i w:val="0"/>
          <w:sz w:val="21"/>
          <w:szCs w:val="21"/>
        </w:rPr>
      </w:pPr>
      <w:r w:rsidRPr="00446709">
        <w:rPr>
          <w:i w:val="0"/>
          <w:sz w:val="21"/>
          <w:szCs w:val="21"/>
        </w:rPr>
        <w:t xml:space="preserve">Chart </w:t>
      </w:r>
      <w:r w:rsidR="00EC0E37" w:rsidRPr="00446709">
        <w:rPr>
          <w:i w:val="0"/>
          <w:sz w:val="21"/>
          <w:szCs w:val="21"/>
        </w:rPr>
        <w:t>2.4</w:t>
      </w:r>
      <w:r w:rsidRPr="00446709">
        <w:rPr>
          <w:i w:val="0"/>
          <w:sz w:val="21"/>
          <w:szCs w:val="21"/>
        </w:rPr>
        <w:t xml:space="preserve">: Employment of 2011-12 Initial License Teacher Preparation Program Completers in a Massachusetts Public School, by </w:t>
      </w:r>
      <w:r w:rsidR="00941904" w:rsidRPr="00446709">
        <w:rPr>
          <w:i w:val="0"/>
          <w:sz w:val="21"/>
          <w:szCs w:val="21"/>
        </w:rPr>
        <w:t>Shortage</w:t>
      </w:r>
      <w:r w:rsidRPr="00446709">
        <w:rPr>
          <w:i w:val="0"/>
          <w:sz w:val="21"/>
          <w:szCs w:val="21"/>
        </w:rPr>
        <w:t xml:space="preserve"> Subject Area</w:t>
      </w:r>
    </w:p>
    <w:p w:rsidR="002C71D4" w:rsidRPr="002C71D4" w:rsidRDefault="002C71D4" w:rsidP="002C71D4">
      <w:pPr>
        <w:rPr>
          <w:sz w:val="4"/>
          <w:szCs w:val="4"/>
        </w:rPr>
      </w:pPr>
    </w:p>
    <w:p w:rsidR="00E678D8" w:rsidRDefault="00017081" w:rsidP="002C71D4">
      <w:pPr>
        <w:spacing w:line="276" w:lineRule="auto"/>
      </w:pPr>
      <w:r w:rsidRPr="00017081">
        <w:rPr>
          <w:noProof/>
          <w:lang w:eastAsia="zh-CN" w:bidi="km-KH"/>
        </w:rPr>
        <w:drawing>
          <wp:inline distT="0" distB="0" distL="0" distR="0">
            <wp:extent cx="5219700" cy="3609975"/>
            <wp:effectExtent l="19050" t="0" r="19050" b="0"/>
            <wp:docPr id="29" name="Chart 5" descr="All Fields, Employed as a Teacher: 47%&#10;English as a Second Language, Employed as a Teacher: 75%&#10;Mathematics, Employed as a Teacher: 69%&#10;Moderate Disabilities, Employed as a Teacher: 64%&#10;Science, Employed as a Teacher: 69%&#10;Foreign Languages, Employed as a Teacher: 64%&#10;English, Employed as a Teacher: 48%&#10;Severe Disabilities, Employed as a Teacher: 52%&#10;Early Childhood, Employed as a Teacher: 27%&#10;All Fields, Employed in a Non-Teaching Position: 13%&#10;English as a Second Language,Employed in a Non-Teaching Position: 5%&#10;Mathematics, Employed in a Non-Teaching Position: 3%&#10;Moderate Disabilities, Employed in a Non-Teaching Position: 12%&#10;Science, Employed in a Non-Teaching Position: 5%&#10;Foreign Languages, Employed in a Non-Teaching Position: 2%&#10;English, Employed in a Non-Teaching Position: 8%&#10;Severe Disabilities, Employed in a Non-Teaching Position: 8%&#10;Early Childhood, Employed in a Non-Teaching Position: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6602" w:rsidRDefault="00496602" w:rsidP="0040232F">
      <w:pPr>
        <w:spacing w:line="240" w:lineRule="auto"/>
      </w:pPr>
    </w:p>
    <w:p w:rsidR="00DF1EFD" w:rsidRDefault="00DF1EFD" w:rsidP="0040232F">
      <w:pPr>
        <w:spacing w:line="240" w:lineRule="auto"/>
      </w:pPr>
    </w:p>
    <w:p w:rsidR="00161181" w:rsidRPr="0040232F" w:rsidRDefault="00496602" w:rsidP="0040232F">
      <w:pPr>
        <w:spacing w:line="240" w:lineRule="auto"/>
        <w:rPr>
          <w:rFonts w:ascii="Times New Roman" w:hAnsi="Times New Roman"/>
        </w:rPr>
      </w:pPr>
      <w:r w:rsidRPr="0040232F">
        <w:rPr>
          <w:rFonts w:ascii="Times New Roman" w:hAnsi="Times New Roman"/>
        </w:rPr>
        <w:t>Recent teacher preparation program completers who became employed in a Massachusetts public school tended to stay close to where they were prepared: half of program completers worked within 13 miles of their preparation program and 75 percent worked within 25 miles.</w:t>
      </w:r>
      <w:r w:rsidRPr="0040232F">
        <w:rPr>
          <w:rStyle w:val="FootnoteReference"/>
          <w:rFonts w:ascii="Times New Roman" w:hAnsi="Times New Roman"/>
        </w:rPr>
        <w:footnoteReference w:id="11"/>
      </w:r>
      <w:r w:rsidRPr="0040232F">
        <w:rPr>
          <w:rFonts w:ascii="Times New Roman" w:hAnsi="Times New Roman"/>
        </w:rPr>
        <w:t xml:space="preserve"> </w:t>
      </w:r>
      <w:r w:rsidR="00D861B3" w:rsidRPr="0040232F">
        <w:rPr>
          <w:rFonts w:ascii="Times New Roman" w:hAnsi="Times New Roman"/>
        </w:rPr>
        <w:t xml:space="preserve">This pattern remains true across organization types—the average distance </w:t>
      </w:r>
      <w:r w:rsidR="00433E5F">
        <w:rPr>
          <w:rFonts w:ascii="Times New Roman" w:hAnsi="Times New Roman"/>
        </w:rPr>
        <w:t xml:space="preserve">to the first employing school </w:t>
      </w:r>
      <w:r w:rsidR="00D861B3" w:rsidRPr="0040232F">
        <w:rPr>
          <w:rFonts w:ascii="Times New Roman" w:hAnsi="Times New Roman"/>
        </w:rPr>
        <w:t>ranges from 14 miles among non-higher education organizations to 22 miles among private colleges and universities.</w:t>
      </w:r>
      <w:r w:rsidR="008F0290" w:rsidRPr="0040232F">
        <w:rPr>
          <w:rFonts w:ascii="Times New Roman" w:hAnsi="Times New Roman"/>
        </w:rPr>
        <w:t xml:space="preserve"> This is consistent with research showing that teachers prefer to take jobs that are close to where they attended college or to their home town.</w:t>
      </w:r>
      <w:r w:rsidR="008F0290" w:rsidRPr="0040232F">
        <w:rPr>
          <w:rStyle w:val="FootnoteReference"/>
          <w:rFonts w:ascii="Times New Roman" w:hAnsi="Times New Roman"/>
        </w:rPr>
        <w:footnoteReference w:id="12"/>
      </w:r>
    </w:p>
    <w:p w:rsidR="00B21F56" w:rsidRPr="00446709" w:rsidRDefault="0090278F" w:rsidP="002C71D4">
      <w:pPr>
        <w:pStyle w:val="Heading2"/>
        <w:spacing w:line="276" w:lineRule="auto"/>
        <w:rPr>
          <w:i w:val="0"/>
          <w:sz w:val="21"/>
          <w:szCs w:val="21"/>
        </w:rPr>
      </w:pPr>
      <w:r w:rsidRPr="00446709">
        <w:rPr>
          <w:i w:val="0"/>
          <w:sz w:val="21"/>
          <w:szCs w:val="21"/>
        </w:rPr>
        <w:t>Chart 2</w:t>
      </w:r>
      <w:r w:rsidR="00161181" w:rsidRPr="00446709">
        <w:rPr>
          <w:i w:val="0"/>
          <w:sz w:val="21"/>
          <w:szCs w:val="21"/>
        </w:rPr>
        <w:t>.</w:t>
      </w:r>
      <w:r w:rsidR="00EC0E37" w:rsidRPr="00446709">
        <w:rPr>
          <w:i w:val="0"/>
          <w:sz w:val="21"/>
          <w:szCs w:val="21"/>
        </w:rPr>
        <w:t>5</w:t>
      </w:r>
      <w:r w:rsidR="00161181" w:rsidRPr="00446709">
        <w:rPr>
          <w:i w:val="0"/>
          <w:sz w:val="21"/>
          <w:szCs w:val="21"/>
        </w:rPr>
        <w:t>: Distance between Preparation Program and the First Employing School, among 2010-11 and 2011-12 Teacher Preparation Program Completers</w:t>
      </w:r>
    </w:p>
    <w:p w:rsidR="00161181" w:rsidRDefault="00DA54B2" w:rsidP="002C71D4">
      <w:pPr>
        <w:spacing w:line="276" w:lineRule="auto"/>
      </w:pPr>
      <w:r w:rsidRPr="00DA54B2">
        <w:rPr>
          <w:noProof/>
          <w:lang w:eastAsia="zh-CN" w:bidi="km-KH"/>
        </w:rPr>
        <w:drawing>
          <wp:inline distT="0" distB="0" distL="0" distR="0">
            <wp:extent cx="5029200" cy="3410712"/>
            <wp:effectExtent l="19050" t="0" r="19050" b="0"/>
            <wp:docPr id="30" name="Chart 6" descr="State University, 0-10 miles: 35%&#10;University of Massachusetts, 0-10 miles: 42%&#10;Private College or University, 0-10 miles: 45%&#10;Non-Higher Ed Organization, 0-10 miles: 59%&#10;State University, 10-20 miles:32%&#10;University of Massachusetts, 10-20 miles: 26%&#10;Private College or University, 10-20 miles: 20%&#10;Non-Higher Ed Organization, 10-20 miles:20%&#10;State University, 20-30 miles:16%&#10;University of Massachusetts, 20-30 miles: 10%&#10;Private College or University, 20-30 miles: 12%&#10;Non-Higher Ed Organization, 20-30 miles: 7%&#10;State University, 30-40 miles: 7%&#10;University of Massachusetts, 30-40 miles:6%&#10;Private College or University, 30-40 miles:7%&#10;Non-Higher Ed Organization, 30-40 miles: 3%&#10;State University, 40-50 miles:4%&#10;University of Massachusetts, 40-50 miles: 4%&#10;Private College or University, 40-50 miles:4%&#10;Non-Higher Ed Organization, 40-50 miles: 5%&#10;State University, 50-60 miles:2%&#10;University of Massachusetts, 50-60 miles: 2%&#10;Private College or University, 50-60 miles:2%&#10;Non-Higher Ed Organization, 50-60 miles: 1%&#10;State University, 60-70 miles:1%&#10;University of Massachusetts, 60-70 miles: 2%&#10;Private College or University, 60-70 miles:2%&#10;Non-Higher Ed Organization, 60-70 miles: 1%&#10;State University, 70-80 miles:1%&#10;University of Massachusetts, 70-80 miles:5%&#10;Private College or University, 70-80 miles:5%&#10;Non-Higher Ed Organization, 70-80 miles: 2%&#10;State University, 80-90 miles:1%&#10;University of Massachusetts, 80-90 miles:2%&#10;Private College or University, 80-90 miles:2%&#10;Non-Higher Ed Organization, 80-90 miles:1%&#10;State University, 90-100 miles:2%&#10;University of Massachusetts, 90-100 miles:0%&#10;Private College or University, 90-100 miles:1%&#10;Non-Higher Ed Organization, 90-100 miles:0%&#10;State University, More than 100 miles:1%&#10;University of Massachusetts, More than100 miles:1%&#10;Private College or University, More than 100 miles1%&#10;Non-Higher Ed Organization, More than100 miles:0%&#10;&#10;&#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861B3" w:rsidRDefault="00D861B3" w:rsidP="0040232F">
      <w:pPr>
        <w:spacing w:line="240" w:lineRule="auto"/>
      </w:pPr>
    </w:p>
    <w:p w:rsidR="00DF1EFD" w:rsidRDefault="00DF1EFD" w:rsidP="0040232F">
      <w:pPr>
        <w:spacing w:line="240" w:lineRule="auto"/>
      </w:pPr>
    </w:p>
    <w:p w:rsidR="00496602" w:rsidRDefault="00496602" w:rsidP="0040232F">
      <w:pPr>
        <w:spacing w:line="240" w:lineRule="auto"/>
        <w:rPr>
          <w:rFonts w:ascii="Times New Roman" w:hAnsi="Times New Roman"/>
        </w:rPr>
      </w:pPr>
      <w:r w:rsidRPr="0040232F">
        <w:rPr>
          <w:rFonts w:ascii="Times New Roman" w:hAnsi="Times New Roman"/>
        </w:rPr>
        <w:t>The fact that new teachers tend to stay close to their preparation program underscores the importance of strong partnerships between preparation progra</w:t>
      </w:r>
      <w:r w:rsidR="00027A3D" w:rsidRPr="0040232F">
        <w:rPr>
          <w:rFonts w:ascii="Times New Roman" w:hAnsi="Times New Roman"/>
        </w:rPr>
        <w:t xml:space="preserve">ms and nearby school districts. </w:t>
      </w:r>
      <w:r w:rsidR="002A4342" w:rsidRPr="0040232F">
        <w:rPr>
          <w:rFonts w:ascii="Times New Roman" w:hAnsi="Times New Roman"/>
        </w:rPr>
        <w:t>By knowing that most program completers work within 20 miles, p</w:t>
      </w:r>
      <w:r w:rsidR="000605B0" w:rsidRPr="0040232F">
        <w:rPr>
          <w:rFonts w:ascii="Times New Roman" w:hAnsi="Times New Roman"/>
        </w:rPr>
        <w:t xml:space="preserve">reparation programs can tailor the content and focus of their programs to the needs of districts </w:t>
      </w:r>
      <w:r w:rsidR="002A4342" w:rsidRPr="0040232F">
        <w:rPr>
          <w:rFonts w:ascii="Times New Roman" w:hAnsi="Times New Roman"/>
        </w:rPr>
        <w:t xml:space="preserve">in that radius </w:t>
      </w:r>
      <w:r w:rsidR="000605B0" w:rsidRPr="0040232F">
        <w:rPr>
          <w:rFonts w:ascii="Times New Roman" w:hAnsi="Times New Roman"/>
        </w:rPr>
        <w:t xml:space="preserve">and can help to address local educator shortages by recruiting candidates in </w:t>
      </w:r>
      <w:r w:rsidR="0034350E" w:rsidRPr="0040232F">
        <w:rPr>
          <w:rFonts w:ascii="Times New Roman" w:hAnsi="Times New Roman"/>
        </w:rPr>
        <w:t>shortage</w:t>
      </w:r>
      <w:r w:rsidR="000605B0" w:rsidRPr="0040232F">
        <w:rPr>
          <w:rFonts w:ascii="Times New Roman" w:hAnsi="Times New Roman"/>
        </w:rPr>
        <w:t xml:space="preserve"> subject areas.</w:t>
      </w:r>
    </w:p>
    <w:p w:rsidR="002C71D4" w:rsidRPr="0040232F" w:rsidRDefault="002C71D4" w:rsidP="0040232F">
      <w:pPr>
        <w:spacing w:line="240" w:lineRule="auto"/>
        <w:rPr>
          <w:rFonts w:ascii="Times New Roman" w:hAnsi="Times New Roman"/>
        </w:rPr>
      </w:pPr>
    </w:p>
    <w:p w:rsidR="00E678D8" w:rsidRDefault="00E678D8" w:rsidP="007F03D4">
      <w:pPr>
        <w:pStyle w:val="Heading2"/>
      </w:pPr>
      <w:bookmarkStart w:id="10" w:name="_Toc374114886"/>
      <w:r w:rsidRPr="00700560">
        <w:t xml:space="preserve">Prior </w:t>
      </w:r>
      <w:r w:rsidR="00332B30">
        <w:t>W</w:t>
      </w:r>
      <w:r w:rsidRPr="00700560">
        <w:t>ork in</w:t>
      </w:r>
      <w:r>
        <w:t xml:space="preserve"> a Massachusetts Public School</w:t>
      </w:r>
      <w:bookmarkEnd w:id="10"/>
    </w:p>
    <w:p w:rsidR="00E678D8" w:rsidRPr="0040232F" w:rsidRDefault="00F11989" w:rsidP="0040232F">
      <w:pPr>
        <w:spacing w:line="240" w:lineRule="auto"/>
        <w:rPr>
          <w:rFonts w:ascii="Times New Roman" w:hAnsi="Times New Roman"/>
        </w:rPr>
      </w:pPr>
      <w:r w:rsidRPr="0040232F">
        <w:rPr>
          <w:rFonts w:ascii="Times New Roman" w:hAnsi="Times New Roman"/>
        </w:rPr>
        <w:t>A</w:t>
      </w:r>
      <w:r w:rsidR="00E678D8" w:rsidRPr="0040232F">
        <w:rPr>
          <w:rFonts w:ascii="Times New Roman" w:hAnsi="Times New Roman"/>
        </w:rPr>
        <w:t xml:space="preserve"> </w:t>
      </w:r>
      <w:r w:rsidR="006C7B21" w:rsidRPr="0040232F">
        <w:rPr>
          <w:rFonts w:ascii="Times New Roman" w:hAnsi="Times New Roman"/>
        </w:rPr>
        <w:t>first-year</w:t>
      </w:r>
      <w:r w:rsidR="00E678D8" w:rsidRPr="0040232F">
        <w:rPr>
          <w:rFonts w:ascii="Times New Roman" w:hAnsi="Times New Roman"/>
        </w:rPr>
        <w:t xml:space="preserve"> teacher </w:t>
      </w:r>
      <w:r w:rsidRPr="0040232F">
        <w:rPr>
          <w:rFonts w:ascii="Times New Roman" w:hAnsi="Times New Roman"/>
        </w:rPr>
        <w:t xml:space="preserve">is defined in this report </w:t>
      </w:r>
      <w:r w:rsidR="00E678D8" w:rsidRPr="0040232F">
        <w:rPr>
          <w:rFonts w:ascii="Times New Roman" w:hAnsi="Times New Roman"/>
        </w:rPr>
        <w:t xml:space="preserve">as someone who appears as a teacher for the first time in the state’s </w:t>
      </w:r>
      <w:r w:rsidRPr="0040232F">
        <w:rPr>
          <w:rFonts w:ascii="Times New Roman" w:hAnsi="Times New Roman"/>
        </w:rPr>
        <w:t>EPIMS data collection</w:t>
      </w:r>
      <w:r w:rsidR="006C7B21" w:rsidRPr="0040232F">
        <w:rPr>
          <w:rFonts w:ascii="Times New Roman" w:hAnsi="Times New Roman"/>
        </w:rPr>
        <w:t xml:space="preserve"> and </w:t>
      </w:r>
      <w:r w:rsidR="00C23CD7" w:rsidRPr="0040232F">
        <w:rPr>
          <w:rFonts w:ascii="Times New Roman" w:hAnsi="Times New Roman"/>
        </w:rPr>
        <w:t>who does</w:t>
      </w:r>
      <w:r w:rsidR="006C7B21" w:rsidRPr="0040232F">
        <w:rPr>
          <w:rFonts w:ascii="Times New Roman" w:hAnsi="Times New Roman"/>
        </w:rPr>
        <w:t xml:space="preserve"> not hold a professional license</w:t>
      </w:r>
      <w:r w:rsidR="00A139D3" w:rsidRPr="0040232F">
        <w:rPr>
          <w:rFonts w:ascii="Times New Roman" w:hAnsi="Times New Roman"/>
        </w:rPr>
        <w:t>.</w:t>
      </w:r>
      <w:r w:rsidR="0076252A" w:rsidRPr="0040232F">
        <w:rPr>
          <w:rFonts w:ascii="Times New Roman" w:hAnsi="Times New Roman"/>
        </w:rPr>
        <w:t xml:space="preserve"> </w:t>
      </w:r>
      <w:r w:rsidR="00A139D3" w:rsidRPr="0040232F">
        <w:rPr>
          <w:rFonts w:ascii="Times New Roman" w:hAnsi="Times New Roman"/>
        </w:rPr>
        <w:t>B</w:t>
      </w:r>
      <w:r w:rsidR="006C7B21" w:rsidRPr="0040232F">
        <w:rPr>
          <w:rFonts w:ascii="Times New Roman" w:hAnsi="Times New Roman"/>
        </w:rPr>
        <w:t>ut 32</w:t>
      </w:r>
      <w:r w:rsidR="00E678D8" w:rsidRPr="0040232F">
        <w:rPr>
          <w:rFonts w:ascii="Times New Roman" w:hAnsi="Times New Roman"/>
        </w:rPr>
        <w:t xml:space="preserve"> percent of these “new” teachers appeared previously in another role, indicating that a large portion of the teaching workforce has experience working in a public school before becoming a teacher. </w:t>
      </w:r>
    </w:p>
    <w:p w:rsidR="00FE79E6" w:rsidRPr="0040232F" w:rsidRDefault="00FE79E6" w:rsidP="0040232F">
      <w:pPr>
        <w:spacing w:line="240" w:lineRule="auto"/>
        <w:rPr>
          <w:rFonts w:ascii="Times New Roman" w:hAnsi="Times New Roman"/>
        </w:rPr>
      </w:pPr>
    </w:p>
    <w:p w:rsidR="00FE79E6" w:rsidRPr="0040232F" w:rsidRDefault="00FE79E6" w:rsidP="0040232F">
      <w:pPr>
        <w:spacing w:line="240" w:lineRule="auto"/>
        <w:rPr>
          <w:rFonts w:ascii="Times New Roman" w:hAnsi="Times New Roman"/>
        </w:rPr>
      </w:pPr>
      <w:r w:rsidRPr="0040232F">
        <w:rPr>
          <w:rFonts w:ascii="Times New Roman" w:hAnsi="Times New Roman"/>
        </w:rPr>
        <w:t>Table 2.</w:t>
      </w:r>
      <w:r w:rsidR="00B91D2A" w:rsidRPr="0040232F">
        <w:rPr>
          <w:rFonts w:ascii="Times New Roman" w:hAnsi="Times New Roman"/>
        </w:rPr>
        <w:t>7</w:t>
      </w:r>
      <w:r w:rsidRPr="0040232F">
        <w:rPr>
          <w:rFonts w:ascii="Times New Roman" w:hAnsi="Times New Roman"/>
        </w:rPr>
        <w:t xml:space="preserve"> details the </w:t>
      </w:r>
      <w:r w:rsidR="00433E5F">
        <w:rPr>
          <w:rFonts w:ascii="Times New Roman" w:hAnsi="Times New Roman"/>
        </w:rPr>
        <w:t xml:space="preserve">previous </w:t>
      </w:r>
      <w:r w:rsidRPr="0040232F">
        <w:rPr>
          <w:rFonts w:ascii="Times New Roman" w:hAnsi="Times New Roman"/>
        </w:rPr>
        <w:t xml:space="preserve">roles held by new teachers in </w:t>
      </w:r>
      <w:r w:rsidR="00306BC4">
        <w:rPr>
          <w:rFonts w:ascii="Times New Roman" w:hAnsi="Times New Roman"/>
        </w:rPr>
        <w:t xml:space="preserve">the </w:t>
      </w:r>
      <w:r w:rsidRPr="0040232F">
        <w:rPr>
          <w:rFonts w:ascii="Times New Roman" w:hAnsi="Times New Roman"/>
        </w:rPr>
        <w:t>2012-</w:t>
      </w:r>
      <w:r w:rsidR="00306BC4">
        <w:rPr>
          <w:rFonts w:ascii="Times New Roman" w:hAnsi="Times New Roman"/>
        </w:rPr>
        <w:t>20</w:t>
      </w:r>
      <w:r w:rsidRPr="0040232F">
        <w:rPr>
          <w:rFonts w:ascii="Times New Roman" w:hAnsi="Times New Roman"/>
        </w:rPr>
        <w:t>13</w:t>
      </w:r>
      <w:r w:rsidR="00306BC4">
        <w:rPr>
          <w:rFonts w:ascii="Times New Roman" w:hAnsi="Times New Roman"/>
        </w:rPr>
        <w:t xml:space="preserve"> school </w:t>
      </w:r>
      <w:proofErr w:type="gramStart"/>
      <w:r w:rsidR="00306BC4">
        <w:rPr>
          <w:rFonts w:ascii="Times New Roman" w:hAnsi="Times New Roman"/>
        </w:rPr>
        <w:t>year</w:t>
      </w:r>
      <w:proofErr w:type="gramEnd"/>
      <w:r w:rsidRPr="0040232F">
        <w:rPr>
          <w:rFonts w:ascii="Times New Roman" w:hAnsi="Times New Roman"/>
        </w:rPr>
        <w:t xml:space="preserve"> who worked in a Massachusetts public school in </w:t>
      </w:r>
      <w:r w:rsidR="0077401B" w:rsidRPr="0040232F">
        <w:rPr>
          <w:rFonts w:ascii="Times New Roman" w:hAnsi="Times New Roman"/>
        </w:rPr>
        <w:t>a prior</w:t>
      </w:r>
      <w:r w:rsidRPr="0040232F">
        <w:rPr>
          <w:rFonts w:ascii="Times New Roman" w:hAnsi="Times New Roman"/>
        </w:rPr>
        <w:t xml:space="preserve"> year. Overwhelmingly, these new teachers held positions as paraprofessionals, long term substitute teachers, tutors</w:t>
      </w:r>
      <w:r w:rsidR="00306BC4">
        <w:rPr>
          <w:rFonts w:ascii="Times New Roman" w:hAnsi="Times New Roman"/>
        </w:rPr>
        <w:t>,</w:t>
      </w:r>
      <w:r w:rsidRPr="0040232F">
        <w:rPr>
          <w:rFonts w:ascii="Times New Roman" w:hAnsi="Times New Roman"/>
        </w:rPr>
        <w:t xml:space="preserve"> and other instructional support staff before becoming a teacher. This pattern looks slightly different for </w:t>
      </w:r>
      <w:r w:rsidR="00973B48" w:rsidRPr="0040232F">
        <w:rPr>
          <w:rFonts w:ascii="Times New Roman" w:hAnsi="Times New Roman"/>
        </w:rPr>
        <w:t>new teachers of color</w:t>
      </w:r>
      <w:r w:rsidRPr="0040232F">
        <w:rPr>
          <w:rFonts w:ascii="Times New Roman" w:hAnsi="Times New Roman"/>
        </w:rPr>
        <w:t xml:space="preserve"> and new </w:t>
      </w:r>
      <w:r w:rsidR="00306BC4" w:rsidRPr="0040232F">
        <w:rPr>
          <w:rFonts w:ascii="Times New Roman" w:hAnsi="Times New Roman"/>
        </w:rPr>
        <w:t xml:space="preserve">male </w:t>
      </w:r>
      <w:r w:rsidRPr="0040232F">
        <w:rPr>
          <w:rFonts w:ascii="Times New Roman" w:hAnsi="Times New Roman"/>
        </w:rPr>
        <w:t xml:space="preserve">teachers. Fewer </w:t>
      </w:r>
      <w:r w:rsidR="00D83B27" w:rsidRPr="0040232F">
        <w:rPr>
          <w:rFonts w:ascii="Times New Roman" w:hAnsi="Times New Roman"/>
        </w:rPr>
        <w:t xml:space="preserve">first-year </w:t>
      </w:r>
      <w:r w:rsidRPr="0040232F">
        <w:rPr>
          <w:rFonts w:ascii="Times New Roman" w:hAnsi="Times New Roman"/>
        </w:rPr>
        <w:t xml:space="preserve">teachers </w:t>
      </w:r>
      <w:r w:rsidR="00973B48" w:rsidRPr="0040232F">
        <w:rPr>
          <w:rFonts w:ascii="Times New Roman" w:hAnsi="Times New Roman"/>
        </w:rPr>
        <w:t xml:space="preserve">of color </w:t>
      </w:r>
      <w:r w:rsidRPr="0040232F">
        <w:rPr>
          <w:rFonts w:ascii="Times New Roman" w:hAnsi="Times New Roman"/>
        </w:rPr>
        <w:t>worked as a paraprofessional or long-term substitute teacher before teaching, but a higher percent</w:t>
      </w:r>
      <w:r w:rsidR="00306BC4">
        <w:rPr>
          <w:rFonts w:ascii="Times New Roman" w:hAnsi="Times New Roman"/>
        </w:rPr>
        <w:t>age</w:t>
      </w:r>
      <w:r w:rsidRPr="0040232F">
        <w:rPr>
          <w:rFonts w:ascii="Times New Roman" w:hAnsi="Times New Roman"/>
        </w:rPr>
        <w:t xml:space="preserve"> worked in </w:t>
      </w:r>
      <w:r w:rsidR="005C2C4B" w:rsidRPr="0040232F">
        <w:rPr>
          <w:rFonts w:ascii="Times New Roman" w:hAnsi="Times New Roman"/>
        </w:rPr>
        <w:t>administrative support roles</w:t>
      </w:r>
      <w:r w:rsidRPr="0040232F">
        <w:rPr>
          <w:rFonts w:ascii="Times New Roman" w:hAnsi="Times New Roman"/>
        </w:rPr>
        <w:t xml:space="preserve"> or as clerical staff. Among new </w:t>
      </w:r>
      <w:r w:rsidR="00306BC4" w:rsidRPr="0040232F">
        <w:rPr>
          <w:rFonts w:ascii="Times New Roman" w:hAnsi="Times New Roman"/>
        </w:rPr>
        <w:t xml:space="preserve">male </w:t>
      </w:r>
      <w:r w:rsidRPr="0040232F">
        <w:rPr>
          <w:rFonts w:ascii="Times New Roman" w:hAnsi="Times New Roman"/>
        </w:rPr>
        <w:t>teachers, a higher percent</w:t>
      </w:r>
      <w:r w:rsidR="00306BC4">
        <w:rPr>
          <w:rFonts w:ascii="Times New Roman" w:hAnsi="Times New Roman"/>
        </w:rPr>
        <w:t>age</w:t>
      </w:r>
      <w:r w:rsidRPr="0040232F">
        <w:rPr>
          <w:rFonts w:ascii="Times New Roman" w:hAnsi="Times New Roman"/>
        </w:rPr>
        <w:t xml:space="preserve"> worked as a long term substit</w:t>
      </w:r>
      <w:r w:rsidR="00525334" w:rsidRPr="0040232F">
        <w:rPr>
          <w:rFonts w:ascii="Times New Roman" w:hAnsi="Times New Roman"/>
        </w:rPr>
        <w:t>ute teacher or in administrative support</w:t>
      </w:r>
      <w:r w:rsidRPr="0040232F">
        <w:rPr>
          <w:rFonts w:ascii="Times New Roman" w:hAnsi="Times New Roman"/>
        </w:rPr>
        <w:t xml:space="preserve"> before teaching</w:t>
      </w:r>
      <w:r w:rsidR="005C2C4B" w:rsidRPr="0040232F">
        <w:rPr>
          <w:rFonts w:ascii="Times New Roman" w:hAnsi="Times New Roman"/>
        </w:rPr>
        <w:t>.</w:t>
      </w:r>
    </w:p>
    <w:p w:rsidR="00FE79E6" w:rsidRPr="00446709" w:rsidRDefault="00FE79E6" w:rsidP="00446709">
      <w:pPr>
        <w:pStyle w:val="Heading2"/>
        <w:spacing w:line="240" w:lineRule="auto"/>
        <w:rPr>
          <w:i w:val="0"/>
          <w:sz w:val="21"/>
          <w:szCs w:val="21"/>
        </w:rPr>
      </w:pPr>
      <w:r w:rsidRPr="00446709">
        <w:rPr>
          <w:i w:val="0"/>
          <w:sz w:val="21"/>
          <w:szCs w:val="21"/>
        </w:rPr>
        <w:t xml:space="preserve">Table </w:t>
      </w:r>
      <w:r w:rsidR="00B91D2A" w:rsidRPr="00446709">
        <w:rPr>
          <w:i w:val="0"/>
          <w:sz w:val="21"/>
          <w:szCs w:val="21"/>
        </w:rPr>
        <w:t>2.7</w:t>
      </w:r>
      <w:r w:rsidRPr="00446709">
        <w:rPr>
          <w:i w:val="0"/>
          <w:sz w:val="21"/>
          <w:szCs w:val="21"/>
        </w:rPr>
        <w:t xml:space="preserve">: Roles Held by 2012-13 </w:t>
      </w:r>
      <w:r w:rsidR="000D7B8F" w:rsidRPr="00446709">
        <w:rPr>
          <w:i w:val="0"/>
          <w:sz w:val="21"/>
          <w:szCs w:val="21"/>
        </w:rPr>
        <w:t>First-Year</w:t>
      </w:r>
      <w:r w:rsidRPr="00446709">
        <w:rPr>
          <w:i w:val="0"/>
          <w:sz w:val="21"/>
          <w:szCs w:val="21"/>
        </w:rPr>
        <w:t xml:space="preserve"> Teachers Who Appeared Previously in EPIMS</w:t>
      </w:r>
    </w:p>
    <w:tbl>
      <w:tblPr>
        <w:tblStyle w:val="TableGrid"/>
        <w:tblW w:w="7128" w:type="dxa"/>
        <w:tblLook w:val="04A0"/>
      </w:tblPr>
      <w:tblGrid>
        <w:gridCol w:w="2448"/>
        <w:gridCol w:w="1620"/>
        <w:gridCol w:w="1530"/>
        <w:gridCol w:w="1530"/>
      </w:tblGrid>
      <w:tr w:rsidR="00FE79E6" w:rsidRPr="002C71D4" w:rsidTr="00BB5929">
        <w:trPr>
          <w:trHeight w:val="620"/>
        </w:trPr>
        <w:tc>
          <w:tcPr>
            <w:tcW w:w="2448" w:type="dxa"/>
            <w:shd w:val="clear" w:color="auto" w:fill="D9D9D9" w:themeFill="background1" w:themeFillShade="D9"/>
            <w:noWrap/>
            <w:vAlign w:val="center"/>
            <w:hideMark/>
          </w:tcPr>
          <w:p w:rsidR="00FE79E6" w:rsidRPr="002C71D4" w:rsidRDefault="00FE79E6" w:rsidP="00BB5929">
            <w:pPr>
              <w:spacing w:line="240" w:lineRule="auto"/>
              <w:jc w:val="center"/>
              <w:rPr>
                <w:rFonts w:ascii="Arial Narrow" w:hAnsi="Arial Narrow"/>
                <w:b/>
                <w:color w:val="000000"/>
                <w:sz w:val="21"/>
                <w:szCs w:val="21"/>
              </w:rPr>
            </w:pPr>
          </w:p>
        </w:tc>
        <w:tc>
          <w:tcPr>
            <w:tcW w:w="1620" w:type="dxa"/>
            <w:shd w:val="clear" w:color="auto" w:fill="D9D9D9" w:themeFill="background1" w:themeFillShade="D9"/>
            <w:noWrap/>
            <w:vAlign w:val="center"/>
            <w:hideMark/>
          </w:tcPr>
          <w:p w:rsidR="00FE79E6" w:rsidRPr="002C71D4" w:rsidRDefault="00FE79E6" w:rsidP="00BB5929">
            <w:pPr>
              <w:spacing w:line="240" w:lineRule="auto"/>
              <w:jc w:val="center"/>
              <w:rPr>
                <w:rFonts w:ascii="Arial Narrow" w:hAnsi="Arial Narrow"/>
                <w:b/>
                <w:color w:val="000000"/>
                <w:sz w:val="21"/>
                <w:szCs w:val="21"/>
              </w:rPr>
            </w:pPr>
            <w:r w:rsidRPr="002C71D4">
              <w:rPr>
                <w:rFonts w:ascii="Arial Narrow" w:hAnsi="Arial Narrow"/>
                <w:b/>
                <w:color w:val="000000"/>
                <w:sz w:val="21"/>
                <w:szCs w:val="21"/>
              </w:rPr>
              <w:t>All New Teachers</w:t>
            </w:r>
          </w:p>
        </w:tc>
        <w:tc>
          <w:tcPr>
            <w:tcW w:w="1530" w:type="dxa"/>
            <w:shd w:val="clear" w:color="auto" w:fill="D9D9D9" w:themeFill="background1" w:themeFillShade="D9"/>
            <w:noWrap/>
            <w:vAlign w:val="center"/>
            <w:hideMark/>
          </w:tcPr>
          <w:p w:rsidR="00973B48" w:rsidRPr="002C71D4" w:rsidRDefault="00FE79E6" w:rsidP="00BB5929">
            <w:pPr>
              <w:spacing w:line="240" w:lineRule="auto"/>
              <w:jc w:val="center"/>
              <w:rPr>
                <w:rFonts w:ascii="Arial Narrow" w:hAnsi="Arial Narrow"/>
                <w:b/>
                <w:color w:val="000000"/>
                <w:sz w:val="21"/>
                <w:szCs w:val="21"/>
              </w:rPr>
            </w:pPr>
            <w:r w:rsidRPr="002C71D4">
              <w:rPr>
                <w:rFonts w:ascii="Arial Narrow" w:hAnsi="Arial Narrow"/>
                <w:b/>
                <w:color w:val="000000"/>
                <w:sz w:val="21"/>
                <w:szCs w:val="21"/>
              </w:rPr>
              <w:t>New Teachers</w:t>
            </w:r>
          </w:p>
          <w:p w:rsidR="00FE79E6" w:rsidRPr="002C71D4" w:rsidRDefault="00973B48" w:rsidP="00BB5929">
            <w:pPr>
              <w:spacing w:line="240" w:lineRule="auto"/>
              <w:jc w:val="center"/>
              <w:rPr>
                <w:rFonts w:ascii="Arial Narrow" w:hAnsi="Arial Narrow"/>
                <w:b/>
                <w:color w:val="000000"/>
                <w:sz w:val="21"/>
                <w:szCs w:val="21"/>
              </w:rPr>
            </w:pPr>
            <w:r w:rsidRPr="002C71D4">
              <w:rPr>
                <w:rFonts w:ascii="Arial Narrow" w:hAnsi="Arial Narrow"/>
                <w:b/>
                <w:color w:val="000000"/>
                <w:sz w:val="21"/>
                <w:szCs w:val="21"/>
              </w:rPr>
              <w:t>of Color</w:t>
            </w:r>
          </w:p>
        </w:tc>
        <w:tc>
          <w:tcPr>
            <w:tcW w:w="1530" w:type="dxa"/>
            <w:shd w:val="clear" w:color="auto" w:fill="D9D9D9" w:themeFill="background1" w:themeFillShade="D9"/>
            <w:noWrap/>
            <w:vAlign w:val="center"/>
            <w:hideMark/>
          </w:tcPr>
          <w:p w:rsidR="00FE79E6" w:rsidRPr="002C71D4" w:rsidRDefault="00FE79E6" w:rsidP="00BB5929">
            <w:pPr>
              <w:spacing w:line="240" w:lineRule="auto"/>
              <w:jc w:val="center"/>
              <w:rPr>
                <w:rFonts w:ascii="Arial Narrow" w:hAnsi="Arial Narrow"/>
                <w:b/>
                <w:color w:val="000000"/>
                <w:sz w:val="21"/>
                <w:szCs w:val="21"/>
              </w:rPr>
            </w:pPr>
            <w:r w:rsidRPr="002C71D4">
              <w:rPr>
                <w:rFonts w:ascii="Arial Narrow" w:hAnsi="Arial Narrow"/>
                <w:b/>
                <w:color w:val="000000"/>
                <w:sz w:val="21"/>
                <w:szCs w:val="21"/>
              </w:rPr>
              <w:t>Male New Teachers</w:t>
            </w:r>
          </w:p>
        </w:tc>
      </w:tr>
      <w:tr w:rsidR="00DA54B2" w:rsidRPr="002C71D4" w:rsidTr="00BB5929">
        <w:trPr>
          <w:trHeight w:val="296"/>
        </w:trPr>
        <w:tc>
          <w:tcPr>
            <w:tcW w:w="2448" w:type="dxa"/>
            <w:noWrap/>
            <w:vAlign w:val="center"/>
            <w:hideMark/>
          </w:tcPr>
          <w:p w:rsidR="00DA54B2" w:rsidRPr="002C71D4" w:rsidRDefault="00DA54B2" w:rsidP="00BB5929">
            <w:pPr>
              <w:spacing w:line="240" w:lineRule="auto"/>
              <w:rPr>
                <w:rFonts w:ascii="Arial Narrow" w:hAnsi="Arial Narrow"/>
                <w:color w:val="000000"/>
                <w:sz w:val="21"/>
                <w:szCs w:val="21"/>
              </w:rPr>
            </w:pPr>
            <w:r w:rsidRPr="002C71D4">
              <w:rPr>
                <w:rFonts w:ascii="Arial Narrow" w:hAnsi="Arial Narrow"/>
                <w:color w:val="000000"/>
                <w:sz w:val="21"/>
                <w:szCs w:val="21"/>
              </w:rPr>
              <w:t>Paraprofessional</w:t>
            </w:r>
          </w:p>
        </w:tc>
        <w:tc>
          <w:tcPr>
            <w:tcW w:w="162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69.3%</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56.8%</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60.4%</w:t>
            </w:r>
          </w:p>
        </w:tc>
      </w:tr>
      <w:tr w:rsidR="00DA54B2" w:rsidRPr="002C71D4" w:rsidTr="00BB5929">
        <w:trPr>
          <w:trHeight w:val="296"/>
        </w:trPr>
        <w:tc>
          <w:tcPr>
            <w:tcW w:w="2448" w:type="dxa"/>
            <w:noWrap/>
            <w:vAlign w:val="center"/>
            <w:hideMark/>
          </w:tcPr>
          <w:p w:rsidR="00DA54B2" w:rsidRPr="002C71D4" w:rsidRDefault="00DA54B2" w:rsidP="00BB5929">
            <w:pPr>
              <w:spacing w:line="240" w:lineRule="auto"/>
              <w:rPr>
                <w:rFonts w:ascii="Arial Narrow" w:hAnsi="Arial Narrow"/>
                <w:color w:val="000000"/>
                <w:sz w:val="21"/>
                <w:szCs w:val="21"/>
              </w:rPr>
            </w:pPr>
            <w:r w:rsidRPr="002C71D4">
              <w:rPr>
                <w:rFonts w:ascii="Arial Narrow" w:hAnsi="Arial Narrow"/>
                <w:color w:val="000000"/>
                <w:sz w:val="21"/>
                <w:szCs w:val="21"/>
              </w:rPr>
              <w:t>Long term substitute</w:t>
            </w:r>
          </w:p>
        </w:tc>
        <w:tc>
          <w:tcPr>
            <w:tcW w:w="162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16.8%</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10.3%</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22.0%</w:t>
            </w:r>
          </w:p>
        </w:tc>
      </w:tr>
      <w:tr w:rsidR="00DA54B2" w:rsidRPr="002C71D4" w:rsidTr="00BB5929">
        <w:trPr>
          <w:trHeight w:val="296"/>
        </w:trPr>
        <w:tc>
          <w:tcPr>
            <w:tcW w:w="2448" w:type="dxa"/>
            <w:noWrap/>
            <w:vAlign w:val="center"/>
            <w:hideMark/>
          </w:tcPr>
          <w:p w:rsidR="00DA54B2" w:rsidRPr="002C71D4" w:rsidRDefault="00DA54B2" w:rsidP="00BB5929">
            <w:pPr>
              <w:spacing w:line="240" w:lineRule="auto"/>
              <w:rPr>
                <w:rFonts w:ascii="Arial Narrow" w:hAnsi="Arial Narrow"/>
                <w:color w:val="000000"/>
                <w:sz w:val="21"/>
                <w:szCs w:val="21"/>
              </w:rPr>
            </w:pPr>
            <w:r w:rsidRPr="002C71D4">
              <w:rPr>
                <w:rFonts w:ascii="Arial Narrow" w:hAnsi="Arial Narrow"/>
                <w:color w:val="000000"/>
                <w:sz w:val="21"/>
                <w:szCs w:val="21"/>
              </w:rPr>
              <w:t>Tutor</w:t>
            </w:r>
          </w:p>
        </w:tc>
        <w:tc>
          <w:tcPr>
            <w:tcW w:w="162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7.1%</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9.6%</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8.3%</w:t>
            </w:r>
          </w:p>
        </w:tc>
      </w:tr>
      <w:tr w:rsidR="00DA54B2" w:rsidRPr="002C71D4" w:rsidTr="00BB5929">
        <w:trPr>
          <w:trHeight w:val="296"/>
        </w:trPr>
        <w:tc>
          <w:tcPr>
            <w:tcW w:w="2448" w:type="dxa"/>
            <w:noWrap/>
            <w:vAlign w:val="center"/>
            <w:hideMark/>
          </w:tcPr>
          <w:p w:rsidR="00DA54B2" w:rsidRPr="002C71D4" w:rsidRDefault="00DA54B2" w:rsidP="00BB5929">
            <w:pPr>
              <w:spacing w:line="240" w:lineRule="auto"/>
              <w:rPr>
                <w:rFonts w:ascii="Arial Narrow" w:hAnsi="Arial Narrow"/>
                <w:color w:val="000000"/>
                <w:sz w:val="21"/>
                <w:szCs w:val="21"/>
              </w:rPr>
            </w:pPr>
            <w:r w:rsidRPr="002C71D4">
              <w:rPr>
                <w:rFonts w:ascii="Arial Narrow" w:hAnsi="Arial Narrow"/>
                <w:color w:val="000000"/>
                <w:sz w:val="21"/>
                <w:szCs w:val="21"/>
              </w:rPr>
              <w:t>Other Instructional Support</w:t>
            </w:r>
          </w:p>
        </w:tc>
        <w:tc>
          <w:tcPr>
            <w:tcW w:w="162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4.9%</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6.8%</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4.8%</w:t>
            </w:r>
          </w:p>
        </w:tc>
      </w:tr>
      <w:tr w:rsidR="00DA54B2" w:rsidRPr="002C71D4" w:rsidTr="00BB5929">
        <w:trPr>
          <w:trHeight w:val="296"/>
        </w:trPr>
        <w:tc>
          <w:tcPr>
            <w:tcW w:w="2448" w:type="dxa"/>
            <w:noWrap/>
            <w:vAlign w:val="center"/>
            <w:hideMark/>
          </w:tcPr>
          <w:p w:rsidR="00DA54B2" w:rsidRPr="002C71D4" w:rsidRDefault="00DA54B2" w:rsidP="00BB5929">
            <w:pPr>
              <w:spacing w:line="240" w:lineRule="auto"/>
              <w:rPr>
                <w:rFonts w:ascii="Arial Narrow" w:hAnsi="Arial Narrow"/>
                <w:color w:val="000000"/>
                <w:sz w:val="21"/>
                <w:szCs w:val="21"/>
              </w:rPr>
            </w:pPr>
            <w:r w:rsidRPr="002C71D4">
              <w:rPr>
                <w:rFonts w:ascii="Arial Narrow" w:hAnsi="Arial Narrow"/>
                <w:color w:val="000000"/>
                <w:sz w:val="21"/>
                <w:szCs w:val="21"/>
              </w:rPr>
              <w:t>Administrative Support</w:t>
            </w:r>
          </w:p>
        </w:tc>
        <w:tc>
          <w:tcPr>
            <w:tcW w:w="162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2.2%</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11.6%</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4.5%</w:t>
            </w:r>
          </w:p>
        </w:tc>
      </w:tr>
      <w:tr w:rsidR="00DA54B2" w:rsidRPr="002C71D4" w:rsidTr="00BB5929">
        <w:trPr>
          <w:trHeight w:val="296"/>
        </w:trPr>
        <w:tc>
          <w:tcPr>
            <w:tcW w:w="2448" w:type="dxa"/>
            <w:noWrap/>
            <w:vAlign w:val="center"/>
            <w:hideMark/>
          </w:tcPr>
          <w:p w:rsidR="00DA54B2" w:rsidRPr="002C71D4" w:rsidRDefault="00DA54B2" w:rsidP="00BB5929">
            <w:pPr>
              <w:spacing w:line="240" w:lineRule="auto"/>
              <w:rPr>
                <w:rFonts w:ascii="Arial Narrow" w:hAnsi="Arial Narrow"/>
                <w:color w:val="000000"/>
                <w:sz w:val="21"/>
                <w:szCs w:val="21"/>
              </w:rPr>
            </w:pPr>
            <w:r w:rsidRPr="002C71D4">
              <w:rPr>
                <w:rFonts w:ascii="Arial Narrow" w:hAnsi="Arial Narrow"/>
                <w:color w:val="000000"/>
                <w:sz w:val="21"/>
                <w:szCs w:val="21"/>
              </w:rPr>
              <w:t>Other Special Ed Staff</w:t>
            </w:r>
          </w:p>
        </w:tc>
        <w:tc>
          <w:tcPr>
            <w:tcW w:w="162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4.6%</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0.7%</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3.2%</w:t>
            </w:r>
          </w:p>
        </w:tc>
      </w:tr>
      <w:tr w:rsidR="00DA54B2" w:rsidRPr="002C71D4" w:rsidTr="00BB5929">
        <w:trPr>
          <w:trHeight w:val="296"/>
        </w:trPr>
        <w:tc>
          <w:tcPr>
            <w:tcW w:w="2448" w:type="dxa"/>
            <w:noWrap/>
            <w:vAlign w:val="center"/>
            <w:hideMark/>
          </w:tcPr>
          <w:p w:rsidR="00DA54B2" w:rsidRPr="002C71D4" w:rsidRDefault="00DA54B2" w:rsidP="00BB5929">
            <w:pPr>
              <w:spacing w:line="240" w:lineRule="auto"/>
              <w:rPr>
                <w:rFonts w:ascii="Arial Narrow" w:hAnsi="Arial Narrow"/>
                <w:color w:val="000000"/>
                <w:sz w:val="21"/>
                <w:szCs w:val="21"/>
              </w:rPr>
            </w:pPr>
            <w:r w:rsidRPr="002C71D4">
              <w:rPr>
                <w:rFonts w:ascii="Arial Narrow" w:hAnsi="Arial Narrow"/>
                <w:color w:val="000000"/>
                <w:sz w:val="21"/>
                <w:szCs w:val="21"/>
              </w:rPr>
              <w:t>Clerical staff</w:t>
            </w:r>
          </w:p>
        </w:tc>
        <w:tc>
          <w:tcPr>
            <w:tcW w:w="162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4.6%</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12.3%</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4.5%</w:t>
            </w:r>
          </w:p>
        </w:tc>
      </w:tr>
      <w:tr w:rsidR="00DA54B2" w:rsidRPr="002C71D4" w:rsidTr="00BB5929">
        <w:trPr>
          <w:trHeight w:val="296"/>
        </w:trPr>
        <w:tc>
          <w:tcPr>
            <w:tcW w:w="2448" w:type="dxa"/>
            <w:noWrap/>
            <w:vAlign w:val="center"/>
            <w:hideMark/>
          </w:tcPr>
          <w:p w:rsidR="00DA54B2" w:rsidRPr="002C71D4" w:rsidRDefault="00DA54B2" w:rsidP="00BB5929">
            <w:pPr>
              <w:spacing w:line="240" w:lineRule="auto"/>
              <w:rPr>
                <w:rFonts w:ascii="Arial Narrow" w:hAnsi="Arial Narrow"/>
                <w:color w:val="000000"/>
                <w:sz w:val="21"/>
                <w:szCs w:val="21"/>
              </w:rPr>
            </w:pPr>
            <w:r w:rsidRPr="002C71D4">
              <w:rPr>
                <w:rFonts w:ascii="Arial Narrow" w:hAnsi="Arial Narrow"/>
                <w:color w:val="000000"/>
                <w:sz w:val="21"/>
                <w:szCs w:val="21"/>
              </w:rPr>
              <w:t>Instructional Coach</w:t>
            </w:r>
          </w:p>
        </w:tc>
        <w:tc>
          <w:tcPr>
            <w:tcW w:w="162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1.5%</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1.4%</w:t>
            </w:r>
          </w:p>
        </w:tc>
        <w:tc>
          <w:tcPr>
            <w:tcW w:w="1530" w:type="dxa"/>
            <w:noWrap/>
            <w:vAlign w:val="center"/>
            <w:hideMark/>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1.9%</w:t>
            </w:r>
          </w:p>
        </w:tc>
      </w:tr>
      <w:tr w:rsidR="00DA54B2" w:rsidRPr="002C71D4" w:rsidTr="00BB5929">
        <w:trPr>
          <w:trHeight w:val="296"/>
        </w:trPr>
        <w:tc>
          <w:tcPr>
            <w:tcW w:w="2448" w:type="dxa"/>
            <w:noWrap/>
            <w:vAlign w:val="center"/>
          </w:tcPr>
          <w:p w:rsidR="00DA54B2" w:rsidRPr="002C71D4" w:rsidRDefault="00DA54B2" w:rsidP="00BB5929">
            <w:pPr>
              <w:spacing w:line="240" w:lineRule="auto"/>
              <w:rPr>
                <w:rFonts w:ascii="Arial Narrow" w:hAnsi="Arial Narrow"/>
                <w:color w:val="000000"/>
                <w:sz w:val="21"/>
                <w:szCs w:val="21"/>
              </w:rPr>
            </w:pPr>
            <w:r w:rsidRPr="002C71D4">
              <w:rPr>
                <w:rFonts w:ascii="Arial Narrow" w:hAnsi="Arial Narrow"/>
                <w:color w:val="000000"/>
                <w:sz w:val="21"/>
                <w:szCs w:val="21"/>
              </w:rPr>
              <w:t>Administrator</w:t>
            </w:r>
          </w:p>
        </w:tc>
        <w:tc>
          <w:tcPr>
            <w:tcW w:w="1620" w:type="dxa"/>
            <w:noWrap/>
            <w:vAlign w:val="center"/>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1.0%</w:t>
            </w:r>
          </w:p>
        </w:tc>
        <w:tc>
          <w:tcPr>
            <w:tcW w:w="1530" w:type="dxa"/>
            <w:noWrap/>
            <w:vAlign w:val="center"/>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4.8%</w:t>
            </w:r>
          </w:p>
        </w:tc>
        <w:tc>
          <w:tcPr>
            <w:tcW w:w="1530" w:type="dxa"/>
            <w:noWrap/>
            <w:vAlign w:val="center"/>
          </w:tcPr>
          <w:p w:rsidR="00DA54B2" w:rsidRPr="002C71D4" w:rsidRDefault="00DA54B2" w:rsidP="00BB5929">
            <w:pPr>
              <w:spacing w:line="240" w:lineRule="auto"/>
              <w:jc w:val="center"/>
              <w:rPr>
                <w:rFonts w:ascii="Arial Narrow" w:hAnsi="Arial Narrow"/>
                <w:color w:val="000000"/>
                <w:sz w:val="21"/>
                <w:szCs w:val="21"/>
              </w:rPr>
            </w:pPr>
            <w:r w:rsidRPr="002C71D4">
              <w:rPr>
                <w:rFonts w:ascii="Arial Narrow" w:hAnsi="Arial Narrow"/>
                <w:color w:val="000000"/>
                <w:sz w:val="21"/>
                <w:szCs w:val="21"/>
              </w:rPr>
              <w:t>2.6%</w:t>
            </w:r>
          </w:p>
        </w:tc>
      </w:tr>
    </w:tbl>
    <w:p w:rsidR="00FE79E6" w:rsidRPr="00BB5929" w:rsidRDefault="00FE79E6" w:rsidP="0040232F">
      <w:pPr>
        <w:pStyle w:val="Sources"/>
        <w:spacing w:line="240" w:lineRule="auto"/>
        <w:rPr>
          <w:rFonts w:ascii="Times New Roman" w:hAnsi="Times New Roman" w:cs="Times New Roman"/>
        </w:rPr>
      </w:pPr>
      <w:r w:rsidRPr="00BB5929">
        <w:rPr>
          <w:rFonts w:ascii="Times New Roman" w:hAnsi="Times New Roman" w:cs="Times New Roman"/>
        </w:rPr>
        <w:t>Note: Because teachers may have held multiple roles previously, percentages total to more than 100%.</w:t>
      </w:r>
      <w:r w:rsidR="008C4F76" w:rsidRPr="00BB5929">
        <w:rPr>
          <w:rFonts w:ascii="Times New Roman" w:hAnsi="Times New Roman" w:cs="Times New Roman"/>
        </w:rPr>
        <w:t xml:space="preserve"> Administrator roles include roles such as supervisor/director positions, principals and special education administrators.</w:t>
      </w:r>
    </w:p>
    <w:p w:rsidR="00D10881" w:rsidRDefault="00D10881" w:rsidP="0040232F">
      <w:pPr>
        <w:spacing w:line="240" w:lineRule="auto"/>
      </w:pPr>
    </w:p>
    <w:p w:rsidR="00DF1EFD" w:rsidRDefault="00DF1EFD" w:rsidP="0040232F">
      <w:pPr>
        <w:spacing w:line="240" w:lineRule="auto"/>
      </w:pPr>
    </w:p>
    <w:p w:rsidR="00D10881" w:rsidRPr="0040232F" w:rsidRDefault="00D10881" w:rsidP="0040232F">
      <w:pPr>
        <w:spacing w:line="240" w:lineRule="auto"/>
        <w:rPr>
          <w:rFonts w:ascii="Times New Roman" w:hAnsi="Times New Roman"/>
        </w:rPr>
      </w:pPr>
      <w:r w:rsidRPr="0040232F">
        <w:rPr>
          <w:rFonts w:ascii="Times New Roman" w:hAnsi="Times New Roman"/>
        </w:rPr>
        <w:t>A higher percent</w:t>
      </w:r>
      <w:r w:rsidR="00306BC4">
        <w:rPr>
          <w:rFonts w:ascii="Times New Roman" w:hAnsi="Times New Roman"/>
        </w:rPr>
        <w:t>age</w:t>
      </w:r>
      <w:r w:rsidRPr="0040232F">
        <w:rPr>
          <w:rFonts w:ascii="Times New Roman" w:hAnsi="Times New Roman"/>
        </w:rPr>
        <w:t xml:space="preserve"> of white and female new teachers worked previously in a Massachusetts public school, compared with </w:t>
      </w:r>
      <w:r w:rsidR="00973B48" w:rsidRPr="0040232F">
        <w:rPr>
          <w:rFonts w:ascii="Times New Roman" w:hAnsi="Times New Roman"/>
        </w:rPr>
        <w:t xml:space="preserve">teachers of color </w:t>
      </w:r>
      <w:r w:rsidRPr="0040232F">
        <w:rPr>
          <w:rFonts w:ascii="Times New Roman" w:hAnsi="Times New Roman"/>
        </w:rPr>
        <w:t>and male teachers (see Chart 2.</w:t>
      </w:r>
      <w:r w:rsidR="00CF11B9" w:rsidRPr="0040232F">
        <w:rPr>
          <w:rFonts w:ascii="Times New Roman" w:hAnsi="Times New Roman"/>
        </w:rPr>
        <w:t>6</w:t>
      </w:r>
      <w:r w:rsidRPr="0040232F">
        <w:rPr>
          <w:rFonts w:ascii="Times New Roman" w:hAnsi="Times New Roman"/>
        </w:rPr>
        <w:t xml:space="preserve">). </w:t>
      </w:r>
      <w:r w:rsidR="003F092B" w:rsidRPr="0040232F">
        <w:rPr>
          <w:rFonts w:ascii="Times New Roman" w:hAnsi="Times New Roman"/>
        </w:rPr>
        <w:t>And, a</w:t>
      </w:r>
      <w:r w:rsidR="00552BE1" w:rsidRPr="0040232F">
        <w:rPr>
          <w:rFonts w:ascii="Times New Roman" w:hAnsi="Times New Roman"/>
        </w:rPr>
        <w:t>s Chart 2.</w:t>
      </w:r>
      <w:r w:rsidR="00CF11B9" w:rsidRPr="0040232F">
        <w:rPr>
          <w:rFonts w:ascii="Times New Roman" w:hAnsi="Times New Roman"/>
        </w:rPr>
        <w:t>7</w:t>
      </w:r>
      <w:r w:rsidRPr="0040232F">
        <w:rPr>
          <w:rFonts w:ascii="Times New Roman" w:hAnsi="Times New Roman"/>
        </w:rPr>
        <w:t xml:space="preserve"> and</w:t>
      </w:r>
      <w:r w:rsidR="00306BC4">
        <w:rPr>
          <w:rFonts w:ascii="Times New Roman" w:hAnsi="Times New Roman"/>
        </w:rPr>
        <w:t xml:space="preserve"> Chart</w:t>
      </w:r>
      <w:r w:rsidRPr="0040232F">
        <w:rPr>
          <w:rFonts w:ascii="Times New Roman" w:hAnsi="Times New Roman"/>
        </w:rPr>
        <w:t xml:space="preserve"> 2.</w:t>
      </w:r>
      <w:r w:rsidR="00CF11B9" w:rsidRPr="0040232F">
        <w:rPr>
          <w:rFonts w:ascii="Times New Roman" w:hAnsi="Times New Roman"/>
        </w:rPr>
        <w:t>8</w:t>
      </w:r>
      <w:r w:rsidRPr="0040232F">
        <w:rPr>
          <w:rFonts w:ascii="Times New Roman" w:hAnsi="Times New Roman"/>
        </w:rPr>
        <w:t xml:space="preserve"> show, a higher percent of new teachers in Level 1 and </w:t>
      </w:r>
      <w:r w:rsidR="00552BE1" w:rsidRPr="0040232F">
        <w:rPr>
          <w:rFonts w:ascii="Times New Roman" w:hAnsi="Times New Roman"/>
        </w:rPr>
        <w:t xml:space="preserve">Level </w:t>
      </w:r>
      <w:r w:rsidRPr="0040232F">
        <w:rPr>
          <w:rFonts w:ascii="Times New Roman" w:hAnsi="Times New Roman"/>
        </w:rPr>
        <w:t xml:space="preserve">2 schools, </w:t>
      </w:r>
      <w:r w:rsidR="00306BC4">
        <w:rPr>
          <w:rFonts w:ascii="Times New Roman" w:hAnsi="Times New Roman"/>
        </w:rPr>
        <w:t>e</w:t>
      </w:r>
      <w:r w:rsidRPr="0040232F">
        <w:rPr>
          <w:rFonts w:ascii="Times New Roman" w:hAnsi="Times New Roman"/>
        </w:rPr>
        <w:t>lementary grades</w:t>
      </w:r>
      <w:r w:rsidR="00306BC4">
        <w:rPr>
          <w:rFonts w:ascii="Times New Roman" w:hAnsi="Times New Roman"/>
        </w:rPr>
        <w:t>,</w:t>
      </w:r>
      <w:r w:rsidRPr="0040232F">
        <w:rPr>
          <w:rFonts w:ascii="Times New Roman" w:hAnsi="Times New Roman"/>
        </w:rPr>
        <w:t xml:space="preserve"> and English </w:t>
      </w:r>
      <w:r w:rsidR="00306BC4">
        <w:rPr>
          <w:rFonts w:ascii="Times New Roman" w:hAnsi="Times New Roman"/>
        </w:rPr>
        <w:t>l</w:t>
      </w:r>
      <w:r w:rsidRPr="0040232F">
        <w:rPr>
          <w:rFonts w:ascii="Times New Roman" w:hAnsi="Times New Roman"/>
        </w:rPr>
        <w:t xml:space="preserve">anguage </w:t>
      </w:r>
      <w:r w:rsidR="00306BC4">
        <w:rPr>
          <w:rFonts w:ascii="Times New Roman" w:hAnsi="Times New Roman"/>
        </w:rPr>
        <w:t>a</w:t>
      </w:r>
      <w:r w:rsidRPr="0040232F">
        <w:rPr>
          <w:rFonts w:ascii="Times New Roman" w:hAnsi="Times New Roman"/>
        </w:rPr>
        <w:t xml:space="preserve">rts, have worked </w:t>
      </w:r>
      <w:r w:rsidR="00306BC4">
        <w:rPr>
          <w:rFonts w:ascii="Times New Roman" w:hAnsi="Times New Roman"/>
        </w:rPr>
        <w:t>pr</w:t>
      </w:r>
      <w:r w:rsidR="00433E5F">
        <w:rPr>
          <w:rFonts w:ascii="Times New Roman" w:hAnsi="Times New Roman"/>
        </w:rPr>
        <w:t>e</w:t>
      </w:r>
      <w:r w:rsidR="00306BC4">
        <w:rPr>
          <w:rFonts w:ascii="Times New Roman" w:hAnsi="Times New Roman"/>
        </w:rPr>
        <w:t>viously</w:t>
      </w:r>
      <w:r w:rsidR="00306BC4" w:rsidRPr="0040232F">
        <w:rPr>
          <w:rFonts w:ascii="Times New Roman" w:hAnsi="Times New Roman"/>
        </w:rPr>
        <w:t xml:space="preserve"> </w:t>
      </w:r>
      <w:r w:rsidRPr="0040232F">
        <w:rPr>
          <w:rFonts w:ascii="Times New Roman" w:hAnsi="Times New Roman"/>
        </w:rPr>
        <w:t>in a Massachusetts public school.</w:t>
      </w:r>
      <w:r w:rsidR="00A86FBA" w:rsidRPr="0040232F">
        <w:rPr>
          <w:rFonts w:ascii="Times New Roman" w:hAnsi="Times New Roman"/>
        </w:rPr>
        <w:t xml:space="preserve"> This is also true for first-year teachers in low-poverty schools.</w:t>
      </w:r>
      <w:r w:rsidRPr="0040232F">
        <w:rPr>
          <w:rFonts w:ascii="Times New Roman" w:hAnsi="Times New Roman"/>
        </w:rPr>
        <w:t xml:space="preserve"> This may indicate that, due to the higher competition for these jobs, candidates need to demonstrate work experience in the field before becoming a teacher. </w:t>
      </w:r>
      <w:r w:rsidR="00306BC4">
        <w:rPr>
          <w:rFonts w:ascii="Times New Roman" w:hAnsi="Times New Roman"/>
        </w:rPr>
        <w:t>Alternatively, it may indicate</w:t>
      </w:r>
      <w:r w:rsidRPr="0040232F">
        <w:rPr>
          <w:rFonts w:ascii="Times New Roman" w:hAnsi="Times New Roman"/>
        </w:rPr>
        <w:t xml:space="preserve"> that some schools encourage support staff to pursue certification and return in a teaching role.</w:t>
      </w:r>
    </w:p>
    <w:p w:rsidR="00E678D8" w:rsidRPr="00446709" w:rsidRDefault="00FE79E6" w:rsidP="00446709">
      <w:pPr>
        <w:pStyle w:val="Heading2"/>
        <w:spacing w:line="240" w:lineRule="auto"/>
        <w:rPr>
          <w:i w:val="0"/>
          <w:sz w:val="21"/>
          <w:szCs w:val="21"/>
        </w:rPr>
      </w:pPr>
      <w:r w:rsidRPr="00446709">
        <w:rPr>
          <w:i w:val="0"/>
          <w:sz w:val="21"/>
          <w:szCs w:val="21"/>
        </w:rPr>
        <w:t>C</w:t>
      </w:r>
      <w:r w:rsidR="00E678D8" w:rsidRPr="00446709">
        <w:rPr>
          <w:i w:val="0"/>
          <w:sz w:val="21"/>
          <w:szCs w:val="21"/>
        </w:rPr>
        <w:t xml:space="preserve">hart </w:t>
      </w:r>
      <w:r w:rsidR="00D034C9" w:rsidRPr="00446709">
        <w:rPr>
          <w:i w:val="0"/>
          <w:sz w:val="21"/>
          <w:szCs w:val="21"/>
        </w:rPr>
        <w:t>2.</w:t>
      </w:r>
      <w:r w:rsidR="00CF11B9" w:rsidRPr="00446709">
        <w:rPr>
          <w:i w:val="0"/>
          <w:sz w:val="21"/>
          <w:szCs w:val="21"/>
        </w:rPr>
        <w:t>6</w:t>
      </w:r>
      <w:r w:rsidR="00E678D8" w:rsidRPr="00446709">
        <w:rPr>
          <w:i w:val="0"/>
          <w:sz w:val="21"/>
          <w:szCs w:val="21"/>
        </w:rPr>
        <w:t xml:space="preserve">: </w:t>
      </w:r>
      <w:r w:rsidR="00615B20" w:rsidRPr="00446709">
        <w:rPr>
          <w:i w:val="0"/>
          <w:sz w:val="21"/>
          <w:szCs w:val="21"/>
        </w:rPr>
        <w:t>First-Year</w:t>
      </w:r>
      <w:r w:rsidR="00E678D8" w:rsidRPr="00446709">
        <w:rPr>
          <w:i w:val="0"/>
          <w:sz w:val="21"/>
          <w:szCs w:val="21"/>
        </w:rPr>
        <w:t xml:space="preserve"> 2012-13 Teachers who </w:t>
      </w:r>
      <w:proofErr w:type="gramStart"/>
      <w:r w:rsidR="00E678D8" w:rsidRPr="00446709">
        <w:rPr>
          <w:i w:val="0"/>
          <w:sz w:val="21"/>
          <w:szCs w:val="21"/>
        </w:rPr>
        <w:t>Worked</w:t>
      </w:r>
      <w:proofErr w:type="gramEnd"/>
      <w:r w:rsidR="00E678D8" w:rsidRPr="00446709">
        <w:rPr>
          <w:i w:val="0"/>
          <w:sz w:val="21"/>
          <w:szCs w:val="21"/>
        </w:rPr>
        <w:t xml:space="preserve"> </w:t>
      </w:r>
      <w:r w:rsidR="00111C62" w:rsidRPr="00446709">
        <w:rPr>
          <w:i w:val="0"/>
          <w:sz w:val="21"/>
          <w:szCs w:val="21"/>
        </w:rPr>
        <w:t xml:space="preserve">Previously </w:t>
      </w:r>
      <w:r w:rsidR="00E678D8" w:rsidRPr="00446709">
        <w:rPr>
          <w:i w:val="0"/>
          <w:sz w:val="21"/>
          <w:szCs w:val="21"/>
        </w:rPr>
        <w:t>in a MA Public School, by Teacher Demographics</w:t>
      </w:r>
    </w:p>
    <w:p w:rsidR="00E678D8" w:rsidRDefault="00B1781D" w:rsidP="00BB5929">
      <w:pPr>
        <w:spacing w:line="276" w:lineRule="auto"/>
      </w:pPr>
      <w:r w:rsidRPr="00B1781D">
        <w:rPr>
          <w:noProof/>
          <w:lang w:eastAsia="zh-CN" w:bidi="km-KH"/>
        </w:rPr>
        <w:drawing>
          <wp:inline distT="0" distB="0" distL="0" distR="0">
            <wp:extent cx="5029200" cy="3409950"/>
            <wp:effectExtent l="19050" t="0" r="19050" b="0"/>
            <wp:docPr id="31" name="Chart 7" descr="All New Teachers: 32%&#10;White: 32%&#10;Teachers of Color: 27%&#10;Female: 35%&#10;Male: 22%&#10;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678D8" w:rsidRDefault="00E678D8" w:rsidP="0040232F">
      <w:pPr>
        <w:pStyle w:val="Sources"/>
        <w:spacing w:line="240" w:lineRule="auto"/>
      </w:pPr>
    </w:p>
    <w:p w:rsidR="00E678D8" w:rsidRPr="00446709" w:rsidRDefault="00E678D8" w:rsidP="00446709">
      <w:pPr>
        <w:pStyle w:val="Heading2"/>
        <w:spacing w:line="240" w:lineRule="auto"/>
        <w:rPr>
          <w:i w:val="0"/>
          <w:sz w:val="21"/>
          <w:szCs w:val="21"/>
        </w:rPr>
      </w:pPr>
      <w:r w:rsidRPr="00446709">
        <w:rPr>
          <w:i w:val="0"/>
          <w:sz w:val="21"/>
          <w:szCs w:val="21"/>
        </w:rPr>
        <w:t xml:space="preserve">Chart </w:t>
      </w:r>
      <w:r w:rsidR="0062429D" w:rsidRPr="00446709">
        <w:rPr>
          <w:i w:val="0"/>
          <w:sz w:val="21"/>
          <w:szCs w:val="21"/>
        </w:rPr>
        <w:t>2.</w:t>
      </w:r>
      <w:r w:rsidR="00CF11B9" w:rsidRPr="00446709">
        <w:rPr>
          <w:i w:val="0"/>
          <w:sz w:val="21"/>
          <w:szCs w:val="21"/>
        </w:rPr>
        <w:t>7</w:t>
      </w:r>
      <w:r w:rsidRPr="00446709">
        <w:rPr>
          <w:i w:val="0"/>
          <w:sz w:val="21"/>
          <w:szCs w:val="21"/>
        </w:rPr>
        <w:t xml:space="preserve">: </w:t>
      </w:r>
      <w:r w:rsidR="00A25503" w:rsidRPr="00446709">
        <w:rPr>
          <w:i w:val="0"/>
          <w:sz w:val="21"/>
          <w:szCs w:val="21"/>
        </w:rPr>
        <w:t>First-Year</w:t>
      </w:r>
      <w:r w:rsidRPr="00446709">
        <w:rPr>
          <w:i w:val="0"/>
          <w:sz w:val="21"/>
          <w:szCs w:val="21"/>
        </w:rPr>
        <w:t xml:space="preserve"> 2012-13 Teachers who </w:t>
      </w:r>
      <w:proofErr w:type="gramStart"/>
      <w:r w:rsidRPr="00446709">
        <w:rPr>
          <w:i w:val="0"/>
          <w:sz w:val="21"/>
          <w:szCs w:val="21"/>
        </w:rPr>
        <w:t>Previously</w:t>
      </w:r>
      <w:proofErr w:type="gramEnd"/>
      <w:r w:rsidRPr="00446709">
        <w:rPr>
          <w:i w:val="0"/>
          <w:sz w:val="21"/>
          <w:szCs w:val="21"/>
        </w:rPr>
        <w:t xml:space="preserve"> Worked in </w:t>
      </w:r>
      <w:r w:rsidR="00384303" w:rsidRPr="00446709">
        <w:rPr>
          <w:i w:val="0"/>
          <w:sz w:val="21"/>
          <w:szCs w:val="21"/>
        </w:rPr>
        <w:t>a MA Public School, by S</w:t>
      </w:r>
      <w:r w:rsidRPr="00446709">
        <w:rPr>
          <w:i w:val="0"/>
          <w:sz w:val="21"/>
          <w:szCs w:val="21"/>
        </w:rPr>
        <w:t xml:space="preserve">chool </w:t>
      </w:r>
      <w:r w:rsidR="00384303" w:rsidRPr="00446709">
        <w:rPr>
          <w:i w:val="0"/>
          <w:sz w:val="21"/>
          <w:szCs w:val="21"/>
        </w:rPr>
        <w:t>Accountability Level</w:t>
      </w:r>
      <w:r w:rsidR="00BD049F" w:rsidRPr="00446709">
        <w:rPr>
          <w:i w:val="0"/>
          <w:sz w:val="21"/>
          <w:szCs w:val="21"/>
        </w:rPr>
        <w:t xml:space="preserve"> and Poverty Status</w:t>
      </w:r>
    </w:p>
    <w:p w:rsidR="00E678D8" w:rsidRDefault="00B1781D" w:rsidP="00BB5929">
      <w:pPr>
        <w:spacing w:line="276" w:lineRule="auto"/>
      </w:pPr>
      <w:r w:rsidRPr="00B1781D">
        <w:rPr>
          <w:noProof/>
          <w:lang w:eastAsia="zh-CN" w:bidi="km-KH"/>
        </w:rPr>
        <w:drawing>
          <wp:inline distT="0" distB="0" distL="0" distR="0">
            <wp:extent cx="5029200" cy="3409950"/>
            <wp:effectExtent l="19050" t="0" r="19050" b="0"/>
            <wp:docPr id="32" name="Chart 8" descr="School level Status, Level 1: 30.7%&#10;School level Status, Level 2: 33.9%&#10;School level Status, Level 3: 28.8%&#10;School level Status, Level 4: 20.8%&#10;School Low-Income Enrollment, Low Poverty: 36.2%&#10;School Low-Income Enrollment,High Poverty: 29.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B5929" w:rsidRDefault="00BB5929" w:rsidP="00446709">
      <w:pPr>
        <w:pStyle w:val="Heading2"/>
        <w:spacing w:line="240" w:lineRule="auto"/>
        <w:rPr>
          <w:i w:val="0"/>
          <w:sz w:val="21"/>
          <w:szCs w:val="21"/>
        </w:rPr>
      </w:pPr>
    </w:p>
    <w:p w:rsidR="005346FF" w:rsidRPr="00446709" w:rsidRDefault="005346FF" w:rsidP="00446709">
      <w:pPr>
        <w:pStyle w:val="Heading2"/>
        <w:spacing w:line="240" w:lineRule="auto"/>
        <w:rPr>
          <w:i w:val="0"/>
          <w:sz w:val="21"/>
          <w:szCs w:val="21"/>
        </w:rPr>
      </w:pPr>
      <w:r w:rsidRPr="00446709">
        <w:rPr>
          <w:i w:val="0"/>
          <w:sz w:val="21"/>
          <w:szCs w:val="21"/>
        </w:rPr>
        <w:t xml:space="preserve">Chart </w:t>
      </w:r>
      <w:r w:rsidR="00D77CE6" w:rsidRPr="00446709">
        <w:rPr>
          <w:i w:val="0"/>
          <w:sz w:val="21"/>
          <w:szCs w:val="21"/>
        </w:rPr>
        <w:t>2.</w:t>
      </w:r>
      <w:r w:rsidR="00CF11B9" w:rsidRPr="00446709">
        <w:rPr>
          <w:i w:val="0"/>
          <w:sz w:val="21"/>
          <w:szCs w:val="21"/>
        </w:rPr>
        <w:t>8</w:t>
      </w:r>
      <w:r w:rsidRPr="00446709">
        <w:rPr>
          <w:i w:val="0"/>
          <w:sz w:val="21"/>
          <w:szCs w:val="21"/>
        </w:rPr>
        <w:t xml:space="preserve">: </w:t>
      </w:r>
      <w:r w:rsidR="009011DD" w:rsidRPr="00446709">
        <w:rPr>
          <w:i w:val="0"/>
          <w:sz w:val="21"/>
          <w:szCs w:val="21"/>
        </w:rPr>
        <w:t>First-Year</w:t>
      </w:r>
      <w:r w:rsidRPr="00446709">
        <w:rPr>
          <w:i w:val="0"/>
          <w:sz w:val="21"/>
          <w:szCs w:val="21"/>
        </w:rPr>
        <w:t xml:space="preserve"> 2012-13 Teachers who </w:t>
      </w:r>
      <w:proofErr w:type="gramStart"/>
      <w:r w:rsidRPr="00446709">
        <w:rPr>
          <w:i w:val="0"/>
          <w:sz w:val="21"/>
          <w:szCs w:val="21"/>
        </w:rPr>
        <w:t>Previously</w:t>
      </w:r>
      <w:proofErr w:type="gramEnd"/>
      <w:r w:rsidRPr="00446709">
        <w:rPr>
          <w:i w:val="0"/>
          <w:sz w:val="21"/>
          <w:szCs w:val="21"/>
        </w:rPr>
        <w:t xml:space="preserve"> Worked in a MA Public School, by </w:t>
      </w:r>
      <w:r w:rsidR="005047EA" w:rsidRPr="00446709">
        <w:rPr>
          <w:i w:val="0"/>
          <w:sz w:val="21"/>
          <w:szCs w:val="21"/>
        </w:rPr>
        <w:t>Subject and Grade Level</w:t>
      </w:r>
    </w:p>
    <w:p w:rsidR="00D77CE6" w:rsidRDefault="00DD730F" w:rsidP="00BB5929">
      <w:pPr>
        <w:spacing w:line="276" w:lineRule="auto"/>
      </w:pPr>
      <w:r w:rsidRPr="00DD730F">
        <w:rPr>
          <w:noProof/>
          <w:lang w:eastAsia="zh-CN" w:bidi="km-KH"/>
        </w:rPr>
        <w:drawing>
          <wp:inline distT="0" distB="0" distL="0" distR="0">
            <wp:extent cx="5667375" cy="3514725"/>
            <wp:effectExtent l="19050" t="0" r="9525" b="0"/>
            <wp:docPr id="34" name="Chart 9" descr="Subject Taught, English Language Arts 34.2%&#10;Subject Taught, Math 34.9%&#10;Subject Taught, Science 33.3%&#10;Subject Taught, Foreign Language 12.5%&#10;Subject Taught, Early Childhood Grades  41.8%&#10;Subject Taught, Special Education Students 45.2%&#10;Subject Taught, English Language Learners 27.8%&#10;Grade Level Taught,  Elementary 37.1%&#10;Grade Level Taught , Middle 24.2%&#10;Grade Level Taught, High School 27.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837B8" w:rsidRDefault="00823F65" w:rsidP="0040232F">
      <w:pPr>
        <w:pStyle w:val="Heading1"/>
      </w:pPr>
      <w:bookmarkStart w:id="11" w:name="_Toc374114887"/>
      <w:r>
        <w:t xml:space="preserve">III. </w:t>
      </w:r>
      <w:r w:rsidR="00496F61">
        <w:t>First-Year</w:t>
      </w:r>
      <w:r w:rsidR="003837B8">
        <w:t xml:space="preserve"> Teachers</w:t>
      </w:r>
      <w:r w:rsidR="002C3A06">
        <w:t xml:space="preserve"> and Student </w:t>
      </w:r>
      <w:r w:rsidR="008B7A80">
        <w:t>Performance</w:t>
      </w:r>
      <w:bookmarkEnd w:id="11"/>
    </w:p>
    <w:p w:rsidR="003837B8" w:rsidRPr="0040232F" w:rsidRDefault="003837B8" w:rsidP="0040232F">
      <w:pPr>
        <w:spacing w:line="240" w:lineRule="auto"/>
        <w:rPr>
          <w:rFonts w:ascii="Times New Roman" w:hAnsi="Times New Roman"/>
        </w:rPr>
      </w:pPr>
      <w:r w:rsidRPr="0040232F">
        <w:rPr>
          <w:rFonts w:ascii="Times New Roman" w:hAnsi="Times New Roman"/>
        </w:rPr>
        <w:t xml:space="preserve">In this section, we discuss the </w:t>
      </w:r>
      <w:r w:rsidR="00496F61" w:rsidRPr="0040232F">
        <w:rPr>
          <w:rFonts w:ascii="Times New Roman" w:hAnsi="Times New Roman"/>
        </w:rPr>
        <w:t xml:space="preserve">academic performance and growth of </w:t>
      </w:r>
      <w:r w:rsidRPr="0040232F">
        <w:rPr>
          <w:rFonts w:ascii="Times New Roman" w:hAnsi="Times New Roman"/>
        </w:rPr>
        <w:t xml:space="preserve">students </w:t>
      </w:r>
      <w:r w:rsidR="00E046BE" w:rsidRPr="0040232F">
        <w:rPr>
          <w:rFonts w:ascii="Times New Roman" w:hAnsi="Times New Roman"/>
        </w:rPr>
        <w:t xml:space="preserve">taught by </w:t>
      </w:r>
      <w:r w:rsidR="005F72B9" w:rsidRPr="0040232F">
        <w:rPr>
          <w:rFonts w:ascii="Times New Roman" w:hAnsi="Times New Roman"/>
        </w:rPr>
        <w:t>first-year</w:t>
      </w:r>
      <w:r w:rsidRPr="0040232F">
        <w:rPr>
          <w:rFonts w:ascii="Times New Roman" w:hAnsi="Times New Roman"/>
        </w:rPr>
        <w:t xml:space="preserve"> teachers. The story told by this data is concerning: First year teachers are disproportionately hired into the highest need schools and are placed in classrooms with students that need the most help, but are not as well equipped as more experienced teachers to help students grow academically. This pattern only serves to further handicap students that are already academically behind and </w:t>
      </w:r>
      <w:r w:rsidR="00433E5F">
        <w:rPr>
          <w:rFonts w:ascii="Times New Roman" w:hAnsi="Times New Roman"/>
        </w:rPr>
        <w:t>may</w:t>
      </w:r>
      <w:r w:rsidR="00433E5F" w:rsidRPr="0040232F">
        <w:rPr>
          <w:rFonts w:ascii="Times New Roman" w:hAnsi="Times New Roman"/>
        </w:rPr>
        <w:t xml:space="preserve"> </w:t>
      </w:r>
      <w:r w:rsidRPr="0040232F">
        <w:rPr>
          <w:rFonts w:ascii="Times New Roman" w:hAnsi="Times New Roman"/>
        </w:rPr>
        <w:t xml:space="preserve">contribute to </w:t>
      </w:r>
      <w:r w:rsidR="002F4562">
        <w:rPr>
          <w:rFonts w:ascii="Times New Roman" w:hAnsi="Times New Roman"/>
        </w:rPr>
        <w:t xml:space="preserve">the </w:t>
      </w:r>
      <w:r w:rsidRPr="0040232F">
        <w:rPr>
          <w:rFonts w:ascii="Times New Roman" w:hAnsi="Times New Roman"/>
        </w:rPr>
        <w:t>frustration and low retention rates among new teachers.</w:t>
      </w:r>
    </w:p>
    <w:p w:rsidR="000A5BBB" w:rsidRDefault="000A5BBB" w:rsidP="007F03D4">
      <w:pPr>
        <w:pStyle w:val="Heading2"/>
      </w:pPr>
      <w:bookmarkStart w:id="12" w:name="_Toc374114888"/>
      <w:r w:rsidRPr="007A2744">
        <w:t>Growth</w:t>
      </w:r>
      <w:r>
        <w:t xml:space="preserve"> of Students Taught by New Teachers</w:t>
      </w:r>
      <w:bookmarkEnd w:id="12"/>
    </w:p>
    <w:p w:rsidR="00190A0C" w:rsidRPr="0040232F" w:rsidRDefault="00190A0C" w:rsidP="0040232F">
      <w:pPr>
        <w:spacing w:line="240" w:lineRule="auto"/>
        <w:rPr>
          <w:rFonts w:ascii="Times New Roman" w:hAnsi="Times New Roman"/>
        </w:rPr>
      </w:pPr>
      <w:r w:rsidRPr="0040232F">
        <w:rPr>
          <w:rFonts w:ascii="Times New Roman" w:hAnsi="Times New Roman"/>
        </w:rPr>
        <w:t>A student growth percentile (SGP) measures how much a student</w:t>
      </w:r>
      <w:r w:rsidR="007628EE" w:rsidRPr="0040232F">
        <w:rPr>
          <w:rFonts w:ascii="Times New Roman" w:hAnsi="Times New Roman"/>
        </w:rPr>
        <w:t>’s performance on the MCAS exam</w:t>
      </w:r>
      <w:r w:rsidRPr="0040232F">
        <w:rPr>
          <w:rFonts w:ascii="Times New Roman" w:hAnsi="Times New Roman"/>
        </w:rPr>
        <w:t xml:space="preserve"> changed relative to other </w:t>
      </w:r>
      <w:r w:rsidR="009D3925" w:rsidRPr="0040232F">
        <w:rPr>
          <w:rFonts w:ascii="Times New Roman" w:hAnsi="Times New Roman"/>
        </w:rPr>
        <w:t xml:space="preserve">students statewide with similar MCAS </w:t>
      </w:r>
      <w:r w:rsidRPr="0040232F">
        <w:rPr>
          <w:rFonts w:ascii="Times New Roman" w:hAnsi="Times New Roman"/>
        </w:rPr>
        <w:t>scores in previous years. S</w:t>
      </w:r>
      <w:r w:rsidR="00DC29CA" w:rsidRPr="0040232F">
        <w:rPr>
          <w:rFonts w:ascii="Times New Roman" w:hAnsi="Times New Roman"/>
        </w:rPr>
        <w:t>tudent growth percentile</w:t>
      </w:r>
      <w:r w:rsidRPr="0040232F">
        <w:rPr>
          <w:rFonts w:ascii="Times New Roman" w:hAnsi="Times New Roman"/>
        </w:rPr>
        <w:t>s range from 1 to 99 where higher numbers represent higher growth and lower numbers represent lower growth.</w:t>
      </w:r>
      <w:r w:rsidR="00DC29CA" w:rsidRPr="0040232F">
        <w:rPr>
          <w:rFonts w:ascii="Times New Roman" w:hAnsi="Times New Roman"/>
        </w:rPr>
        <w:t xml:space="preserve"> To summarize student growth rates by a group</w:t>
      </w:r>
      <w:r w:rsidR="009D3925" w:rsidRPr="0040232F">
        <w:rPr>
          <w:rFonts w:ascii="Times New Roman" w:hAnsi="Times New Roman"/>
        </w:rPr>
        <w:t xml:space="preserve"> (subgroup, grade, classroom, etc.) individual SGPs can be aggregated. The most appropriate measure for reporting SGP for a group is the median SGP, the middle score if one ranks the individual SGPs in a group from highest to lowest</w:t>
      </w:r>
      <w:r w:rsidRPr="0040232F">
        <w:rPr>
          <w:rStyle w:val="FootnoteReference"/>
          <w:rFonts w:ascii="Times New Roman" w:hAnsi="Times New Roman"/>
        </w:rPr>
        <w:footnoteReference w:id="13"/>
      </w:r>
      <w:r w:rsidR="009D3925" w:rsidRPr="0040232F">
        <w:rPr>
          <w:rFonts w:ascii="Times New Roman" w:hAnsi="Times New Roman"/>
        </w:rPr>
        <w:t>.</w:t>
      </w:r>
      <w:r w:rsidR="00CC20BE" w:rsidRPr="0040232F">
        <w:rPr>
          <w:rFonts w:ascii="Times New Roman" w:hAnsi="Times New Roman"/>
        </w:rPr>
        <w:t xml:space="preserve"> </w:t>
      </w:r>
      <w:r w:rsidR="00DC29CA" w:rsidRPr="0040232F">
        <w:rPr>
          <w:rFonts w:ascii="Times New Roman" w:hAnsi="Times New Roman"/>
        </w:rPr>
        <w:t xml:space="preserve">Here we report </w:t>
      </w:r>
      <w:r w:rsidR="00C93A9B" w:rsidRPr="0040232F">
        <w:rPr>
          <w:rFonts w:ascii="Times New Roman" w:hAnsi="Times New Roman"/>
        </w:rPr>
        <w:t>teacher median SGP,</w:t>
      </w:r>
      <w:r w:rsidR="007628EE" w:rsidRPr="0040232F">
        <w:rPr>
          <w:rFonts w:ascii="Times New Roman" w:hAnsi="Times New Roman"/>
        </w:rPr>
        <w:t xml:space="preserve"> which is</w:t>
      </w:r>
      <w:r w:rsidR="00C93A9B" w:rsidRPr="0040232F">
        <w:rPr>
          <w:rFonts w:ascii="Times New Roman" w:hAnsi="Times New Roman"/>
        </w:rPr>
        <w:t xml:space="preserve"> </w:t>
      </w:r>
      <w:r w:rsidR="00E339BE" w:rsidRPr="0040232F">
        <w:rPr>
          <w:rFonts w:ascii="Times New Roman" w:hAnsi="Times New Roman"/>
        </w:rPr>
        <w:t>t</w:t>
      </w:r>
      <w:r w:rsidR="00C93A9B" w:rsidRPr="0040232F">
        <w:rPr>
          <w:rFonts w:ascii="Times New Roman" w:hAnsi="Times New Roman"/>
        </w:rPr>
        <w:t xml:space="preserve">he median SGP of students in </w:t>
      </w:r>
      <w:r w:rsidR="00DC29CA" w:rsidRPr="0040232F">
        <w:rPr>
          <w:rFonts w:ascii="Times New Roman" w:hAnsi="Times New Roman"/>
        </w:rPr>
        <w:t>a</w:t>
      </w:r>
      <w:r w:rsidR="009D3925" w:rsidRPr="0040232F">
        <w:rPr>
          <w:rFonts w:ascii="Times New Roman" w:hAnsi="Times New Roman"/>
        </w:rPr>
        <w:t>ll of a</w:t>
      </w:r>
      <w:r w:rsidR="00DC29CA" w:rsidRPr="0040232F">
        <w:rPr>
          <w:rFonts w:ascii="Times New Roman" w:hAnsi="Times New Roman"/>
        </w:rPr>
        <w:t xml:space="preserve"> teacher’s</w:t>
      </w:r>
      <w:r w:rsidR="009D3925" w:rsidRPr="0040232F">
        <w:rPr>
          <w:rFonts w:ascii="Times New Roman" w:hAnsi="Times New Roman"/>
        </w:rPr>
        <w:t xml:space="preserve"> classes</w:t>
      </w:r>
      <w:r w:rsidR="00C93A9B" w:rsidRPr="0040232F">
        <w:rPr>
          <w:rFonts w:ascii="Times New Roman" w:hAnsi="Times New Roman"/>
        </w:rPr>
        <w:t xml:space="preserve">. </w:t>
      </w:r>
      <w:r w:rsidR="00D726B8" w:rsidRPr="0040232F">
        <w:rPr>
          <w:rFonts w:ascii="Times New Roman" w:hAnsi="Times New Roman"/>
        </w:rPr>
        <w:t>In this report we use t</w:t>
      </w:r>
      <w:r w:rsidR="00C93A9B" w:rsidRPr="0040232F">
        <w:rPr>
          <w:rFonts w:ascii="Times New Roman" w:hAnsi="Times New Roman"/>
        </w:rPr>
        <w:t xml:space="preserve">eacher median SGPs </w:t>
      </w:r>
      <w:r w:rsidR="00E339BE" w:rsidRPr="0040232F">
        <w:rPr>
          <w:rFonts w:ascii="Times New Roman" w:hAnsi="Times New Roman"/>
        </w:rPr>
        <w:t>to compare the academic growth of students of one group of teachers with another group of teachers.</w:t>
      </w:r>
      <w:r w:rsidR="00B32B59" w:rsidRPr="0040232F">
        <w:rPr>
          <w:rFonts w:ascii="Times New Roman" w:hAnsi="Times New Roman"/>
        </w:rPr>
        <w:t xml:space="preserve"> </w:t>
      </w:r>
    </w:p>
    <w:p w:rsidR="00190A0C" w:rsidRDefault="00190A0C" w:rsidP="0040232F">
      <w:pPr>
        <w:spacing w:line="240" w:lineRule="auto"/>
      </w:pPr>
    </w:p>
    <w:p w:rsidR="000A5BBB" w:rsidRPr="0040232F" w:rsidRDefault="000A5BBB" w:rsidP="0040232F">
      <w:pPr>
        <w:spacing w:line="240" w:lineRule="auto"/>
        <w:rPr>
          <w:rFonts w:ascii="Times New Roman" w:hAnsi="Times New Roman"/>
        </w:rPr>
      </w:pPr>
      <w:r w:rsidRPr="0040232F">
        <w:rPr>
          <w:rFonts w:ascii="Times New Roman" w:hAnsi="Times New Roman"/>
        </w:rPr>
        <w:t xml:space="preserve">Consistent with research on the effectiveness of new teachers, students </w:t>
      </w:r>
      <w:r w:rsidR="005F5816" w:rsidRPr="0040232F">
        <w:rPr>
          <w:rFonts w:ascii="Times New Roman" w:hAnsi="Times New Roman"/>
        </w:rPr>
        <w:t>taught by</w:t>
      </w:r>
      <w:r w:rsidRPr="0040232F">
        <w:rPr>
          <w:rFonts w:ascii="Times New Roman" w:hAnsi="Times New Roman"/>
        </w:rPr>
        <w:t xml:space="preserve"> new teachers in Massachusetts experience lower </w:t>
      </w:r>
      <w:r w:rsidR="005F5816" w:rsidRPr="0040232F">
        <w:rPr>
          <w:rFonts w:ascii="Times New Roman" w:hAnsi="Times New Roman"/>
        </w:rPr>
        <w:t xml:space="preserve">academic </w:t>
      </w:r>
      <w:r w:rsidRPr="0040232F">
        <w:rPr>
          <w:rFonts w:ascii="Times New Roman" w:hAnsi="Times New Roman"/>
        </w:rPr>
        <w:t>growth compared with students taught by more experienced teachers.</w:t>
      </w:r>
      <w:r w:rsidR="00172C01" w:rsidRPr="0040232F">
        <w:rPr>
          <w:rStyle w:val="FootnoteReference"/>
          <w:rFonts w:ascii="Times New Roman" w:hAnsi="Times New Roman"/>
        </w:rPr>
        <w:footnoteReference w:id="14"/>
      </w:r>
      <w:r w:rsidRPr="0040232F">
        <w:rPr>
          <w:rFonts w:ascii="Times New Roman" w:hAnsi="Times New Roman"/>
        </w:rPr>
        <w:t xml:space="preserve"> As Chart 3.</w:t>
      </w:r>
      <w:r w:rsidR="001811F1" w:rsidRPr="0040232F">
        <w:rPr>
          <w:rFonts w:ascii="Times New Roman" w:hAnsi="Times New Roman"/>
        </w:rPr>
        <w:t>1</w:t>
      </w:r>
      <w:r w:rsidRPr="0040232F">
        <w:rPr>
          <w:rFonts w:ascii="Times New Roman" w:hAnsi="Times New Roman"/>
        </w:rPr>
        <w:t xml:space="preserve"> shows, </w:t>
      </w:r>
      <w:r w:rsidR="000F454F" w:rsidRPr="0040232F">
        <w:rPr>
          <w:rFonts w:ascii="Times New Roman" w:hAnsi="Times New Roman"/>
        </w:rPr>
        <w:t>first-year teachers’ median SGP is 3 points lower in ELA than teachers with four or more years of experience and 3.5 points lower in math</w:t>
      </w:r>
      <w:r w:rsidR="00232BBB" w:rsidRPr="0040232F">
        <w:rPr>
          <w:rFonts w:ascii="Times New Roman" w:hAnsi="Times New Roman"/>
        </w:rPr>
        <w:t>. This difference</w:t>
      </w:r>
      <w:r w:rsidR="000F454F" w:rsidRPr="0040232F">
        <w:rPr>
          <w:rFonts w:ascii="Times New Roman" w:hAnsi="Times New Roman"/>
        </w:rPr>
        <w:t xml:space="preserve"> is equal to .2 standard deviations in ELA</w:t>
      </w:r>
      <w:r w:rsidR="00232BBB" w:rsidRPr="0040232F">
        <w:rPr>
          <w:rFonts w:ascii="Times New Roman" w:hAnsi="Times New Roman"/>
        </w:rPr>
        <w:t>,</w:t>
      </w:r>
      <w:r w:rsidR="000F454F" w:rsidRPr="0040232F">
        <w:rPr>
          <w:rFonts w:ascii="Times New Roman" w:hAnsi="Times New Roman"/>
        </w:rPr>
        <w:t xml:space="preserve"> and .21 standard deviations in math</w:t>
      </w:r>
      <w:r w:rsidR="00433E5F">
        <w:rPr>
          <w:rFonts w:ascii="Times New Roman" w:hAnsi="Times New Roman"/>
        </w:rPr>
        <w:t xml:space="preserve">. In comparison, the </w:t>
      </w:r>
      <w:r w:rsidR="006F76DA">
        <w:rPr>
          <w:rFonts w:ascii="Times New Roman" w:hAnsi="Times New Roman"/>
        </w:rPr>
        <w:t xml:space="preserve">gap </w:t>
      </w:r>
      <w:r w:rsidR="00433E5F">
        <w:rPr>
          <w:rFonts w:ascii="Times New Roman" w:hAnsi="Times New Roman"/>
        </w:rPr>
        <w:t xml:space="preserve">between the median growth </w:t>
      </w:r>
      <w:r w:rsidR="006F76DA">
        <w:rPr>
          <w:rFonts w:ascii="Times New Roman" w:hAnsi="Times New Roman"/>
        </w:rPr>
        <w:t xml:space="preserve">percentile of students who qualify for free </w:t>
      </w:r>
      <w:r w:rsidR="000F1FF7">
        <w:rPr>
          <w:rFonts w:ascii="Times New Roman" w:hAnsi="Times New Roman"/>
        </w:rPr>
        <w:t xml:space="preserve">or reduced-price </w:t>
      </w:r>
      <w:r w:rsidR="006F76DA">
        <w:rPr>
          <w:rFonts w:ascii="Times New Roman" w:hAnsi="Times New Roman"/>
        </w:rPr>
        <w:t>lunch</w:t>
      </w:r>
      <w:r w:rsidR="00433E5F">
        <w:rPr>
          <w:rFonts w:ascii="Times New Roman" w:hAnsi="Times New Roman"/>
        </w:rPr>
        <w:t xml:space="preserve"> and </w:t>
      </w:r>
      <w:r w:rsidR="006F76DA">
        <w:rPr>
          <w:rFonts w:ascii="Times New Roman" w:hAnsi="Times New Roman"/>
        </w:rPr>
        <w:t>students who do not qualify for free lunch</w:t>
      </w:r>
      <w:r w:rsidR="00433E5F">
        <w:rPr>
          <w:rFonts w:ascii="Times New Roman" w:hAnsi="Times New Roman"/>
        </w:rPr>
        <w:t xml:space="preserve"> in Massachusetts is 0.24 standard deviations</w:t>
      </w:r>
      <w:r w:rsidR="006F76DA">
        <w:rPr>
          <w:rFonts w:ascii="Times New Roman" w:hAnsi="Times New Roman"/>
        </w:rPr>
        <w:t xml:space="preserve"> in ELA and .21 standard deviations in math</w:t>
      </w:r>
      <w:r w:rsidR="00433E5F">
        <w:rPr>
          <w:rFonts w:ascii="Times New Roman" w:hAnsi="Times New Roman"/>
        </w:rPr>
        <w:t>.</w:t>
      </w:r>
      <w:r w:rsidR="006F76DA">
        <w:rPr>
          <w:rFonts w:ascii="Times New Roman" w:hAnsi="Times New Roman"/>
        </w:rPr>
        <w:t xml:space="preserve"> Therefore, the difference in student</w:t>
      </w:r>
      <w:r w:rsidR="006C1B0D">
        <w:rPr>
          <w:rFonts w:ascii="Times New Roman" w:hAnsi="Times New Roman"/>
        </w:rPr>
        <w:t xml:space="preserve"> academic</w:t>
      </w:r>
      <w:r w:rsidR="006F76DA">
        <w:rPr>
          <w:rFonts w:ascii="Times New Roman" w:hAnsi="Times New Roman"/>
        </w:rPr>
        <w:t xml:space="preserve"> growth between </w:t>
      </w:r>
      <w:r w:rsidR="006C1B0D">
        <w:rPr>
          <w:rFonts w:ascii="Times New Roman" w:hAnsi="Times New Roman"/>
        </w:rPr>
        <w:t xml:space="preserve">students of </w:t>
      </w:r>
      <w:r w:rsidR="006F76DA">
        <w:rPr>
          <w:rFonts w:ascii="Times New Roman" w:hAnsi="Times New Roman"/>
        </w:rPr>
        <w:t xml:space="preserve">first-year </w:t>
      </w:r>
      <w:r w:rsidR="006C1B0D">
        <w:rPr>
          <w:rFonts w:ascii="Times New Roman" w:hAnsi="Times New Roman"/>
        </w:rPr>
        <w:t xml:space="preserve">teachers </w:t>
      </w:r>
      <w:r w:rsidR="006F76DA">
        <w:rPr>
          <w:rFonts w:ascii="Times New Roman" w:hAnsi="Times New Roman"/>
        </w:rPr>
        <w:t>and</w:t>
      </w:r>
      <w:r w:rsidR="006C1B0D">
        <w:rPr>
          <w:rFonts w:ascii="Times New Roman" w:hAnsi="Times New Roman"/>
        </w:rPr>
        <w:t xml:space="preserve"> </w:t>
      </w:r>
      <w:r w:rsidR="003E4978">
        <w:rPr>
          <w:rFonts w:ascii="Times New Roman" w:hAnsi="Times New Roman"/>
        </w:rPr>
        <w:t>experienced teacher</w:t>
      </w:r>
      <w:r w:rsidR="00693401">
        <w:rPr>
          <w:rFonts w:ascii="Times New Roman" w:hAnsi="Times New Roman"/>
        </w:rPr>
        <w:t>s</w:t>
      </w:r>
      <w:r w:rsidR="006F76DA">
        <w:rPr>
          <w:rFonts w:ascii="Times New Roman" w:hAnsi="Times New Roman"/>
        </w:rPr>
        <w:t xml:space="preserve"> is similar to the difference in growth between low-income and high-income students.</w:t>
      </w:r>
    </w:p>
    <w:p w:rsidR="009407C4" w:rsidRPr="00446709" w:rsidRDefault="000A5BBB" w:rsidP="00BB5929">
      <w:pPr>
        <w:pStyle w:val="Heading2"/>
        <w:spacing w:line="276" w:lineRule="auto"/>
        <w:rPr>
          <w:i w:val="0"/>
          <w:sz w:val="21"/>
          <w:szCs w:val="21"/>
        </w:rPr>
      </w:pPr>
      <w:r w:rsidRPr="00446709">
        <w:rPr>
          <w:i w:val="0"/>
          <w:sz w:val="21"/>
          <w:szCs w:val="21"/>
        </w:rPr>
        <w:t>Chart 3.</w:t>
      </w:r>
      <w:r w:rsidR="001811F1" w:rsidRPr="00446709">
        <w:rPr>
          <w:i w:val="0"/>
          <w:sz w:val="21"/>
          <w:szCs w:val="21"/>
        </w:rPr>
        <w:t>1</w:t>
      </w:r>
      <w:r w:rsidRPr="00446709">
        <w:rPr>
          <w:i w:val="0"/>
          <w:sz w:val="21"/>
          <w:szCs w:val="21"/>
        </w:rPr>
        <w:t xml:space="preserve">: Median Student Growth Percentiles of </w:t>
      </w:r>
      <w:r w:rsidR="00361555" w:rsidRPr="00446709">
        <w:rPr>
          <w:i w:val="0"/>
          <w:sz w:val="21"/>
          <w:szCs w:val="21"/>
        </w:rPr>
        <w:t xml:space="preserve">2010-11 and 2011-12 </w:t>
      </w:r>
      <w:r w:rsidRPr="00446709">
        <w:rPr>
          <w:i w:val="0"/>
          <w:sz w:val="21"/>
          <w:szCs w:val="21"/>
        </w:rPr>
        <w:t xml:space="preserve">Teachers </w:t>
      </w:r>
      <w:r w:rsidR="00DD730F" w:rsidRPr="00446709">
        <w:rPr>
          <w:i w:val="0"/>
          <w:sz w:val="21"/>
          <w:szCs w:val="21"/>
        </w:rPr>
        <w:t>by</w:t>
      </w:r>
      <w:r w:rsidRPr="00446709">
        <w:rPr>
          <w:i w:val="0"/>
          <w:sz w:val="21"/>
          <w:szCs w:val="21"/>
        </w:rPr>
        <w:t xml:space="preserve"> Years of Teaching</w:t>
      </w:r>
    </w:p>
    <w:p w:rsidR="000A5BBB" w:rsidRPr="001811F1" w:rsidRDefault="007D369A" w:rsidP="00BB5929">
      <w:pPr>
        <w:spacing w:line="276" w:lineRule="auto"/>
      </w:pPr>
      <w:r w:rsidRPr="007D369A">
        <w:rPr>
          <w:noProof/>
          <w:lang w:eastAsia="zh-CN" w:bidi="km-KH"/>
        </w:rPr>
        <w:drawing>
          <wp:inline distT="0" distB="0" distL="0" distR="0">
            <wp:extent cx="5029200" cy="3410712"/>
            <wp:effectExtent l="19050" t="0" r="19050" b="0"/>
            <wp:docPr id="21" name="Chart 5" descr="First Year, ELA SGP: 48&#10;Second Year, ELA SGP: 50&#10;Third Year, ELA SGP: 51&#10;Fourth Year or Higher, ELA SGP: 51&#10;First Year, Math SGP: 48.5&#10;Second Year, Math SGP: 50&#10;Third Year, Math SGP: 52.5&#10;Fourth Year or Higher, Math SGP: 52&#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B5929" w:rsidRDefault="00BB5929" w:rsidP="0040232F">
      <w:pPr>
        <w:spacing w:line="240" w:lineRule="auto"/>
        <w:rPr>
          <w:rFonts w:ascii="Times New Roman" w:hAnsi="Times New Roman"/>
        </w:rPr>
      </w:pPr>
    </w:p>
    <w:p w:rsidR="00DF1EFD" w:rsidRDefault="00DF1EFD" w:rsidP="0040232F">
      <w:pPr>
        <w:spacing w:line="240" w:lineRule="auto"/>
        <w:rPr>
          <w:rFonts w:ascii="Times New Roman" w:hAnsi="Times New Roman"/>
        </w:rPr>
      </w:pPr>
    </w:p>
    <w:p w:rsidR="000A5BBB" w:rsidRDefault="00DE71B6" w:rsidP="0040232F">
      <w:pPr>
        <w:spacing w:line="240" w:lineRule="auto"/>
        <w:rPr>
          <w:rFonts w:ascii="Times New Roman" w:hAnsi="Times New Roman"/>
        </w:rPr>
      </w:pPr>
      <w:r w:rsidRPr="00DE71B6">
        <w:rPr>
          <w:rFonts w:ascii="Times New Roman" w:hAnsi="Times New Roman"/>
        </w:rPr>
        <w:t xml:space="preserve">The student assignment data presented in the following section complicates this picture: it is possible that new teachers’ lower growth is partly explained by the fact that they tend to teach students who start the year academically </w:t>
      </w:r>
      <w:r>
        <w:rPr>
          <w:rFonts w:ascii="Times New Roman" w:hAnsi="Times New Roman"/>
        </w:rPr>
        <w:t>behind</w:t>
      </w:r>
      <w:r w:rsidRPr="00DE71B6">
        <w:rPr>
          <w:rFonts w:ascii="Times New Roman" w:hAnsi="Times New Roman"/>
        </w:rPr>
        <w:t>. But, even controlling for students’ prior performance, students assigned to first-year teachers have significantly lower growth, by an average of two percentile points, than students assigned to more experienced teachers</w:t>
      </w:r>
      <w:r>
        <w:rPr>
          <w:rFonts w:ascii="Times New Roman" w:hAnsi="Times New Roman"/>
        </w:rPr>
        <w:t>.</w:t>
      </w:r>
    </w:p>
    <w:p w:rsidR="00DE71B6" w:rsidRPr="0040232F" w:rsidRDefault="00DE71B6" w:rsidP="0040232F">
      <w:pPr>
        <w:spacing w:line="240" w:lineRule="auto"/>
        <w:rPr>
          <w:rFonts w:ascii="Times New Roman" w:hAnsi="Times New Roman"/>
        </w:rPr>
      </w:pPr>
    </w:p>
    <w:p w:rsidR="000A5BBB" w:rsidRPr="0040232F" w:rsidRDefault="005B2CC3" w:rsidP="0040232F">
      <w:pPr>
        <w:spacing w:line="240" w:lineRule="auto"/>
        <w:rPr>
          <w:rFonts w:ascii="Times New Roman" w:hAnsi="Times New Roman"/>
        </w:rPr>
      </w:pPr>
      <w:r w:rsidRPr="0040232F">
        <w:rPr>
          <w:rFonts w:ascii="Times New Roman" w:hAnsi="Times New Roman"/>
        </w:rPr>
        <w:t>Chart 3.2</w:t>
      </w:r>
      <w:r w:rsidR="000A5BBB" w:rsidRPr="0040232F">
        <w:rPr>
          <w:rFonts w:ascii="Times New Roman" w:hAnsi="Times New Roman"/>
        </w:rPr>
        <w:t xml:space="preserve"> below breaks out this data by teachers in charter and non-charter public schools. On average, </w:t>
      </w:r>
      <w:r w:rsidR="00DE71B6">
        <w:rPr>
          <w:rFonts w:ascii="Times New Roman" w:hAnsi="Times New Roman"/>
        </w:rPr>
        <w:t xml:space="preserve">students in </w:t>
      </w:r>
      <w:r w:rsidR="000A5BBB" w:rsidRPr="0040232F">
        <w:rPr>
          <w:rFonts w:ascii="Times New Roman" w:hAnsi="Times New Roman"/>
        </w:rPr>
        <w:t xml:space="preserve">charter schools in Massachusetts have higher growth compared with </w:t>
      </w:r>
      <w:r w:rsidR="00DE71B6">
        <w:rPr>
          <w:rFonts w:ascii="Times New Roman" w:hAnsi="Times New Roman"/>
        </w:rPr>
        <w:t xml:space="preserve">students in </w:t>
      </w:r>
      <w:r w:rsidR="000A5BBB" w:rsidRPr="0040232F">
        <w:rPr>
          <w:rFonts w:ascii="Times New Roman" w:hAnsi="Times New Roman"/>
        </w:rPr>
        <w:t xml:space="preserve">non-charter public schools and this translates into higher median growth percentiles among </w:t>
      </w:r>
      <w:r w:rsidR="00DE71B6">
        <w:rPr>
          <w:rFonts w:ascii="Times New Roman" w:hAnsi="Times New Roman"/>
        </w:rPr>
        <w:t xml:space="preserve">charter school </w:t>
      </w:r>
      <w:r w:rsidR="000A5BBB" w:rsidRPr="0040232F">
        <w:rPr>
          <w:rFonts w:ascii="Times New Roman" w:hAnsi="Times New Roman"/>
        </w:rPr>
        <w:t>teachers, including first-year teachers.</w:t>
      </w:r>
      <w:r w:rsidR="0049354F" w:rsidRPr="0040232F">
        <w:rPr>
          <w:rFonts w:ascii="Times New Roman" w:hAnsi="Times New Roman"/>
        </w:rPr>
        <w:t xml:space="preserve"> First-year teachers at charter schools have a median growth of 54 in math</w:t>
      </w:r>
      <w:r w:rsidR="002F4562">
        <w:rPr>
          <w:rFonts w:ascii="Times New Roman" w:hAnsi="Times New Roman"/>
        </w:rPr>
        <w:t>ematics</w:t>
      </w:r>
      <w:r w:rsidR="0049354F" w:rsidRPr="0040232F">
        <w:rPr>
          <w:rFonts w:ascii="Times New Roman" w:hAnsi="Times New Roman"/>
        </w:rPr>
        <w:t xml:space="preserve"> and 56 in ELA, compared with a growth percentile of 48 in math</w:t>
      </w:r>
      <w:r w:rsidR="002F4562">
        <w:rPr>
          <w:rFonts w:ascii="Times New Roman" w:hAnsi="Times New Roman"/>
        </w:rPr>
        <w:t>ematics</w:t>
      </w:r>
      <w:r w:rsidR="0049354F" w:rsidRPr="0040232F">
        <w:rPr>
          <w:rFonts w:ascii="Times New Roman" w:hAnsi="Times New Roman"/>
        </w:rPr>
        <w:t xml:space="preserve"> and 4</w:t>
      </w:r>
      <w:r w:rsidR="00671B84" w:rsidRPr="0040232F">
        <w:rPr>
          <w:rFonts w:ascii="Times New Roman" w:hAnsi="Times New Roman"/>
        </w:rPr>
        <w:t>6.5</w:t>
      </w:r>
      <w:r w:rsidR="0049354F" w:rsidRPr="0040232F">
        <w:rPr>
          <w:rFonts w:ascii="Times New Roman" w:hAnsi="Times New Roman"/>
        </w:rPr>
        <w:t xml:space="preserve"> in ELA among </w:t>
      </w:r>
      <w:r w:rsidR="00671B84" w:rsidRPr="0040232F">
        <w:rPr>
          <w:rFonts w:ascii="Times New Roman" w:hAnsi="Times New Roman"/>
        </w:rPr>
        <w:t xml:space="preserve">first-year </w:t>
      </w:r>
      <w:r w:rsidR="00B2748B" w:rsidRPr="0040232F">
        <w:rPr>
          <w:rFonts w:ascii="Times New Roman" w:hAnsi="Times New Roman"/>
        </w:rPr>
        <w:t xml:space="preserve">teachers in </w:t>
      </w:r>
      <w:r w:rsidR="0049354F" w:rsidRPr="0040232F">
        <w:rPr>
          <w:rFonts w:ascii="Times New Roman" w:hAnsi="Times New Roman"/>
        </w:rPr>
        <w:t xml:space="preserve">non-charter public schools. </w:t>
      </w:r>
      <w:r w:rsidR="00747FA6" w:rsidRPr="0040232F">
        <w:rPr>
          <w:rFonts w:ascii="Times New Roman" w:hAnsi="Times New Roman"/>
        </w:rPr>
        <w:t xml:space="preserve">The growth percentiles </w:t>
      </w:r>
      <w:r w:rsidR="0049354F" w:rsidRPr="0040232F">
        <w:rPr>
          <w:rFonts w:ascii="Times New Roman" w:hAnsi="Times New Roman"/>
        </w:rPr>
        <w:t>among charter school teachers, however, begin to drop off in later years and median growth begins to converge with teachers in non-charter public schools, whose median student growth continues to increase in later years.</w:t>
      </w:r>
    </w:p>
    <w:p w:rsidR="000A5BBB" w:rsidRPr="00446709" w:rsidRDefault="000A5BBB" w:rsidP="00BB5929">
      <w:pPr>
        <w:pStyle w:val="Heading2"/>
        <w:spacing w:line="276" w:lineRule="auto"/>
        <w:rPr>
          <w:i w:val="0"/>
          <w:sz w:val="21"/>
          <w:szCs w:val="21"/>
        </w:rPr>
      </w:pPr>
      <w:r w:rsidRPr="00446709">
        <w:rPr>
          <w:i w:val="0"/>
          <w:sz w:val="21"/>
          <w:szCs w:val="21"/>
        </w:rPr>
        <w:t>Chart 3.</w:t>
      </w:r>
      <w:r w:rsidR="0067255F" w:rsidRPr="00446709">
        <w:rPr>
          <w:i w:val="0"/>
          <w:sz w:val="21"/>
          <w:szCs w:val="21"/>
        </w:rPr>
        <w:t>2</w:t>
      </w:r>
      <w:r w:rsidRPr="00446709">
        <w:rPr>
          <w:i w:val="0"/>
          <w:sz w:val="21"/>
          <w:szCs w:val="21"/>
        </w:rPr>
        <w:t xml:space="preserve">: Median Student Growth Percentiles of </w:t>
      </w:r>
      <w:r w:rsidR="00361555" w:rsidRPr="00446709">
        <w:rPr>
          <w:i w:val="0"/>
          <w:sz w:val="21"/>
          <w:szCs w:val="21"/>
        </w:rPr>
        <w:t xml:space="preserve">2010-11 and 2011-12 </w:t>
      </w:r>
      <w:r w:rsidRPr="00446709">
        <w:rPr>
          <w:i w:val="0"/>
          <w:sz w:val="21"/>
          <w:szCs w:val="21"/>
        </w:rPr>
        <w:t xml:space="preserve">Teachers by Years of Teaching and </w:t>
      </w:r>
      <w:r w:rsidR="00397DD1" w:rsidRPr="00446709">
        <w:rPr>
          <w:i w:val="0"/>
          <w:sz w:val="21"/>
          <w:szCs w:val="21"/>
        </w:rPr>
        <w:t>Charter School Status</w:t>
      </w:r>
    </w:p>
    <w:p w:rsidR="000A5BBB" w:rsidRDefault="00F857EA" w:rsidP="0040232F">
      <w:pPr>
        <w:spacing w:line="240" w:lineRule="auto"/>
      </w:pPr>
      <w:r w:rsidRPr="00F857EA">
        <w:rPr>
          <w:noProof/>
          <w:lang w:eastAsia="zh-CN" w:bidi="km-KH"/>
        </w:rPr>
        <w:drawing>
          <wp:inline distT="0" distB="0" distL="0" distR="0">
            <wp:extent cx="4974336" cy="3347085"/>
            <wp:effectExtent l="19050" t="0" r="16764" b="5715"/>
            <wp:docPr id="1" name="Chart 1" descr="First Year, ELA SGP, Charter School: 56&#10;Second Year, ELA SGP, Charter School: 59.25&#10;Third Year, ELA SGP, Charter School: 55.75&#10;Fourth Year or Higher, ELA SGP, Charter School: 50.75&#10;First Year, Math SGP, Charter School: 54&#10;Second Year, Math SGP, Charter School: 58&#10;Third Year, Math SGP, Charter School: 57.5&#10;Fourth Year or Higher, Math SGP, Charter School: 55.5&#10;First Year, ELA SGP, Non-Charter School: 46.5&#10;Second Year, ELA SGP, Non-Charter School: 49&#10;Third Year, ELA SGP, Non-Charter School: 50.5&#10;Fourth Year or Higher, ELA SGP, Non-Charter School: 51&#10;First Year, Math SGP, Non-Charter School: 48&#10;Second Year, Math SGP, Non-Charter School: 50&#10;Third Year, Math SGP, Non-Charter School: 52&#10;Fourth Year or Higher, Math SGP, Non-Charter School: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97D5B" w:rsidRDefault="00A97D5B" w:rsidP="0040232F">
      <w:pPr>
        <w:spacing w:line="240" w:lineRule="auto"/>
      </w:pPr>
    </w:p>
    <w:p w:rsidR="00DF1EFD" w:rsidRDefault="00DF1EFD" w:rsidP="0040232F">
      <w:pPr>
        <w:spacing w:line="240" w:lineRule="auto"/>
      </w:pPr>
    </w:p>
    <w:p w:rsidR="00B10EB2" w:rsidRPr="0040232F" w:rsidRDefault="00362F2C" w:rsidP="0040232F">
      <w:pPr>
        <w:spacing w:line="240" w:lineRule="auto"/>
        <w:rPr>
          <w:rFonts w:ascii="Times New Roman" w:hAnsi="Times New Roman"/>
        </w:rPr>
      </w:pPr>
      <w:r w:rsidRPr="0040232F">
        <w:rPr>
          <w:rFonts w:ascii="Times New Roman" w:hAnsi="Times New Roman"/>
        </w:rPr>
        <w:t xml:space="preserve">Because of the </w:t>
      </w:r>
      <w:r w:rsidR="009E3119" w:rsidRPr="0040232F">
        <w:rPr>
          <w:rFonts w:ascii="Times New Roman" w:hAnsi="Times New Roman"/>
        </w:rPr>
        <w:t>large differences in SGP between new teachers at</w:t>
      </w:r>
      <w:r w:rsidRPr="0040232F">
        <w:rPr>
          <w:rFonts w:ascii="Times New Roman" w:hAnsi="Times New Roman"/>
        </w:rPr>
        <w:t xml:space="preserve"> charter school</w:t>
      </w:r>
      <w:r w:rsidR="001E4404" w:rsidRPr="0040232F">
        <w:rPr>
          <w:rFonts w:ascii="Times New Roman" w:hAnsi="Times New Roman"/>
        </w:rPr>
        <w:t xml:space="preserve">s </w:t>
      </w:r>
      <w:r w:rsidR="009E3119" w:rsidRPr="0040232F">
        <w:rPr>
          <w:rFonts w:ascii="Times New Roman" w:hAnsi="Times New Roman"/>
        </w:rPr>
        <w:t>and new teachers at non-charter schools</w:t>
      </w:r>
      <w:r w:rsidR="001E4404" w:rsidRPr="0040232F">
        <w:rPr>
          <w:rFonts w:ascii="Times New Roman" w:hAnsi="Times New Roman"/>
        </w:rPr>
        <w:t xml:space="preserve">, </w:t>
      </w:r>
      <w:r w:rsidR="007E46E6" w:rsidRPr="0040232F">
        <w:rPr>
          <w:rFonts w:ascii="Times New Roman" w:hAnsi="Times New Roman"/>
        </w:rPr>
        <w:t>C</w:t>
      </w:r>
      <w:r w:rsidR="001E4404" w:rsidRPr="0040232F">
        <w:rPr>
          <w:rFonts w:ascii="Times New Roman" w:hAnsi="Times New Roman"/>
        </w:rPr>
        <w:t xml:space="preserve">harts 3.3 </w:t>
      </w:r>
      <w:r w:rsidR="007E46E6" w:rsidRPr="0040232F">
        <w:rPr>
          <w:rFonts w:ascii="Times New Roman" w:hAnsi="Times New Roman"/>
        </w:rPr>
        <w:t>through</w:t>
      </w:r>
      <w:r w:rsidR="001E4404" w:rsidRPr="0040232F">
        <w:rPr>
          <w:rFonts w:ascii="Times New Roman" w:hAnsi="Times New Roman"/>
        </w:rPr>
        <w:t xml:space="preserve"> 3.</w:t>
      </w:r>
      <w:r w:rsidR="007E46E6" w:rsidRPr="0040232F">
        <w:rPr>
          <w:rFonts w:ascii="Times New Roman" w:hAnsi="Times New Roman"/>
        </w:rPr>
        <w:t>5</w:t>
      </w:r>
      <w:r w:rsidR="005F5464" w:rsidRPr="0040232F">
        <w:rPr>
          <w:rFonts w:ascii="Times New Roman" w:hAnsi="Times New Roman"/>
        </w:rPr>
        <w:t xml:space="preserve"> </w:t>
      </w:r>
      <w:r w:rsidRPr="0040232F">
        <w:rPr>
          <w:rFonts w:ascii="Times New Roman" w:hAnsi="Times New Roman"/>
        </w:rPr>
        <w:t xml:space="preserve">include only the growth </w:t>
      </w:r>
      <w:r w:rsidR="00CE79D4" w:rsidRPr="0040232F">
        <w:rPr>
          <w:rFonts w:ascii="Times New Roman" w:hAnsi="Times New Roman"/>
        </w:rPr>
        <w:t>data for</w:t>
      </w:r>
      <w:r w:rsidRPr="0040232F">
        <w:rPr>
          <w:rFonts w:ascii="Times New Roman" w:hAnsi="Times New Roman"/>
        </w:rPr>
        <w:t xml:space="preserve"> students assigned to non-charter school teachers. </w:t>
      </w:r>
      <w:r w:rsidR="00747FA6" w:rsidRPr="0040232F">
        <w:rPr>
          <w:rFonts w:ascii="Times New Roman" w:hAnsi="Times New Roman"/>
        </w:rPr>
        <w:t xml:space="preserve">Among teachers in Level 4 schools, </w:t>
      </w:r>
      <w:r w:rsidR="00846EB4" w:rsidRPr="0040232F">
        <w:rPr>
          <w:rFonts w:ascii="Times New Roman" w:hAnsi="Times New Roman"/>
        </w:rPr>
        <w:t xml:space="preserve">the growth of students </w:t>
      </w:r>
      <w:r w:rsidR="00B10EB2" w:rsidRPr="0040232F">
        <w:rPr>
          <w:rFonts w:ascii="Times New Roman" w:hAnsi="Times New Roman"/>
        </w:rPr>
        <w:t>taught by</w:t>
      </w:r>
      <w:r w:rsidR="00846EB4" w:rsidRPr="0040232F">
        <w:rPr>
          <w:rFonts w:ascii="Times New Roman" w:hAnsi="Times New Roman"/>
        </w:rPr>
        <w:t xml:space="preserve"> first-year teachers is </w:t>
      </w:r>
      <w:r w:rsidR="00150D00" w:rsidRPr="0040232F">
        <w:rPr>
          <w:rFonts w:ascii="Times New Roman" w:hAnsi="Times New Roman"/>
        </w:rPr>
        <w:t xml:space="preserve">two points lower in ELA compared with the growth of students taught by teachers with four or more years of experience, but is three points </w:t>
      </w:r>
      <w:r w:rsidR="00F51AF6" w:rsidRPr="0040232F">
        <w:rPr>
          <w:rFonts w:ascii="Times New Roman" w:hAnsi="Times New Roman"/>
          <w:i/>
        </w:rPr>
        <w:t>higher</w:t>
      </w:r>
      <w:r w:rsidR="00150D00" w:rsidRPr="0040232F">
        <w:rPr>
          <w:rFonts w:ascii="Times New Roman" w:hAnsi="Times New Roman"/>
        </w:rPr>
        <w:t xml:space="preserve"> in </w:t>
      </w:r>
      <w:r w:rsidR="002F4562">
        <w:rPr>
          <w:rFonts w:ascii="Times New Roman" w:hAnsi="Times New Roman"/>
        </w:rPr>
        <w:t>mathematics</w:t>
      </w:r>
      <w:r w:rsidR="002F4562" w:rsidRPr="0040232F">
        <w:rPr>
          <w:rFonts w:ascii="Times New Roman" w:hAnsi="Times New Roman"/>
        </w:rPr>
        <w:t xml:space="preserve"> </w:t>
      </w:r>
      <w:r w:rsidR="007E46E6" w:rsidRPr="0040232F">
        <w:rPr>
          <w:rFonts w:ascii="Times New Roman" w:hAnsi="Times New Roman"/>
        </w:rPr>
        <w:t>(Chart 3.3 and</w:t>
      </w:r>
      <w:r w:rsidR="002F4562">
        <w:rPr>
          <w:rFonts w:ascii="Times New Roman" w:hAnsi="Times New Roman"/>
        </w:rPr>
        <w:t xml:space="preserve"> Chart</w:t>
      </w:r>
      <w:r w:rsidR="007E46E6" w:rsidRPr="0040232F">
        <w:rPr>
          <w:rFonts w:ascii="Times New Roman" w:hAnsi="Times New Roman"/>
        </w:rPr>
        <w:t xml:space="preserve"> 3.4)</w:t>
      </w:r>
      <w:r w:rsidR="00846EB4" w:rsidRPr="0040232F">
        <w:rPr>
          <w:rFonts w:ascii="Times New Roman" w:hAnsi="Times New Roman"/>
        </w:rPr>
        <w:t>.</w:t>
      </w:r>
      <w:r w:rsidR="000F454F" w:rsidRPr="0040232F">
        <w:rPr>
          <w:rFonts w:ascii="Times New Roman" w:hAnsi="Times New Roman"/>
        </w:rPr>
        <w:t xml:space="preserve"> The </w:t>
      </w:r>
      <w:r w:rsidR="007E46E6" w:rsidRPr="0040232F">
        <w:rPr>
          <w:rFonts w:ascii="Times New Roman" w:hAnsi="Times New Roman"/>
        </w:rPr>
        <w:t>changes</w:t>
      </w:r>
      <w:r w:rsidR="000F454F" w:rsidRPr="0040232F">
        <w:rPr>
          <w:rFonts w:ascii="Times New Roman" w:hAnsi="Times New Roman"/>
        </w:rPr>
        <w:t xml:space="preserve"> in</w:t>
      </w:r>
      <w:r w:rsidR="00150D00" w:rsidRPr="0040232F">
        <w:rPr>
          <w:rFonts w:ascii="Times New Roman" w:hAnsi="Times New Roman"/>
        </w:rPr>
        <w:t xml:space="preserve"> the SGP of</w:t>
      </w:r>
      <w:r w:rsidR="000F454F" w:rsidRPr="0040232F">
        <w:rPr>
          <w:rFonts w:ascii="Times New Roman" w:hAnsi="Times New Roman"/>
        </w:rPr>
        <w:t xml:space="preserve"> Level 4 </w:t>
      </w:r>
      <w:r w:rsidR="00150D00" w:rsidRPr="0040232F">
        <w:rPr>
          <w:rFonts w:ascii="Times New Roman" w:hAnsi="Times New Roman"/>
        </w:rPr>
        <w:t>second</w:t>
      </w:r>
      <w:r w:rsidR="002F4562">
        <w:rPr>
          <w:rFonts w:ascii="Times New Roman" w:hAnsi="Times New Roman"/>
        </w:rPr>
        <w:t>-</w:t>
      </w:r>
      <w:r w:rsidR="00150D00" w:rsidRPr="0040232F">
        <w:rPr>
          <w:rFonts w:ascii="Times New Roman" w:hAnsi="Times New Roman"/>
        </w:rPr>
        <w:t xml:space="preserve"> and third-year teachers</w:t>
      </w:r>
      <w:r w:rsidR="007E46E6" w:rsidRPr="0040232F">
        <w:rPr>
          <w:rFonts w:ascii="Times New Roman" w:hAnsi="Times New Roman"/>
        </w:rPr>
        <w:t xml:space="preserve"> should be interpreted with caution and</w:t>
      </w:r>
      <w:r w:rsidR="00150D00" w:rsidRPr="0040232F">
        <w:rPr>
          <w:rFonts w:ascii="Times New Roman" w:hAnsi="Times New Roman"/>
        </w:rPr>
        <w:t xml:space="preserve"> </w:t>
      </w:r>
      <w:r w:rsidR="000F454F" w:rsidRPr="0040232F">
        <w:rPr>
          <w:rFonts w:ascii="Times New Roman" w:hAnsi="Times New Roman"/>
        </w:rPr>
        <w:t>may be due to the small number of teachers included in this analysis</w:t>
      </w:r>
      <w:r w:rsidR="003C6BCF" w:rsidRPr="0040232F">
        <w:rPr>
          <w:rFonts w:ascii="Times New Roman" w:hAnsi="Times New Roman"/>
        </w:rPr>
        <w:t xml:space="preserve">. Across Level 1, </w:t>
      </w:r>
      <w:r w:rsidR="002F4562">
        <w:rPr>
          <w:rFonts w:ascii="Times New Roman" w:hAnsi="Times New Roman"/>
        </w:rPr>
        <w:t xml:space="preserve">Level </w:t>
      </w:r>
      <w:r w:rsidR="003C6BCF" w:rsidRPr="0040232F">
        <w:rPr>
          <w:rFonts w:ascii="Times New Roman" w:hAnsi="Times New Roman"/>
        </w:rPr>
        <w:t xml:space="preserve">2, and </w:t>
      </w:r>
      <w:r w:rsidR="002F4562">
        <w:rPr>
          <w:rFonts w:ascii="Times New Roman" w:hAnsi="Times New Roman"/>
        </w:rPr>
        <w:t xml:space="preserve">Level </w:t>
      </w:r>
      <w:r w:rsidR="003C6BCF" w:rsidRPr="0040232F">
        <w:rPr>
          <w:rFonts w:ascii="Times New Roman" w:hAnsi="Times New Roman"/>
        </w:rPr>
        <w:t xml:space="preserve">3 schools, first-year teachers have </w:t>
      </w:r>
      <w:r w:rsidR="002F4562">
        <w:rPr>
          <w:rFonts w:ascii="Times New Roman" w:hAnsi="Times New Roman"/>
        </w:rPr>
        <w:t xml:space="preserve">a </w:t>
      </w:r>
      <w:r w:rsidR="003C6BCF" w:rsidRPr="0040232F">
        <w:rPr>
          <w:rFonts w:ascii="Times New Roman" w:hAnsi="Times New Roman"/>
        </w:rPr>
        <w:t>lower median SGP in both math</w:t>
      </w:r>
      <w:r w:rsidR="002F4562">
        <w:rPr>
          <w:rFonts w:ascii="Times New Roman" w:hAnsi="Times New Roman"/>
        </w:rPr>
        <w:t>ematics</w:t>
      </w:r>
      <w:r w:rsidR="003C6BCF" w:rsidRPr="0040232F">
        <w:rPr>
          <w:rFonts w:ascii="Times New Roman" w:hAnsi="Times New Roman"/>
        </w:rPr>
        <w:t xml:space="preserve"> and ELA when compared with teachers with four or more years of experience.</w:t>
      </w:r>
    </w:p>
    <w:p w:rsidR="00B21F56" w:rsidRPr="00446709" w:rsidRDefault="00397DD1" w:rsidP="00BB5929">
      <w:pPr>
        <w:pStyle w:val="Heading2"/>
        <w:spacing w:line="276" w:lineRule="auto"/>
        <w:rPr>
          <w:i w:val="0"/>
          <w:sz w:val="21"/>
          <w:szCs w:val="21"/>
        </w:rPr>
      </w:pPr>
      <w:r w:rsidRPr="00446709">
        <w:rPr>
          <w:i w:val="0"/>
          <w:sz w:val="21"/>
          <w:szCs w:val="21"/>
        </w:rPr>
        <w:t>Chart 3.</w:t>
      </w:r>
      <w:r w:rsidR="001E4404" w:rsidRPr="00446709">
        <w:rPr>
          <w:i w:val="0"/>
          <w:sz w:val="21"/>
          <w:szCs w:val="21"/>
        </w:rPr>
        <w:t>3</w:t>
      </w:r>
      <w:r w:rsidRPr="00446709">
        <w:rPr>
          <w:i w:val="0"/>
          <w:sz w:val="21"/>
          <w:szCs w:val="21"/>
        </w:rPr>
        <w:t xml:space="preserve">: Median </w:t>
      </w:r>
      <w:r w:rsidR="00FE3FE1" w:rsidRPr="00446709">
        <w:rPr>
          <w:i w:val="0"/>
          <w:sz w:val="21"/>
          <w:szCs w:val="21"/>
        </w:rPr>
        <w:t xml:space="preserve">Math </w:t>
      </w:r>
      <w:r w:rsidRPr="00446709">
        <w:rPr>
          <w:i w:val="0"/>
          <w:sz w:val="21"/>
          <w:szCs w:val="21"/>
        </w:rPr>
        <w:t xml:space="preserve">Student Growth Percentiles of </w:t>
      </w:r>
      <w:r w:rsidR="00361555" w:rsidRPr="00446709">
        <w:rPr>
          <w:i w:val="0"/>
          <w:sz w:val="21"/>
          <w:szCs w:val="21"/>
        </w:rPr>
        <w:t xml:space="preserve">2010-11 and 2011-12 </w:t>
      </w:r>
      <w:r w:rsidR="000139B1" w:rsidRPr="00446709">
        <w:rPr>
          <w:i w:val="0"/>
          <w:sz w:val="21"/>
          <w:szCs w:val="21"/>
        </w:rPr>
        <w:t xml:space="preserve">Non-Charter School </w:t>
      </w:r>
      <w:r w:rsidRPr="00446709">
        <w:rPr>
          <w:i w:val="0"/>
          <w:sz w:val="21"/>
          <w:szCs w:val="21"/>
        </w:rPr>
        <w:t>Teachers by Years of Teaching and School Accountability Level</w:t>
      </w:r>
    </w:p>
    <w:p w:rsidR="0057223B" w:rsidRDefault="00863D11" w:rsidP="0040232F">
      <w:pPr>
        <w:spacing w:line="240" w:lineRule="auto"/>
      </w:pPr>
      <w:r w:rsidRPr="00863D11">
        <w:rPr>
          <w:noProof/>
          <w:lang w:eastAsia="zh-CN" w:bidi="km-KH"/>
        </w:rPr>
        <w:drawing>
          <wp:inline distT="0" distB="0" distL="0" distR="0">
            <wp:extent cx="4974336" cy="3291840"/>
            <wp:effectExtent l="19050" t="0" r="16764" b="3810"/>
            <wp:docPr id="5" name="Chart 2" descr="First Year, Math SGP, Level 1 School: 55&#10;Second Year, Math SGP, Level 1 School: 54&#10;Third Year, Math SGP, Level 1 School: 58&#10;Fourth Year or Higher, Math SGP, Level 1 School: 57.5&#10;First Year, Math SGP, Level 2 School: 48&#10;Second Year, Math SGP, Level 2 School: 50.25&#10;Third Year, Math SGP, Level 2 School: 52.5&#10;Fourth Year or Higher, Math SGP, Level 2 School: 52&#10;First Year, Math SGP, Level 3 School: 41&#10;Second Year, Math SGP, Level 3 School: 42.5&#10;Third Year, Math SGP, Level 3 School: 46.25&#10;Fourth Year or Higher, Math SGP, Level 3 School: 44&#10;First Year, Math SGP, Level 4 School: 35&#10;Second Year, Math SGP, Level 4 School: 36.5&#10;Third Year, Math SGP, Level 4 School: 27.5&#10;Fourth Year or Higher, Math SGP, Level 4 School: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21F56" w:rsidRPr="00BB5929" w:rsidRDefault="00A97D5B" w:rsidP="0040232F">
      <w:pPr>
        <w:pStyle w:val="Sources"/>
        <w:spacing w:after="240" w:line="240" w:lineRule="auto"/>
        <w:rPr>
          <w:rFonts w:ascii="Times New Roman" w:hAnsi="Times New Roman" w:cs="Times New Roman"/>
        </w:rPr>
      </w:pPr>
      <w:r w:rsidRPr="00BB5929">
        <w:rPr>
          <w:rFonts w:ascii="Times New Roman" w:hAnsi="Times New Roman" w:cs="Times New Roman"/>
        </w:rPr>
        <w:t>Note: Sample sizes for first, second and third-year teachers in Level 4 schools are small and results should be interpreted with caution.</w:t>
      </w:r>
    </w:p>
    <w:p w:rsidR="00BB5929" w:rsidRDefault="00BB5929" w:rsidP="00446709">
      <w:pPr>
        <w:pStyle w:val="Heading2"/>
        <w:spacing w:line="240" w:lineRule="auto"/>
        <w:rPr>
          <w:i w:val="0"/>
          <w:sz w:val="21"/>
          <w:szCs w:val="21"/>
        </w:rPr>
      </w:pPr>
    </w:p>
    <w:p w:rsidR="00B21F56" w:rsidRPr="00446709" w:rsidRDefault="000F454F" w:rsidP="00446709">
      <w:pPr>
        <w:pStyle w:val="Heading2"/>
        <w:spacing w:line="240" w:lineRule="auto"/>
        <w:rPr>
          <w:i w:val="0"/>
          <w:sz w:val="21"/>
          <w:szCs w:val="21"/>
        </w:rPr>
      </w:pPr>
      <w:r w:rsidRPr="00446709">
        <w:rPr>
          <w:i w:val="0"/>
          <w:sz w:val="21"/>
          <w:szCs w:val="21"/>
        </w:rPr>
        <w:t>Chart 3</w:t>
      </w:r>
      <w:r w:rsidR="00F51AF6" w:rsidRPr="00446709">
        <w:rPr>
          <w:i w:val="0"/>
          <w:sz w:val="21"/>
          <w:szCs w:val="21"/>
        </w:rPr>
        <w:t>.</w:t>
      </w:r>
      <w:r w:rsidR="007E46E6" w:rsidRPr="00446709">
        <w:rPr>
          <w:i w:val="0"/>
          <w:sz w:val="21"/>
          <w:szCs w:val="21"/>
        </w:rPr>
        <w:t>4</w:t>
      </w:r>
      <w:r w:rsidRPr="00446709">
        <w:rPr>
          <w:i w:val="0"/>
          <w:sz w:val="21"/>
          <w:szCs w:val="21"/>
        </w:rPr>
        <w:t xml:space="preserve">: Median </w:t>
      </w:r>
      <w:r w:rsidR="00FE3FE1" w:rsidRPr="00446709">
        <w:rPr>
          <w:i w:val="0"/>
          <w:sz w:val="21"/>
          <w:szCs w:val="21"/>
        </w:rPr>
        <w:t xml:space="preserve">ELA </w:t>
      </w:r>
      <w:r w:rsidRPr="00446709">
        <w:rPr>
          <w:i w:val="0"/>
          <w:sz w:val="21"/>
          <w:szCs w:val="21"/>
        </w:rPr>
        <w:t>Student Growth Percentiles of 2010-11 and 2011-12 Non-Charter School Teachers by Years of Teaching and School Accountability Level</w:t>
      </w:r>
    </w:p>
    <w:p w:rsidR="000F454F" w:rsidRDefault="00863D11" w:rsidP="00BB5929">
      <w:pPr>
        <w:spacing w:line="276" w:lineRule="auto"/>
      </w:pPr>
      <w:r w:rsidRPr="00863D11">
        <w:rPr>
          <w:noProof/>
          <w:lang w:eastAsia="zh-CN" w:bidi="km-KH"/>
        </w:rPr>
        <w:drawing>
          <wp:inline distT="0" distB="0" distL="0" distR="0">
            <wp:extent cx="4937760" cy="3291840"/>
            <wp:effectExtent l="19050" t="0" r="15240" b="3810"/>
            <wp:docPr id="7" name="Chart 3" descr="First Year, ELA SGP, Level 1 School: 53&#10;Second Year, ELA SGP, Level 1 School: 54.5&#10;Third Year, ELA SGP, Level 1 School: 54&#10;Fourth Year or Higher, ELA SGP, Level 1 School: 56&#10;First Year, ELA SGP, Level 2 School: 47&#10;Second Year, ELA SGP, Level 2 School: 49.5&#10;Third Year, ELA SGP, Level 2 School: 52&#10;Fourth Year or Higher, ELA SGP, Level 2 School: 51&#10;First Year, ELA SGP, Level 3 School: 43&#10;Second Year, ELA SGP, Level 3 School: 43&#10;Third Year, ELA SGP, Level 3 School: 43&#10;Fourth Year or Higher, ELA SGP, Level 3 School: 44&#10;First Year, ELA SGP, Level 4 School: 41&#10;Second Year, ELA SGP, Level 4 School: 33.75&#10;Third Year, ELA SGP, Level 4 School: 33&#10;Fourth Year or Higher, ELA SGP, Level 4 School: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97D5B" w:rsidRPr="00BB5929" w:rsidRDefault="00A97D5B" w:rsidP="0040232F">
      <w:pPr>
        <w:pStyle w:val="Sources"/>
        <w:spacing w:line="240" w:lineRule="auto"/>
        <w:rPr>
          <w:rFonts w:ascii="Times New Roman" w:hAnsi="Times New Roman" w:cs="Times New Roman"/>
        </w:rPr>
      </w:pPr>
      <w:r w:rsidRPr="00BB5929">
        <w:rPr>
          <w:rFonts w:ascii="Times New Roman" w:hAnsi="Times New Roman" w:cs="Times New Roman"/>
        </w:rPr>
        <w:t>Note: Sample sizes for first, second and third-year teachers in Level 4 schools are small and results should be interpreted with caution.</w:t>
      </w:r>
    </w:p>
    <w:p w:rsidR="0087675A" w:rsidRDefault="00DD621E" w:rsidP="0040232F">
      <w:pPr>
        <w:spacing w:line="240" w:lineRule="auto"/>
        <w:rPr>
          <w:rFonts w:ascii="Times New Roman" w:hAnsi="Times New Roman"/>
        </w:rPr>
      </w:pPr>
      <w:r w:rsidRPr="0040232F">
        <w:rPr>
          <w:rFonts w:ascii="Times New Roman" w:hAnsi="Times New Roman"/>
        </w:rPr>
        <w:t>The median student growth percentile of students of first-year teachers in high</w:t>
      </w:r>
      <w:r w:rsidR="000C66B6">
        <w:rPr>
          <w:rFonts w:ascii="Times New Roman" w:hAnsi="Times New Roman"/>
        </w:rPr>
        <w:t>-</w:t>
      </w:r>
      <w:r w:rsidRPr="0040232F">
        <w:rPr>
          <w:rFonts w:ascii="Times New Roman" w:hAnsi="Times New Roman"/>
        </w:rPr>
        <w:t xml:space="preserve">poverty schools is 45 in </w:t>
      </w:r>
      <w:r w:rsidR="000C66B6">
        <w:rPr>
          <w:rFonts w:ascii="Times New Roman" w:hAnsi="Times New Roman"/>
        </w:rPr>
        <w:t>mathematics</w:t>
      </w:r>
      <w:r w:rsidR="000C66B6" w:rsidRPr="0040232F">
        <w:rPr>
          <w:rFonts w:ascii="Times New Roman" w:hAnsi="Times New Roman"/>
        </w:rPr>
        <w:t xml:space="preserve"> </w:t>
      </w:r>
      <w:r w:rsidRPr="0040232F">
        <w:rPr>
          <w:rFonts w:ascii="Times New Roman" w:hAnsi="Times New Roman"/>
        </w:rPr>
        <w:t xml:space="preserve">and 47 in English </w:t>
      </w:r>
      <w:r w:rsidR="000C66B6">
        <w:rPr>
          <w:rFonts w:ascii="Times New Roman" w:hAnsi="Times New Roman"/>
        </w:rPr>
        <w:t>l</w:t>
      </w:r>
      <w:r w:rsidRPr="0040232F">
        <w:rPr>
          <w:rFonts w:ascii="Times New Roman" w:hAnsi="Times New Roman"/>
        </w:rPr>
        <w:t xml:space="preserve">anguage </w:t>
      </w:r>
      <w:r w:rsidR="000C66B6">
        <w:rPr>
          <w:rFonts w:ascii="Times New Roman" w:hAnsi="Times New Roman"/>
        </w:rPr>
        <w:t>a</w:t>
      </w:r>
      <w:r w:rsidRPr="0040232F">
        <w:rPr>
          <w:rFonts w:ascii="Times New Roman" w:hAnsi="Times New Roman"/>
        </w:rPr>
        <w:t>rts, lower than in low</w:t>
      </w:r>
      <w:r w:rsidR="000C66B6">
        <w:rPr>
          <w:rFonts w:ascii="Times New Roman" w:hAnsi="Times New Roman"/>
        </w:rPr>
        <w:t>-</w:t>
      </w:r>
      <w:r w:rsidRPr="0040232F">
        <w:rPr>
          <w:rFonts w:ascii="Times New Roman" w:hAnsi="Times New Roman"/>
        </w:rPr>
        <w:t xml:space="preserve">poverty schools, where students of first-year teachers had a median growth percentile of 53 in </w:t>
      </w:r>
      <w:r w:rsidR="000C66B6">
        <w:rPr>
          <w:rFonts w:ascii="Times New Roman" w:hAnsi="Times New Roman"/>
        </w:rPr>
        <w:t>mathematics</w:t>
      </w:r>
      <w:r w:rsidR="000C66B6" w:rsidRPr="0040232F">
        <w:rPr>
          <w:rFonts w:ascii="Times New Roman" w:hAnsi="Times New Roman"/>
        </w:rPr>
        <w:t xml:space="preserve"> </w:t>
      </w:r>
      <w:r w:rsidRPr="0040232F">
        <w:rPr>
          <w:rFonts w:ascii="Times New Roman" w:hAnsi="Times New Roman"/>
        </w:rPr>
        <w:t xml:space="preserve">and 53.5 in English </w:t>
      </w:r>
      <w:r w:rsidR="000C66B6">
        <w:rPr>
          <w:rFonts w:ascii="Times New Roman" w:hAnsi="Times New Roman"/>
        </w:rPr>
        <w:t>l</w:t>
      </w:r>
      <w:r w:rsidR="000C66B6" w:rsidRPr="0040232F">
        <w:rPr>
          <w:rFonts w:ascii="Times New Roman" w:hAnsi="Times New Roman"/>
        </w:rPr>
        <w:t xml:space="preserve">anguage </w:t>
      </w:r>
      <w:r w:rsidR="000C66B6">
        <w:rPr>
          <w:rFonts w:ascii="Times New Roman" w:hAnsi="Times New Roman"/>
        </w:rPr>
        <w:t>a</w:t>
      </w:r>
      <w:r w:rsidR="000C66B6" w:rsidRPr="0040232F">
        <w:rPr>
          <w:rFonts w:ascii="Times New Roman" w:hAnsi="Times New Roman"/>
        </w:rPr>
        <w:t xml:space="preserve">rts </w:t>
      </w:r>
      <w:r w:rsidR="007E46E6" w:rsidRPr="0040232F">
        <w:rPr>
          <w:rFonts w:ascii="Times New Roman" w:hAnsi="Times New Roman"/>
        </w:rPr>
        <w:t>(</w:t>
      </w:r>
      <w:r w:rsidR="000C66B6">
        <w:rPr>
          <w:rFonts w:ascii="Times New Roman" w:hAnsi="Times New Roman"/>
        </w:rPr>
        <w:t xml:space="preserve">See </w:t>
      </w:r>
      <w:r w:rsidR="007E46E6" w:rsidRPr="0040232F">
        <w:rPr>
          <w:rFonts w:ascii="Times New Roman" w:hAnsi="Times New Roman"/>
        </w:rPr>
        <w:t>Chart 3.5)</w:t>
      </w:r>
      <w:r w:rsidRPr="0040232F">
        <w:rPr>
          <w:rFonts w:ascii="Times New Roman" w:hAnsi="Times New Roman"/>
        </w:rPr>
        <w:t xml:space="preserve">. </w:t>
      </w:r>
      <w:r w:rsidR="00B32B59" w:rsidRPr="0040232F">
        <w:rPr>
          <w:rFonts w:ascii="Times New Roman" w:hAnsi="Times New Roman"/>
        </w:rPr>
        <w:t xml:space="preserve"> First-year teachers in low-poverty schools may benefit from working with </w:t>
      </w:r>
      <w:r w:rsidR="00663D3B" w:rsidRPr="0040232F">
        <w:rPr>
          <w:rFonts w:ascii="Times New Roman" w:hAnsi="Times New Roman"/>
        </w:rPr>
        <w:t>larger</w:t>
      </w:r>
      <w:r w:rsidR="00B32B59" w:rsidRPr="0040232F">
        <w:rPr>
          <w:rFonts w:ascii="Times New Roman" w:hAnsi="Times New Roman"/>
        </w:rPr>
        <w:t xml:space="preserve"> proportions of experienced teachers when compared to first-year teachers in high-poverty schools.</w:t>
      </w:r>
    </w:p>
    <w:p w:rsidR="001364F5" w:rsidRPr="0040232F" w:rsidRDefault="001364F5" w:rsidP="0040232F">
      <w:pPr>
        <w:spacing w:line="240" w:lineRule="auto"/>
        <w:rPr>
          <w:rFonts w:ascii="Times New Roman" w:hAnsi="Times New Roman"/>
        </w:rPr>
      </w:pPr>
    </w:p>
    <w:p w:rsidR="00A76697" w:rsidRPr="00446709" w:rsidRDefault="00A76697" w:rsidP="00446709">
      <w:pPr>
        <w:pStyle w:val="Heading2"/>
        <w:spacing w:line="240" w:lineRule="auto"/>
        <w:rPr>
          <w:i w:val="0"/>
          <w:sz w:val="21"/>
          <w:szCs w:val="21"/>
        </w:rPr>
      </w:pPr>
      <w:r w:rsidRPr="00446709">
        <w:rPr>
          <w:i w:val="0"/>
          <w:sz w:val="21"/>
          <w:szCs w:val="21"/>
        </w:rPr>
        <w:t>Chart 3.</w:t>
      </w:r>
      <w:r w:rsidR="007E46E6" w:rsidRPr="00446709">
        <w:rPr>
          <w:i w:val="0"/>
          <w:sz w:val="21"/>
          <w:szCs w:val="21"/>
        </w:rPr>
        <w:t>5</w:t>
      </w:r>
      <w:r w:rsidRPr="00446709">
        <w:rPr>
          <w:i w:val="0"/>
          <w:sz w:val="21"/>
          <w:szCs w:val="21"/>
        </w:rPr>
        <w:t xml:space="preserve">: Median Student Growth Percentiles of 2010-11 and 2011-12 </w:t>
      </w:r>
      <w:r w:rsidR="004C174B" w:rsidRPr="00446709">
        <w:rPr>
          <w:i w:val="0"/>
          <w:sz w:val="21"/>
          <w:szCs w:val="21"/>
        </w:rPr>
        <w:t xml:space="preserve">Non-Charter School </w:t>
      </w:r>
      <w:r w:rsidRPr="00446709">
        <w:rPr>
          <w:i w:val="0"/>
          <w:sz w:val="21"/>
          <w:szCs w:val="21"/>
        </w:rPr>
        <w:t>Teachers by Years of Teaching and School Low-Income Enrollment</w:t>
      </w:r>
    </w:p>
    <w:p w:rsidR="0087675A" w:rsidRDefault="004E1AE8" w:rsidP="001364F5">
      <w:pPr>
        <w:spacing w:line="276" w:lineRule="auto"/>
      </w:pPr>
      <w:r w:rsidRPr="004E1AE8">
        <w:rPr>
          <w:noProof/>
          <w:lang w:eastAsia="zh-CN" w:bidi="km-KH"/>
        </w:rPr>
        <w:drawing>
          <wp:inline distT="0" distB="0" distL="0" distR="0">
            <wp:extent cx="4974590" cy="3291840"/>
            <wp:effectExtent l="19050" t="0" r="16510" b="3810"/>
            <wp:docPr id="8" name="Chart 4" descr="First Year, ELA SGP, High-Poverty School: 44.5&#10;Second Year, ELA SGP, High-Poverty School: 45.25&#10;Third Year, ELA SGP, High-Poverty School: 46.5&#10;Fourth Year or Higher, ELA SGP, High-Poverty School: 46.5&#10;First Year, Math SGP, High-Poverty School: 42&#10;Second Year, Math SGP, High-Poverty School: 44.75&#10;Third Year, Math SGP, High-Poverty School: 50.75&#10;Fourth Year or Higher, Math SGP, High-Poverty School: 48&#10;First Year, ELA SGP,Low-Poverty School: 53.5&#10;Second Year, ELA SGP, Low-Poverty School: 54.75&#10;Third Year, ELA SGP, Low-Poverty School: 54.5&#10;Fourth Year or Higher, ELA SGP, Low-Poverty School: 56.5&#10;First Year, Math SGP,Low-Poverty School: 53.5&#10;Second Year, Math SGP, Low-Poverty School: 52.5&#10;Third Year, Math SGP, Low-Poverty School: 58&#10;Fourth Year or Higher, Math SGP, Low-Poverty School: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7675A" w:rsidRDefault="0087675A" w:rsidP="0040232F">
      <w:pPr>
        <w:spacing w:line="240" w:lineRule="auto"/>
      </w:pPr>
    </w:p>
    <w:p w:rsidR="004800E0" w:rsidRDefault="004800E0" w:rsidP="007F03D4">
      <w:pPr>
        <w:pStyle w:val="Heading2"/>
      </w:pPr>
      <w:bookmarkStart w:id="13" w:name="_Toc374114889"/>
      <w:r w:rsidRPr="00282D36">
        <w:t>New</w:t>
      </w:r>
      <w:r>
        <w:t xml:space="preserve"> Teacher Classroom Placement</w:t>
      </w:r>
      <w:bookmarkEnd w:id="13"/>
    </w:p>
    <w:p w:rsidR="00A01A7A" w:rsidRPr="0040232F" w:rsidRDefault="008635F1" w:rsidP="0040232F">
      <w:pPr>
        <w:spacing w:line="240" w:lineRule="auto"/>
        <w:rPr>
          <w:rFonts w:ascii="Times New Roman" w:hAnsi="Times New Roman"/>
        </w:rPr>
      </w:pPr>
      <w:r w:rsidRPr="0040232F">
        <w:rPr>
          <w:rFonts w:ascii="Times New Roman" w:hAnsi="Times New Roman"/>
        </w:rPr>
        <w:t xml:space="preserve">Using data from its partner school districts in North Carolina, Texas, and Georgia, </w:t>
      </w:r>
      <w:r w:rsidR="004800E0" w:rsidRPr="0040232F">
        <w:rPr>
          <w:rFonts w:ascii="Times New Roman" w:hAnsi="Times New Roman"/>
        </w:rPr>
        <w:t xml:space="preserve">the Strategic Data Project at Harvard University released a report </w:t>
      </w:r>
      <w:r w:rsidR="008E2F1A">
        <w:rPr>
          <w:rFonts w:ascii="Times New Roman" w:hAnsi="Times New Roman"/>
        </w:rPr>
        <w:t xml:space="preserve">in 2012 </w:t>
      </w:r>
      <w:r w:rsidR="004800E0" w:rsidRPr="0040232F">
        <w:rPr>
          <w:rFonts w:ascii="Times New Roman" w:hAnsi="Times New Roman"/>
        </w:rPr>
        <w:t>showing that students assigned to first-year teachers start the year academically behind students who are assigned to teachers</w:t>
      </w:r>
      <w:r w:rsidR="00EB262E" w:rsidRPr="0040232F">
        <w:rPr>
          <w:rFonts w:ascii="Times New Roman" w:hAnsi="Times New Roman"/>
        </w:rPr>
        <w:t xml:space="preserve"> with four or more years of experience</w:t>
      </w:r>
      <w:r w:rsidR="004800E0" w:rsidRPr="0040232F">
        <w:rPr>
          <w:rFonts w:ascii="Times New Roman" w:hAnsi="Times New Roman"/>
        </w:rPr>
        <w:t>.</w:t>
      </w:r>
      <w:r w:rsidR="004800E0" w:rsidRPr="0040232F">
        <w:rPr>
          <w:rStyle w:val="FootnoteReference"/>
          <w:rFonts w:ascii="Times New Roman" w:hAnsi="Times New Roman"/>
        </w:rPr>
        <w:footnoteReference w:id="15"/>
      </w:r>
      <w:r w:rsidR="004800E0" w:rsidRPr="0040232F">
        <w:rPr>
          <w:rFonts w:ascii="Times New Roman" w:hAnsi="Times New Roman"/>
        </w:rPr>
        <w:t xml:space="preserve"> Th</w:t>
      </w:r>
      <w:r w:rsidR="001B4FAA" w:rsidRPr="0040232F">
        <w:rPr>
          <w:rFonts w:ascii="Times New Roman" w:hAnsi="Times New Roman"/>
        </w:rPr>
        <w:t>is</w:t>
      </w:r>
      <w:r w:rsidR="004800E0" w:rsidRPr="0040232F">
        <w:rPr>
          <w:rFonts w:ascii="Times New Roman" w:hAnsi="Times New Roman"/>
        </w:rPr>
        <w:t xml:space="preserve"> same pattern exists in Massachusetts. Chart </w:t>
      </w:r>
      <w:r w:rsidR="00224636" w:rsidRPr="0040232F">
        <w:rPr>
          <w:rFonts w:ascii="Times New Roman" w:hAnsi="Times New Roman"/>
        </w:rPr>
        <w:t>3.</w:t>
      </w:r>
      <w:r w:rsidR="00260EDB" w:rsidRPr="0040232F">
        <w:rPr>
          <w:rFonts w:ascii="Times New Roman" w:hAnsi="Times New Roman"/>
        </w:rPr>
        <w:t>6</w:t>
      </w:r>
      <w:r w:rsidR="004800E0" w:rsidRPr="0040232F">
        <w:rPr>
          <w:rFonts w:ascii="Times New Roman" w:hAnsi="Times New Roman"/>
        </w:rPr>
        <w:t xml:space="preserve"> and </w:t>
      </w:r>
      <w:r w:rsidR="00591F96">
        <w:rPr>
          <w:rFonts w:ascii="Times New Roman" w:hAnsi="Times New Roman"/>
        </w:rPr>
        <w:t xml:space="preserve">Chart </w:t>
      </w:r>
      <w:r w:rsidR="00260EDB" w:rsidRPr="0040232F">
        <w:rPr>
          <w:rFonts w:ascii="Times New Roman" w:hAnsi="Times New Roman"/>
        </w:rPr>
        <w:t>3.7</w:t>
      </w:r>
      <w:r w:rsidR="004800E0" w:rsidRPr="0040232F">
        <w:rPr>
          <w:rFonts w:ascii="Times New Roman" w:hAnsi="Times New Roman"/>
        </w:rPr>
        <w:t xml:space="preserve"> show the average difference between the incoming MCAS scores</w:t>
      </w:r>
      <w:r w:rsidR="00AC118B" w:rsidRPr="0040232F">
        <w:rPr>
          <w:rFonts w:ascii="Times New Roman" w:hAnsi="Times New Roman"/>
        </w:rPr>
        <w:t xml:space="preserve"> (the Massachusetts statewide student assessment)</w:t>
      </w:r>
      <w:r w:rsidR="004800E0" w:rsidRPr="0040232F">
        <w:rPr>
          <w:rFonts w:ascii="Times New Roman" w:hAnsi="Times New Roman"/>
        </w:rPr>
        <w:t xml:space="preserve"> of students assigned to first-year teachers in </w:t>
      </w:r>
      <w:r w:rsidR="00260EDB" w:rsidRPr="0040232F">
        <w:rPr>
          <w:rFonts w:ascii="Times New Roman" w:hAnsi="Times New Roman"/>
        </w:rPr>
        <w:t>m</w:t>
      </w:r>
      <w:r w:rsidR="00994AFE" w:rsidRPr="0040232F">
        <w:rPr>
          <w:rFonts w:ascii="Times New Roman" w:hAnsi="Times New Roman"/>
        </w:rPr>
        <w:t xml:space="preserve">athematics and </w:t>
      </w:r>
      <w:r w:rsidR="004800E0" w:rsidRPr="0040232F">
        <w:rPr>
          <w:rFonts w:ascii="Times New Roman" w:hAnsi="Times New Roman"/>
        </w:rPr>
        <w:t xml:space="preserve">English </w:t>
      </w:r>
      <w:r w:rsidR="00260EDB" w:rsidRPr="0040232F">
        <w:rPr>
          <w:rFonts w:ascii="Times New Roman" w:hAnsi="Times New Roman"/>
        </w:rPr>
        <w:t>l</w:t>
      </w:r>
      <w:r w:rsidR="004800E0" w:rsidRPr="0040232F">
        <w:rPr>
          <w:rFonts w:ascii="Times New Roman" w:hAnsi="Times New Roman"/>
        </w:rPr>
        <w:t xml:space="preserve">anguage </w:t>
      </w:r>
      <w:r w:rsidR="00260EDB" w:rsidRPr="0040232F">
        <w:rPr>
          <w:rFonts w:ascii="Times New Roman" w:hAnsi="Times New Roman"/>
        </w:rPr>
        <w:t>a</w:t>
      </w:r>
      <w:r w:rsidR="004800E0" w:rsidRPr="0040232F">
        <w:rPr>
          <w:rFonts w:ascii="Times New Roman" w:hAnsi="Times New Roman"/>
        </w:rPr>
        <w:t xml:space="preserve">rts, compared with </w:t>
      </w:r>
      <w:r w:rsidR="00224636" w:rsidRPr="0040232F">
        <w:rPr>
          <w:rFonts w:ascii="Times New Roman" w:hAnsi="Times New Roman"/>
        </w:rPr>
        <w:t xml:space="preserve">the </w:t>
      </w:r>
      <w:r w:rsidR="00301733" w:rsidRPr="0040232F">
        <w:rPr>
          <w:rFonts w:ascii="Times New Roman" w:hAnsi="Times New Roman"/>
        </w:rPr>
        <w:t>incoming MCAS scores</w:t>
      </w:r>
      <w:r w:rsidR="00224636" w:rsidRPr="0040232F">
        <w:rPr>
          <w:rFonts w:ascii="Times New Roman" w:hAnsi="Times New Roman"/>
        </w:rPr>
        <w:t xml:space="preserve"> of </w:t>
      </w:r>
      <w:r w:rsidR="004800E0" w:rsidRPr="0040232F">
        <w:rPr>
          <w:rFonts w:ascii="Times New Roman" w:hAnsi="Times New Roman"/>
        </w:rPr>
        <w:t>students</w:t>
      </w:r>
      <w:r w:rsidR="00FD499D" w:rsidRPr="0040232F">
        <w:rPr>
          <w:rFonts w:ascii="Times New Roman" w:hAnsi="Times New Roman"/>
        </w:rPr>
        <w:t xml:space="preserve"> </w:t>
      </w:r>
      <w:r w:rsidR="004800E0" w:rsidRPr="0040232F">
        <w:rPr>
          <w:rFonts w:ascii="Times New Roman" w:hAnsi="Times New Roman"/>
        </w:rPr>
        <w:t xml:space="preserve">assigned to teachers with four or more years of experience. The results </w:t>
      </w:r>
      <w:r w:rsidR="00557F51" w:rsidRPr="0040232F">
        <w:rPr>
          <w:rFonts w:ascii="Times New Roman" w:hAnsi="Times New Roman"/>
        </w:rPr>
        <w:t>are</w:t>
      </w:r>
      <w:r w:rsidR="00260EDB" w:rsidRPr="0040232F">
        <w:rPr>
          <w:rFonts w:ascii="Times New Roman" w:hAnsi="Times New Roman"/>
        </w:rPr>
        <w:t xml:space="preserve"> translated from standard deviations to</w:t>
      </w:r>
      <w:r w:rsidR="004800E0" w:rsidRPr="0040232F">
        <w:rPr>
          <w:rFonts w:ascii="Times New Roman" w:hAnsi="Times New Roman"/>
        </w:rPr>
        <w:t xml:space="preserve"> </w:t>
      </w:r>
      <w:r w:rsidR="00C14D1A" w:rsidRPr="0040232F">
        <w:rPr>
          <w:rFonts w:ascii="Times New Roman" w:hAnsi="Times New Roman"/>
        </w:rPr>
        <w:t>months of learning</w:t>
      </w:r>
      <w:r w:rsidR="00BD73BC" w:rsidRPr="0040232F">
        <w:rPr>
          <w:rFonts w:ascii="Times New Roman" w:hAnsi="Times New Roman"/>
        </w:rPr>
        <w:t xml:space="preserve"> based on the grade level and subject area</w:t>
      </w:r>
      <w:r w:rsidR="00A01A7A" w:rsidRPr="0040232F">
        <w:rPr>
          <w:rFonts w:ascii="Times New Roman" w:hAnsi="Times New Roman"/>
        </w:rPr>
        <w:t>.</w:t>
      </w:r>
      <w:r w:rsidR="00A01A7A" w:rsidRPr="0040232F">
        <w:rPr>
          <w:rStyle w:val="FootnoteReference"/>
          <w:rFonts w:ascii="Times New Roman" w:hAnsi="Times New Roman"/>
        </w:rPr>
        <w:footnoteReference w:id="16"/>
      </w:r>
    </w:p>
    <w:p w:rsidR="00224636" w:rsidRDefault="00224636" w:rsidP="0040232F">
      <w:pPr>
        <w:spacing w:line="240" w:lineRule="auto"/>
      </w:pPr>
    </w:p>
    <w:p w:rsidR="00F1185D" w:rsidRPr="0040232F" w:rsidRDefault="00994AFE" w:rsidP="0040232F">
      <w:pPr>
        <w:spacing w:line="240" w:lineRule="auto"/>
        <w:rPr>
          <w:rFonts w:ascii="Times New Roman" w:hAnsi="Times New Roman"/>
        </w:rPr>
      </w:pPr>
      <w:r w:rsidRPr="0040232F">
        <w:rPr>
          <w:rFonts w:ascii="Times New Roman" w:hAnsi="Times New Roman"/>
        </w:rPr>
        <w:t xml:space="preserve">Both </w:t>
      </w:r>
      <w:r w:rsidR="008E2F1A">
        <w:rPr>
          <w:rFonts w:ascii="Times New Roman" w:hAnsi="Times New Roman"/>
        </w:rPr>
        <w:t>the ELA and mathematics results</w:t>
      </w:r>
      <w:r w:rsidR="008E2F1A" w:rsidRPr="0040232F">
        <w:rPr>
          <w:rFonts w:ascii="Times New Roman" w:hAnsi="Times New Roman"/>
        </w:rPr>
        <w:t xml:space="preserve"> </w:t>
      </w:r>
      <w:r w:rsidRPr="0040232F">
        <w:rPr>
          <w:rFonts w:ascii="Times New Roman" w:hAnsi="Times New Roman"/>
        </w:rPr>
        <w:t xml:space="preserve">show that the difference in prior year MCAS scores of students assigned to first-year teachers compared with students assigned to teachers with four or more years of experience </w:t>
      </w:r>
      <w:r w:rsidR="0036020A" w:rsidRPr="0040232F">
        <w:rPr>
          <w:rFonts w:ascii="Times New Roman" w:hAnsi="Times New Roman"/>
        </w:rPr>
        <w:t>is</w:t>
      </w:r>
      <w:r w:rsidRPr="0040232F">
        <w:rPr>
          <w:rFonts w:ascii="Times New Roman" w:hAnsi="Times New Roman"/>
        </w:rPr>
        <w:t xml:space="preserve"> greate</w:t>
      </w:r>
      <w:r w:rsidR="0036020A" w:rsidRPr="0040232F">
        <w:rPr>
          <w:rFonts w:ascii="Times New Roman" w:hAnsi="Times New Roman"/>
        </w:rPr>
        <w:t>st</w:t>
      </w:r>
      <w:r w:rsidRPr="0040232F">
        <w:rPr>
          <w:rFonts w:ascii="Times New Roman" w:hAnsi="Times New Roman"/>
        </w:rPr>
        <w:t xml:space="preserve"> </w:t>
      </w:r>
      <w:r w:rsidR="0036020A" w:rsidRPr="0040232F">
        <w:rPr>
          <w:rFonts w:ascii="Times New Roman" w:hAnsi="Times New Roman"/>
        </w:rPr>
        <w:t xml:space="preserve">when comparing teachers </w:t>
      </w:r>
      <w:r w:rsidRPr="0040232F">
        <w:rPr>
          <w:rFonts w:ascii="Times New Roman" w:hAnsi="Times New Roman"/>
        </w:rPr>
        <w:t>across the state</w:t>
      </w:r>
      <w:r w:rsidR="00D86643" w:rsidRPr="0040232F">
        <w:rPr>
          <w:rFonts w:ascii="Times New Roman" w:hAnsi="Times New Roman"/>
        </w:rPr>
        <w:t xml:space="preserve"> and lessens</w:t>
      </w:r>
      <w:r w:rsidRPr="0040232F">
        <w:rPr>
          <w:rFonts w:ascii="Times New Roman" w:hAnsi="Times New Roman"/>
        </w:rPr>
        <w:t xml:space="preserve"> </w:t>
      </w:r>
      <w:r w:rsidR="00D86643" w:rsidRPr="0040232F">
        <w:rPr>
          <w:rFonts w:ascii="Times New Roman" w:hAnsi="Times New Roman"/>
        </w:rPr>
        <w:t xml:space="preserve">when comparing </w:t>
      </w:r>
      <w:r w:rsidR="0036020A" w:rsidRPr="0040232F">
        <w:rPr>
          <w:rFonts w:ascii="Times New Roman" w:hAnsi="Times New Roman"/>
        </w:rPr>
        <w:t xml:space="preserve">teachers </w:t>
      </w:r>
      <w:r w:rsidRPr="0040232F">
        <w:rPr>
          <w:rFonts w:ascii="Times New Roman" w:hAnsi="Times New Roman"/>
        </w:rPr>
        <w:t>within district</w:t>
      </w:r>
      <w:r w:rsidR="00D86643" w:rsidRPr="0040232F">
        <w:rPr>
          <w:rFonts w:ascii="Times New Roman" w:hAnsi="Times New Roman"/>
        </w:rPr>
        <w:t>s</w:t>
      </w:r>
      <w:r w:rsidRPr="0040232F">
        <w:rPr>
          <w:rFonts w:ascii="Times New Roman" w:hAnsi="Times New Roman"/>
        </w:rPr>
        <w:t xml:space="preserve"> and within school</w:t>
      </w:r>
      <w:r w:rsidR="00D86643" w:rsidRPr="0040232F">
        <w:rPr>
          <w:rFonts w:ascii="Times New Roman" w:hAnsi="Times New Roman"/>
        </w:rPr>
        <w:t>s</w:t>
      </w:r>
      <w:r w:rsidRPr="0040232F">
        <w:rPr>
          <w:rFonts w:ascii="Times New Roman" w:hAnsi="Times New Roman"/>
        </w:rPr>
        <w:t xml:space="preserve">. </w:t>
      </w:r>
      <w:r w:rsidR="003F7FAD" w:rsidRPr="0040232F">
        <w:rPr>
          <w:rFonts w:ascii="Times New Roman" w:hAnsi="Times New Roman"/>
        </w:rPr>
        <w:t xml:space="preserve">The </w:t>
      </w:r>
      <w:r w:rsidR="00E8050B" w:rsidRPr="0040232F">
        <w:rPr>
          <w:rFonts w:ascii="Times New Roman" w:hAnsi="Times New Roman"/>
        </w:rPr>
        <w:t>right</w:t>
      </w:r>
      <w:r w:rsidR="003F7FAD" w:rsidRPr="0040232F">
        <w:rPr>
          <w:rFonts w:ascii="Times New Roman" w:hAnsi="Times New Roman"/>
        </w:rPr>
        <w:t xml:space="preserve"> </w:t>
      </w:r>
      <w:r w:rsidR="001B4FAA" w:rsidRPr="0040232F">
        <w:rPr>
          <w:rFonts w:ascii="Times New Roman" w:hAnsi="Times New Roman"/>
        </w:rPr>
        <w:t xml:space="preserve">side </w:t>
      </w:r>
      <w:r w:rsidR="003F7FAD" w:rsidRPr="0040232F">
        <w:rPr>
          <w:rFonts w:ascii="Times New Roman" w:hAnsi="Times New Roman"/>
        </w:rPr>
        <w:t xml:space="preserve">bar </w:t>
      </w:r>
      <w:r w:rsidRPr="0040232F">
        <w:rPr>
          <w:rFonts w:ascii="Times New Roman" w:hAnsi="Times New Roman"/>
        </w:rPr>
        <w:t xml:space="preserve">in these charts </w:t>
      </w:r>
      <w:r w:rsidR="008E2F1A">
        <w:rPr>
          <w:rFonts w:ascii="Times New Roman" w:hAnsi="Times New Roman"/>
        </w:rPr>
        <w:t>compares</w:t>
      </w:r>
      <w:r w:rsidR="00D00539">
        <w:rPr>
          <w:rFonts w:ascii="Times New Roman" w:hAnsi="Times New Roman"/>
        </w:rPr>
        <w:t xml:space="preserve"> </w:t>
      </w:r>
      <w:r w:rsidR="003F7FAD" w:rsidRPr="0040232F">
        <w:rPr>
          <w:rFonts w:ascii="Times New Roman" w:hAnsi="Times New Roman"/>
        </w:rPr>
        <w:t xml:space="preserve">first-year teachers’ students </w:t>
      </w:r>
      <w:r w:rsidR="00D00539">
        <w:rPr>
          <w:rFonts w:ascii="Times New Roman" w:hAnsi="Times New Roman"/>
        </w:rPr>
        <w:t>with</w:t>
      </w:r>
      <w:r w:rsidR="00D00539" w:rsidRPr="0040232F">
        <w:rPr>
          <w:rFonts w:ascii="Times New Roman" w:hAnsi="Times New Roman"/>
        </w:rPr>
        <w:t xml:space="preserve"> </w:t>
      </w:r>
      <w:r w:rsidR="003F7FAD" w:rsidRPr="0040232F">
        <w:rPr>
          <w:rFonts w:ascii="Times New Roman" w:hAnsi="Times New Roman"/>
        </w:rPr>
        <w:t xml:space="preserve">experienced teachers’ students </w:t>
      </w:r>
      <w:r w:rsidR="003F7FAD" w:rsidRPr="0040232F">
        <w:rPr>
          <w:rFonts w:ascii="Times New Roman" w:hAnsi="Times New Roman"/>
          <w:i/>
        </w:rPr>
        <w:t>within the same school</w:t>
      </w:r>
      <w:r w:rsidR="003F7FAD" w:rsidRPr="0040232F">
        <w:rPr>
          <w:rFonts w:ascii="Times New Roman" w:hAnsi="Times New Roman"/>
        </w:rPr>
        <w:t xml:space="preserve">. </w:t>
      </w:r>
      <w:r w:rsidR="00B2318D" w:rsidRPr="0040232F">
        <w:rPr>
          <w:rFonts w:ascii="Times New Roman" w:hAnsi="Times New Roman"/>
        </w:rPr>
        <w:t xml:space="preserve">In </w:t>
      </w:r>
      <w:r w:rsidR="00591F96">
        <w:rPr>
          <w:rFonts w:ascii="Times New Roman" w:hAnsi="Times New Roman"/>
        </w:rPr>
        <w:t>mathematics</w:t>
      </w:r>
      <w:r w:rsidR="00B2318D" w:rsidRPr="0040232F">
        <w:rPr>
          <w:rFonts w:ascii="Times New Roman" w:hAnsi="Times New Roman"/>
        </w:rPr>
        <w:t>, f</w:t>
      </w:r>
      <w:r w:rsidR="007E0E61" w:rsidRPr="0040232F">
        <w:rPr>
          <w:rFonts w:ascii="Times New Roman" w:hAnsi="Times New Roman"/>
        </w:rPr>
        <w:t xml:space="preserve">irst-year teachers are assigned students </w:t>
      </w:r>
      <w:r w:rsidR="005C1F74" w:rsidRPr="0040232F">
        <w:rPr>
          <w:rFonts w:ascii="Times New Roman" w:hAnsi="Times New Roman"/>
        </w:rPr>
        <w:t>1.7</w:t>
      </w:r>
      <w:r w:rsidR="00B2318D" w:rsidRPr="0040232F">
        <w:rPr>
          <w:rFonts w:ascii="Times New Roman" w:hAnsi="Times New Roman"/>
        </w:rPr>
        <w:t xml:space="preserve"> month</w:t>
      </w:r>
      <w:r w:rsidR="005C1F74" w:rsidRPr="0040232F">
        <w:rPr>
          <w:rFonts w:ascii="Times New Roman" w:hAnsi="Times New Roman"/>
        </w:rPr>
        <w:t>s</w:t>
      </w:r>
      <w:r w:rsidR="00B2318D" w:rsidRPr="0040232F">
        <w:rPr>
          <w:rFonts w:ascii="Times New Roman" w:hAnsi="Times New Roman"/>
        </w:rPr>
        <w:t xml:space="preserve"> behind </w:t>
      </w:r>
      <w:proofErr w:type="gramStart"/>
      <w:r w:rsidR="00CA190A" w:rsidRPr="0040232F">
        <w:rPr>
          <w:rFonts w:ascii="Times New Roman" w:hAnsi="Times New Roman"/>
        </w:rPr>
        <w:t>students</w:t>
      </w:r>
      <w:proofErr w:type="gramEnd"/>
      <w:r w:rsidR="00CA190A" w:rsidRPr="0040232F">
        <w:rPr>
          <w:rFonts w:ascii="Times New Roman" w:hAnsi="Times New Roman"/>
        </w:rPr>
        <w:t xml:space="preserve"> assigned to more experienced teachers </w:t>
      </w:r>
      <w:r w:rsidR="00B2318D" w:rsidRPr="0040232F">
        <w:rPr>
          <w:rFonts w:ascii="Times New Roman" w:hAnsi="Times New Roman"/>
        </w:rPr>
        <w:t xml:space="preserve">in </w:t>
      </w:r>
      <w:r w:rsidR="00591F96">
        <w:rPr>
          <w:rFonts w:ascii="Times New Roman" w:hAnsi="Times New Roman"/>
        </w:rPr>
        <w:t>g</w:t>
      </w:r>
      <w:r w:rsidR="00B2318D" w:rsidRPr="0040232F">
        <w:rPr>
          <w:rFonts w:ascii="Times New Roman" w:hAnsi="Times New Roman"/>
        </w:rPr>
        <w:t xml:space="preserve">rades </w:t>
      </w:r>
      <w:r w:rsidR="0048138F">
        <w:rPr>
          <w:rFonts w:ascii="Times New Roman" w:hAnsi="Times New Roman"/>
        </w:rPr>
        <w:t xml:space="preserve">4 – 5 </w:t>
      </w:r>
      <w:r w:rsidR="00B2318D" w:rsidRPr="0040232F">
        <w:rPr>
          <w:rFonts w:ascii="Times New Roman" w:hAnsi="Times New Roman"/>
        </w:rPr>
        <w:t xml:space="preserve">and </w:t>
      </w:r>
      <w:r w:rsidR="00E62772" w:rsidRPr="0040232F">
        <w:rPr>
          <w:rFonts w:ascii="Times New Roman" w:hAnsi="Times New Roman"/>
        </w:rPr>
        <w:t xml:space="preserve">assigned students </w:t>
      </w:r>
      <w:r w:rsidR="005C1F74" w:rsidRPr="0040232F">
        <w:rPr>
          <w:rFonts w:ascii="Times New Roman" w:hAnsi="Times New Roman"/>
        </w:rPr>
        <w:t xml:space="preserve">almost </w:t>
      </w:r>
      <w:r w:rsidR="00591F96">
        <w:rPr>
          <w:rFonts w:ascii="Times New Roman" w:hAnsi="Times New Roman"/>
        </w:rPr>
        <w:t>six</w:t>
      </w:r>
      <w:r w:rsidR="005C1F74" w:rsidRPr="0040232F">
        <w:rPr>
          <w:rFonts w:ascii="Times New Roman" w:hAnsi="Times New Roman"/>
        </w:rPr>
        <w:t xml:space="preserve"> </w:t>
      </w:r>
      <w:r w:rsidR="00B2318D" w:rsidRPr="0040232F">
        <w:rPr>
          <w:rFonts w:ascii="Times New Roman" w:hAnsi="Times New Roman"/>
        </w:rPr>
        <w:t>months behind</w:t>
      </w:r>
      <w:r w:rsidR="005F09EB" w:rsidRPr="0040232F">
        <w:rPr>
          <w:rFonts w:ascii="Times New Roman" w:hAnsi="Times New Roman"/>
        </w:rPr>
        <w:t xml:space="preserve"> </w:t>
      </w:r>
      <w:r w:rsidR="00E62772" w:rsidRPr="0040232F">
        <w:rPr>
          <w:rFonts w:ascii="Times New Roman" w:hAnsi="Times New Roman"/>
        </w:rPr>
        <w:t xml:space="preserve">in </w:t>
      </w:r>
      <w:r w:rsidR="00591F96">
        <w:rPr>
          <w:rFonts w:ascii="Times New Roman" w:hAnsi="Times New Roman"/>
        </w:rPr>
        <w:t>g</w:t>
      </w:r>
      <w:r w:rsidR="00E62772" w:rsidRPr="0040232F">
        <w:rPr>
          <w:rFonts w:ascii="Times New Roman" w:hAnsi="Times New Roman"/>
        </w:rPr>
        <w:t xml:space="preserve">rades </w:t>
      </w:r>
      <w:r w:rsidR="0048138F">
        <w:rPr>
          <w:rFonts w:ascii="Times New Roman" w:hAnsi="Times New Roman"/>
        </w:rPr>
        <w:t>6 – 8</w:t>
      </w:r>
      <w:r w:rsidR="00CA190A" w:rsidRPr="0040232F">
        <w:rPr>
          <w:rFonts w:ascii="Times New Roman" w:hAnsi="Times New Roman"/>
        </w:rPr>
        <w:t>,</w:t>
      </w:r>
      <w:r w:rsidR="005F09EB" w:rsidRPr="0040232F">
        <w:rPr>
          <w:rFonts w:ascii="Times New Roman" w:hAnsi="Times New Roman"/>
        </w:rPr>
        <w:t xml:space="preserve"> </w:t>
      </w:r>
      <w:r w:rsidR="00E62772" w:rsidRPr="0040232F">
        <w:rPr>
          <w:rFonts w:ascii="Times New Roman" w:hAnsi="Times New Roman"/>
        </w:rPr>
        <w:t>with</w:t>
      </w:r>
      <w:r w:rsidR="005F09EB" w:rsidRPr="0040232F">
        <w:rPr>
          <w:rFonts w:ascii="Times New Roman" w:hAnsi="Times New Roman"/>
        </w:rPr>
        <w:t>in the same school</w:t>
      </w:r>
      <w:r w:rsidR="00B2318D" w:rsidRPr="0040232F">
        <w:rPr>
          <w:rFonts w:ascii="Times New Roman" w:hAnsi="Times New Roman"/>
        </w:rPr>
        <w:t>. I</w:t>
      </w:r>
      <w:r w:rsidR="007E0E61" w:rsidRPr="0040232F">
        <w:rPr>
          <w:rFonts w:ascii="Times New Roman" w:hAnsi="Times New Roman"/>
        </w:rPr>
        <w:t>n ELA</w:t>
      </w:r>
      <w:r w:rsidR="00B2318D" w:rsidRPr="0040232F">
        <w:rPr>
          <w:rFonts w:ascii="Times New Roman" w:hAnsi="Times New Roman"/>
        </w:rPr>
        <w:t>, first-year teachers te</w:t>
      </w:r>
      <w:r w:rsidR="007B6534" w:rsidRPr="0040232F">
        <w:rPr>
          <w:rFonts w:ascii="Times New Roman" w:hAnsi="Times New Roman"/>
        </w:rPr>
        <w:t>ach students who start the year</w:t>
      </w:r>
      <w:r w:rsidR="007E0E61" w:rsidRPr="0040232F">
        <w:rPr>
          <w:rFonts w:ascii="Times New Roman" w:hAnsi="Times New Roman"/>
        </w:rPr>
        <w:t xml:space="preserve"> </w:t>
      </w:r>
      <w:r w:rsidR="005C1F74" w:rsidRPr="0040232F">
        <w:rPr>
          <w:rFonts w:ascii="Times New Roman" w:hAnsi="Times New Roman"/>
        </w:rPr>
        <w:t>one</w:t>
      </w:r>
      <w:r w:rsidR="00B2318D" w:rsidRPr="0040232F">
        <w:rPr>
          <w:rFonts w:ascii="Times New Roman" w:hAnsi="Times New Roman"/>
        </w:rPr>
        <w:t xml:space="preserve"> month behind their peers </w:t>
      </w:r>
      <w:r w:rsidR="005C1F74" w:rsidRPr="0040232F">
        <w:rPr>
          <w:rFonts w:ascii="Times New Roman" w:hAnsi="Times New Roman"/>
        </w:rPr>
        <w:t>in grades</w:t>
      </w:r>
      <w:r w:rsidR="0048138F">
        <w:rPr>
          <w:rFonts w:ascii="Times New Roman" w:hAnsi="Times New Roman"/>
        </w:rPr>
        <w:t xml:space="preserve"> 4 – 5 </w:t>
      </w:r>
      <w:r w:rsidR="005C1F74" w:rsidRPr="0040232F">
        <w:rPr>
          <w:rFonts w:ascii="Times New Roman" w:hAnsi="Times New Roman"/>
        </w:rPr>
        <w:t>and 2.5 months behind in grades 6</w:t>
      </w:r>
      <w:r w:rsidR="0083610C">
        <w:rPr>
          <w:rFonts w:ascii="Times New Roman" w:hAnsi="Times New Roman"/>
        </w:rPr>
        <w:t xml:space="preserve"> – 8,</w:t>
      </w:r>
      <w:r w:rsidR="005C1F74" w:rsidRPr="0040232F">
        <w:rPr>
          <w:rFonts w:ascii="Times New Roman" w:hAnsi="Times New Roman"/>
        </w:rPr>
        <w:t xml:space="preserve"> compared with students</w:t>
      </w:r>
      <w:r w:rsidR="003F7FAD" w:rsidRPr="0040232F">
        <w:rPr>
          <w:rFonts w:ascii="Times New Roman" w:hAnsi="Times New Roman"/>
        </w:rPr>
        <w:t xml:space="preserve"> assigned </w:t>
      </w:r>
      <w:r w:rsidR="007B6534" w:rsidRPr="0040232F">
        <w:rPr>
          <w:rFonts w:ascii="Times New Roman" w:hAnsi="Times New Roman"/>
        </w:rPr>
        <w:t xml:space="preserve">to </w:t>
      </w:r>
      <w:r w:rsidR="003F7FAD" w:rsidRPr="0040232F">
        <w:rPr>
          <w:rFonts w:ascii="Times New Roman" w:hAnsi="Times New Roman"/>
        </w:rPr>
        <w:t>more experienced teachers</w:t>
      </w:r>
      <w:r w:rsidR="007E0E61" w:rsidRPr="0040232F">
        <w:rPr>
          <w:rFonts w:ascii="Times New Roman" w:hAnsi="Times New Roman"/>
        </w:rPr>
        <w:t xml:space="preserve">.  </w:t>
      </w:r>
    </w:p>
    <w:p w:rsidR="001364F5" w:rsidRPr="0040232F" w:rsidRDefault="001364F5" w:rsidP="0040232F">
      <w:pPr>
        <w:spacing w:line="240" w:lineRule="auto"/>
        <w:rPr>
          <w:rFonts w:ascii="Times New Roman" w:hAnsi="Times New Roman"/>
        </w:rPr>
      </w:pPr>
    </w:p>
    <w:p w:rsidR="00CF00FC" w:rsidRPr="001364F5" w:rsidRDefault="004800E0" w:rsidP="001364F5">
      <w:pPr>
        <w:pStyle w:val="Heading2"/>
        <w:spacing w:line="240" w:lineRule="auto"/>
        <w:rPr>
          <w:i w:val="0"/>
          <w:sz w:val="21"/>
          <w:szCs w:val="21"/>
        </w:rPr>
      </w:pPr>
      <w:r w:rsidRPr="00446709">
        <w:rPr>
          <w:i w:val="0"/>
          <w:sz w:val="21"/>
          <w:szCs w:val="21"/>
        </w:rPr>
        <w:t xml:space="preserve">Chart </w:t>
      </w:r>
      <w:r w:rsidR="00224636" w:rsidRPr="00446709">
        <w:rPr>
          <w:i w:val="0"/>
          <w:sz w:val="21"/>
          <w:szCs w:val="21"/>
        </w:rPr>
        <w:t>3.</w:t>
      </w:r>
      <w:r w:rsidR="00260EDB" w:rsidRPr="00446709">
        <w:rPr>
          <w:i w:val="0"/>
          <w:sz w:val="21"/>
          <w:szCs w:val="21"/>
        </w:rPr>
        <w:t>6</w:t>
      </w:r>
      <w:r w:rsidRPr="00446709">
        <w:rPr>
          <w:i w:val="0"/>
          <w:sz w:val="21"/>
          <w:szCs w:val="21"/>
        </w:rPr>
        <w:t xml:space="preserve">: Difference in Prior Year MCAS Math Scores of Students Assigned to First-Year Teachers </w:t>
      </w:r>
      <w:r w:rsidR="007A3416" w:rsidRPr="00446709">
        <w:rPr>
          <w:i w:val="0"/>
          <w:sz w:val="21"/>
          <w:szCs w:val="21"/>
        </w:rPr>
        <w:t>C</w:t>
      </w:r>
      <w:r w:rsidRPr="00446709">
        <w:rPr>
          <w:i w:val="0"/>
          <w:sz w:val="21"/>
          <w:szCs w:val="21"/>
        </w:rPr>
        <w:t>ompared with Students Assigned to Teachers with Four or More Years of Experience.</w:t>
      </w:r>
    </w:p>
    <w:p w:rsidR="00224636" w:rsidRDefault="00B741FA" w:rsidP="001364F5">
      <w:pPr>
        <w:spacing w:line="276" w:lineRule="auto"/>
      </w:pPr>
      <w:r w:rsidRPr="00B741FA">
        <w:rPr>
          <w:noProof/>
          <w:lang w:eastAsia="zh-CN" w:bidi="km-KH"/>
        </w:rPr>
        <w:drawing>
          <wp:inline distT="0" distB="0" distL="0" distR="0">
            <wp:extent cx="4773168" cy="3045460"/>
            <wp:effectExtent l="19050" t="0" r="27432" b="2540"/>
            <wp:docPr id="13" name="Chart 6" descr="Difference in Prior Year MCAS Math Scores of Students Assigned to First-Year Teachers Compared with Students Assigned to Teachers with Four or More Years of Experience.&#10;&#10;Results are in months of learning.&#10;&#10;Math, Grades 4 - 5, Within Schools:-3.34&#10;Math, Grades 4 - 5, Within Districts: -2.08&#10;Math, Grades 4 - 5, Across the State: -1.72&#10;Math, Grades 6 - 8, Within Schools: -8.03&#10;Math, Grades 6 - 8, Within Districts: -6.22&#10;Math, Grades 6 - 8, Across the State: -5.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800E0" w:rsidRPr="00446709" w:rsidRDefault="004800E0" w:rsidP="00446709">
      <w:pPr>
        <w:pStyle w:val="Heading2"/>
        <w:spacing w:line="240" w:lineRule="auto"/>
        <w:rPr>
          <w:i w:val="0"/>
          <w:sz w:val="21"/>
          <w:szCs w:val="21"/>
        </w:rPr>
      </w:pPr>
      <w:r w:rsidRPr="00446709">
        <w:rPr>
          <w:i w:val="0"/>
          <w:sz w:val="21"/>
          <w:szCs w:val="21"/>
        </w:rPr>
        <w:t xml:space="preserve">Chart </w:t>
      </w:r>
      <w:r w:rsidR="00F438A2" w:rsidRPr="00446709">
        <w:rPr>
          <w:i w:val="0"/>
          <w:sz w:val="21"/>
          <w:szCs w:val="21"/>
        </w:rPr>
        <w:t>3.</w:t>
      </w:r>
      <w:r w:rsidR="00260EDB" w:rsidRPr="00446709">
        <w:rPr>
          <w:i w:val="0"/>
          <w:sz w:val="21"/>
          <w:szCs w:val="21"/>
        </w:rPr>
        <w:t>7</w:t>
      </w:r>
      <w:r w:rsidRPr="00446709">
        <w:rPr>
          <w:i w:val="0"/>
          <w:sz w:val="21"/>
          <w:szCs w:val="21"/>
        </w:rPr>
        <w:t xml:space="preserve">: Difference in Prior Year MCAS ELA Scores of Students Assigned to First-Year Teachers </w:t>
      </w:r>
      <w:r w:rsidR="007A3416" w:rsidRPr="00446709">
        <w:rPr>
          <w:i w:val="0"/>
          <w:sz w:val="21"/>
          <w:szCs w:val="21"/>
        </w:rPr>
        <w:t>C</w:t>
      </w:r>
      <w:r w:rsidRPr="00446709">
        <w:rPr>
          <w:i w:val="0"/>
          <w:sz w:val="21"/>
          <w:szCs w:val="21"/>
        </w:rPr>
        <w:t>ompared with Students Assigned to Teachers with Four or More Years of Experience.</w:t>
      </w:r>
    </w:p>
    <w:p w:rsidR="004800E0" w:rsidRPr="00973D4D" w:rsidRDefault="00B21F56" w:rsidP="001364F5">
      <w:pPr>
        <w:spacing w:line="276" w:lineRule="auto"/>
      </w:pPr>
      <w:r>
        <w:rPr>
          <w:noProof/>
          <w:lang w:eastAsia="zh-CN" w:bidi="km-KH"/>
        </w:rPr>
        <w:drawing>
          <wp:inline distT="0" distB="0" distL="0" distR="0">
            <wp:extent cx="4773168" cy="3045460"/>
            <wp:effectExtent l="19050" t="0" r="27432" b="2540"/>
            <wp:docPr id="27" name="Chart 2" descr="Difference in Prior Year MCAS ELA Scores of Students Assigned to First-Year Teachers Compared with Students Assigned to Teachers with Four or More Years of Experience.&#10;&#10;Results are in months of learning.&#10;&#10;ELA, Grades 4 - 5, Within Schools:-5.47&#10;ELA, Grades 4 - 5, Within Districts: -1.85&#10;ELA, Grades 4 - 5, Across the State: -1.06&#10;ELA, Grades 6 - 8, Within Schools: -9.25&#10;ELA, Grades 6 - 8, Within Districts: -4.37&#10;ELA, Grades 6 - 8, Across the State: -2.5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438A2" w:rsidRDefault="00F438A2" w:rsidP="0040232F">
      <w:pPr>
        <w:spacing w:line="240" w:lineRule="auto"/>
      </w:pPr>
    </w:p>
    <w:p w:rsidR="00DF1EFD" w:rsidRDefault="00DF1EFD" w:rsidP="0040232F">
      <w:pPr>
        <w:spacing w:line="240" w:lineRule="auto"/>
      </w:pPr>
    </w:p>
    <w:p w:rsidR="00AC118B" w:rsidRPr="00C84CF4" w:rsidRDefault="004800E0" w:rsidP="0040232F">
      <w:pPr>
        <w:spacing w:line="240" w:lineRule="auto"/>
        <w:rPr>
          <w:rFonts w:ascii="Times New Roman" w:hAnsi="Times New Roman"/>
        </w:rPr>
      </w:pPr>
      <w:r w:rsidRPr="00C84CF4">
        <w:rPr>
          <w:rFonts w:ascii="Times New Roman" w:hAnsi="Times New Roman"/>
        </w:rPr>
        <w:t xml:space="preserve">This pattern is exacerbated by </w:t>
      </w:r>
      <w:r w:rsidR="00793831" w:rsidRPr="00C84CF4">
        <w:rPr>
          <w:rFonts w:ascii="Times New Roman" w:hAnsi="Times New Roman"/>
        </w:rPr>
        <w:t xml:space="preserve">the fact that schools and districts </w:t>
      </w:r>
      <w:r w:rsidR="001B4FAA" w:rsidRPr="00C84CF4">
        <w:rPr>
          <w:rFonts w:ascii="Times New Roman" w:hAnsi="Times New Roman"/>
        </w:rPr>
        <w:t>that enroll</w:t>
      </w:r>
      <w:r w:rsidR="00793831" w:rsidRPr="00C84CF4">
        <w:rPr>
          <w:rFonts w:ascii="Times New Roman" w:hAnsi="Times New Roman"/>
        </w:rPr>
        <w:t xml:space="preserve"> </w:t>
      </w:r>
      <w:r w:rsidR="00AC118B" w:rsidRPr="00C84CF4">
        <w:rPr>
          <w:rFonts w:ascii="Times New Roman" w:hAnsi="Times New Roman"/>
        </w:rPr>
        <w:t xml:space="preserve">more </w:t>
      </w:r>
      <w:r w:rsidR="00793831" w:rsidRPr="00C84CF4">
        <w:rPr>
          <w:rFonts w:ascii="Times New Roman" w:hAnsi="Times New Roman"/>
        </w:rPr>
        <w:t xml:space="preserve">lower-performing students </w:t>
      </w:r>
      <w:r w:rsidR="00AC118B" w:rsidRPr="00C84CF4">
        <w:rPr>
          <w:rFonts w:ascii="Times New Roman" w:hAnsi="Times New Roman"/>
        </w:rPr>
        <w:t xml:space="preserve">also </w:t>
      </w:r>
      <w:r w:rsidR="00793831" w:rsidRPr="00C84CF4">
        <w:rPr>
          <w:rFonts w:ascii="Times New Roman" w:hAnsi="Times New Roman"/>
        </w:rPr>
        <w:t>hire a larger share of first-year teachers</w:t>
      </w:r>
      <w:r w:rsidRPr="00C84CF4">
        <w:rPr>
          <w:rFonts w:ascii="Times New Roman" w:hAnsi="Times New Roman"/>
        </w:rPr>
        <w:t>. The middle bar on the graphs shows the difference for students assigned to first-year teachers across schools within a district</w:t>
      </w:r>
      <w:r w:rsidR="00793831" w:rsidRPr="00C84CF4">
        <w:rPr>
          <w:rFonts w:ascii="Times New Roman" w:hAnsi="Times New Roman"/>
        </w:rPr>
        <w:t>. Because</w:t>
      </w:r>
      <w:r w:rsidRPr="00C84CF4">
        <w:rPr>
          <w:rFonts w:ascii="Times New Roman" w:hAnsi="Times New Roman"/>
        </w:rPr>
        <w:t xml:space="preserve"> schools with lower-performing students hir</w:t>
      </w:r>
      <w:r w:rsidR="00793831" w:rsidRPr="00C84CF4">
        <w:rPr>
          <w:rFonts w:ascii="Times New Roman" w:hAnsi="Times New Roman"/>
        </w:rPr>
        <w:t>e</w:t>
      </w:r>
      <w:r w:rsidRPr="00C84CF4">
        <w:rPr>
          <w:rFonts w:ascii="Times New Roman" w:hAnsi="Times New Roman"/>
        </w:rPr>
        <w:t xml:space="preserve"> a larger share of first-year teachers</w:t>
      </w:r>
      <w:r w:rsidR="00793831" w:rsidRPr="00C84CF4">
        <w:rPr>
          <w:rFonts w:ascii="Times New Roman" w:hAnsi="Times New Roman"/>
        </w:rPr>
        <w:t xml:space="preserve">, first-year teachers teach students who are </w:t>
      </w:r>
      <w:r w:rsidR="00FC72A2" w:rsidRPr="00C84CF4">
        <w:rPr>
          <w:rFonts w:ascii="Times New Roman" w:hAnsi="Times New Roman"/>
        </w:rPr>
        <w:t>1.8</w:t>
      </w:r>
      <w:r w:rsidR="00793831" w:rsidRPr="00C84CF4">
        <w:rPr>
          <w:rFonts w:ascii="Times New Roman" w:hAnsi="Times New Roman"/>
        </w:rPr>
        <w:t xml:space="preserve"> to 4</w:t>
      </w:r>
      <w:r w:rsidR="00FC72A2" w:rsidRPr="00C84CF4">
        <w:rPr>
          <w:rFonts w:ascii="Times New Roman" w:hAnsi="Times New Roman"/>
        </w:rPr>
        <w:t>.4</w:t>
      </w:r>
      <w:r w:rsidR="00793831" w:rsidRPr="00C84CF4">
        <w:rPr>
          <w:rFonts w:ascii="Times New Roman" w:hAnsi="Times New Roman"/>
        </w:rPr>
        <w:t xml:space="preserve"> months behind in ELA and </w:t>
      </w:r>
      <w:r w:rsidR="00FC72A2" w:rsidRPr="00C84CF4">
        <w:rPr>
          <w:rFonts w:ascii="Times New Roman" w:hAnsi="Times New Roman"/>
        </w:rPr>
        <w:t>2.1</w:t>
      </w:r>
      <w:r w:rsidR="00793831" w:rsidRPr="00C84CF4">
        <w:rPr>
          <w:rFonts w:ascii="Times New Roman" w:hAnsi="Times New Roman"/>
        </w:rPr>
        <w:t xml:space="preserve"> to </w:t>
      </w:r>
      <w:r w:rsidR="00FC72A2" w:rsidRPr="00C84CF4">
        <w:rPr>
          <w:rFonts w:ascii="Times New Roman" w:hAnsi="Times New Roman"/>
        </w:rPr>
        <w:t>6.2</w:t>
      </w:r>
      <w:r w:rsidR="00793831" w:rsidRPr="00C84CF4">
        <w:rPr>
          <w:rFonts w:ascii="Times New Roman" w:hAnsi="Times New Roman"/>
        </w:rPr>
        <w:t xml:space="preserve"> months behind in </w:t>
      </w:r>
      <w:r w:rsidR="00D13D07">
        <w:rPr>
          <w:rFonts w:ascii="Times New Roman" w:hAnsi="Times New Roman"/>
        </w:rPr>
        <w:t>mathematics</w:t>
      </w:r>
      <w:r w:rsidR="00D13D07" w:rsidRPr="00C84CF4">
        <w:rPr>
          <w:rFonts w:ascii="Times New Roman" w:hAnsi="Times New Roman"/>
        </w:rPr>
        <w:t xml:space="preserve"> </w:t>
      </w:r>
      <w:r w:rsidR="00793831" w:rsidRPr="00C84CF4">
        <w:rPr>
          <w:rFonts w:ascii="Times New Roman" w:hAnsi="Times New Roman"/>
        </w:rPr>
        <w:t>compared with students taught by more experienced teachers in the same district</w:t>
      </w:r>
      <w:r w:rsidRPr="00C84CF4">
        <w:rPr>
          <w:rFonts w:ascii="Times New Roman" w:hAnsi="Times New Roman"/>
        </w:rPr>
        <w:t xml:space="preserve">. </w:t>
      </w:r>
    </w:p>
    <w:p w:rsidR="00553858" w:rsidRPr="00C84CF4" w:rsidRDefault="00553858" w:rsidP="0040232F">
      <w:pPr>
        <w:spacing w:line="240" w:lineRule="auto"/>
        <w:rPr>
          <w:rFonts w:ascii="Times New Roman" w:hAnsi="Times New Roman"/>
        </w:rPr>
      </w:pPr>
    </w:p>
    <w:p w:rsidR="004800E0" w:rsidRPr="00C84CF4" w:rsidRDefault="004800E0" w:rsidP="0040232F">
      <w:pPr>
        <w:spacing w:line="240" w:lineRule="auto"/>
        <w:rPr>
          <w:rFonts w:ascii="Times New Roman" w:hAnsi="Times New Roman"/>
        </w:rPr>
      </w:pPr>
      <w:r w:rsidRPr="00C84CF4">
        <w:rPr>
          <w:rFonts w:ascii="Times New Roman" w:hAnsi="Times New Roman"/>
        </w:rPr>
        <w:t>The bar on the</w:t>
      </w:r>
      <w:r w:rsidR="001B4FAA" w:rsidRPr="00C84CF4">
        <w:rPr>
          <w:rFonts w:ascii="Times New Roman" w:hAnsi="Times New Roman"/>
        </w:rPr>
        <w:t xml:space="preserve"> </w:t>
      </w:r>
      <w:r w:rsidRPr="00C84CF4">
        <w:rPr>
          <w:rFonts w:ascii="Times New Roman" w:hAnsi="Times New Roman"/>
        </w:rPr>
        <w:t xml:space="preserve">left </w:t>
      </w:r>
      <w:r w:rsidR="00AC118B" w:rsidRPr="00C84CF4">
        <w:rPr>
          <w:rFonts w:ascii="Times New Roman" w:hAnsi="Times New Roman"/>
        </w:rPr>
        <w:t xml:space="preserve">shows this effect across the entire state, with the result being that </w:t>
      </w:r>
      <w:r w:rsidRPr="00C84CF4">
        <w:rPr>
          <w:rFonts w:ascii="Times New Roman" w:hAnsi="Times New Roman"/>
        </w:rPr>
        <w:t xml:space="preserve">first-year teachers are teaching students </w:t>
      </w:r>
      <w:r w:rsidR="00231DFB" w:rsidRPr="00C84CF4">
        <w:rPr>
          <w:rFonts w:ascii="Times New Roman" w:hAnsi="Times New Roman"/>
        </w:rPr>
        <w:t>3.3</w:t>
      </w:r>
      <w:r w:rsidRPr="00C84CF4">
        <w:rPr>
          <w:rFonts w:ascii="Times New Roman" w:hAnsi="Times New Roman"/>
        </w:rPr>
        <w:t xml:space="preserve"> months behind in </w:t>
      </w:r>
      <w:r w:rsidR="00D13D07">
        <w:rPr>
          <w:rFonts w:ascii="Times New Roman" w:hAnsi="Times New Roman"/>
        </w:rPr>
        <w:t>g</w:t>
      </w:r>
      <w:r w:rsidRPr="00C84CF4">
        <w:rPr>
          <w:rFonts w:ascii="Times New Roman" w:hAnsi="Times New Roman"/>
        </w:rPr>
        <w:t>rades 4–5 math</w:t>
      </w:r>
      <w:r w:rsidR="00D13D07">
        <w:rPr>
          <w:rFonts w:ascii="Times New Roman" w:hAnsi="Times New Roman"/>
        </w:rPr>
        <w:t>ematics</w:t>
      </w:r>
      <w:r w:rsidRPr="00C84CF4">
        <w:rPr>
          <w:rFonts w:ascii="Times New Roman" w:hAnsi="Times New Roman"/>
        </w:rPr>
        <w:t xml:space="preserve"> and </w:t>
      </w:r>
      <w:r w:rsidR="00951442" w:rsidRPr="00C84CF4">
        <w:rPr>
          <w:rFonts w:ascii="Times New Roman" w:hAnsi="Times New Roman"/>
        </w:rPr>
        <w:t>eight</w:t>
      </w:r>
      <w:r w:rsidRPr="00C84CF4">
        <w:rPr>
          <w:rFonts w:ascii="Times New Roman" w:hAnsi="Times New Roman"/>
        </w:rPr>
        <w:t xml:space="preserve"> months behind in </w:t>
      </w:r>
      <w:r w:rsidR="00D13D07">
        <w:rPr>
          <w:rFonts w:ascii="Times New Roman" w:hAnsi="Times New Roman"/>
        </w:rPr>
        <w:t>g</w:t>
      </w:r>
      <w:r w:rsidRPr="00C84CF4">
        <w:rPr>
          <w:rFonts w:ascii="Times New Roman" w:hAnsi="Times New Roman"/>
        </w:rPr>
        <w:t xml:space="preserve">rades 6–8 math. In ELA, first-year teachers are assigned students </w:t>
      </w:r>
      <w:r w:rsidR="00231DFB" w:rsidRPr="00C84CF4">
        <w:rPr>
          <w:rFonts w:ascii="Times New Roman" w:hAnsi="Times New Roman"/>
        </w:rPr>
        <w:t xml:space="preserve">5.5 months behind in </w:t>
      </w:r>
      <w:r w:rsidR="00D13D07">
        <w:rPr>
          <w:rFonts w:ascii="Times New Roman" w:hAnsi="Times New Roman"/>
        </w:rPr>
        <w:t>g</w:t>
      </w:r>
      <w:r w:rsidR="00231DFB" w:rsidRPr="00C84CF4">
        <w:rPr>
          <w:rFonts w:ascii="Times New Roman" w:hAnsi="Times New Roman"/>
        </w:rPr>
        <w:t xml:space="preserve">rades 4–5 and </w:t>
      </w:r>
      <w:r w:rsidRPr="00C84CF4">
        <w:rPr>
          <w:rFonts w:ascii="Times New Roman" w:hAnsi="Times New Roman"/>
        </w:rPr>
        <w:t xml:space="preserve">nine months behind </w:t>
      </w:r>
      <w:r w:rsidR="00231DFB" w:rsidRPr="00C84CF4">
        <w:rPr>
          <w:rFonts w:ascii="Times New Roman" w:hAnsi="Times New Roman"/>
        </w:rPr>
        <w:t xml:space="preserve">in </w:t>
      </w:r>
      <w:r w:rsidR="00D13D07">
        <w:rPr>
          <w:rFonts w:ascii="Times New Roman" w:hAnsi="Times New Roman"/>
        </w:rPr>
        <w:t>g</w:t>
      </w:r>
      <w:r w:rsidR="00231DFB" w:rsidRPr="00C84CF4">
        <w:rPr>
          <w:rFonts w:ascii="Times New Roman" w:hAnsi="Times New Roman"/>
        </w:rPr>
        <w:t>rades 6–8</w:t>
      </w:r>
      <w:r w:rsidRPr="00C84CF4">
        <w:rPr>
          <w:rFonts w:ascii="Times New Roman" w:hAnsi="Times New Roman"/>
        </w:rPr>
        <w:t>.</w:t>
      </w:r>
    </w:p>
    <w:p w:rsidR="004800E0" w:rsidRPr="00C84CF4" w:rsidRDefault="004800E0" w:rsidP="0040232F">
      <w:pPr>
        <w:spacing w:line="240" w:lineRule="auto"/>
        <w:rPr>
          <w:rFonts w:ascii="Times New Roman" w:hAnsi="Times New Roman"/>
        </w:rPr>
      </w:pPr>
    </w:p>
    <w:p w:rsidR="004800E0" w:rsidRDefault="004800E0" w:rsidP="0040232F">
      <w:pPr>
        <w:spacing w:line="240" w:lineRule="auto"/>
        <w:rPr>
          <w:rFonts w:ascii="Times New Roman" w:hAnsi="Times New Roman"/>
        </w:rPr>
      </w:pPr>
      <w:r w:rsidRPr="00C84CF4">
        <w:rPr>
          <w:rFonts w:ascii="Times New Roman" w:hAnsi="Times New Roman"/>
        </w:rPr>
        <w:t xml:space="preserve">This pattern has the potential to negatively impact both students and new teachers. </w:t>
      </w:r>
      <w:r w:rsidR="005B5609" w:rsidRPr="00C84CF4">
        <w:rPr>
          <w:rFonts w:ascii="Times New Roman" w:hAnsi="Times New Roman"/>
        </w:rPr>
        <w:t>A</w:t>
      </w:r>
      <w:r w:rsidRPr="00C84CF4">
        <w:rPr>
          <w:rFonts w:ascii="Times New Roman" w:hAnsi="Times New Roman"/>
        </w:rPr>
        <w:t>ssigning students who are already academically behind to first-year teacher</w:t>
      </w:r>
      <w:r w:rsidR="005B5609" w:rsidRPr="00C84CF4">
        <w:rPr>
          <w:rFonts w:ascii="Times New Roman" w:hAnsi="Times New Roman"/>
        </w:rPr>
        <w:t>s</w:t>
      </w:r>
      <w:r w:rsidRPr="00C84CF4">
        <w:rPr>
          <w:rFonts w:ascii="Times New Roman" w:hAnsi="Times New Roman"/>
        </w:rPr>
        <w:t xml:space="preserve"> makes it </w:t>
      </w:r>
      <w:r w:rsidR="00793831" w:rsidRPr="00C84CF4">
        <w:rPr>
          <w:rFonts w:ascii="Times New Roman" w:hAnsi="Times New Roman"/>
        </w:rPr>
        <w:t>more difficult</w:t>
      </w:r>
      <w:r w:rsidR="005B5609" w:rsidRPr="00C84CF4">
        <w:rPr>
          <w:rFonts w:ascii="Times New Roman" w:hAnsi="Times New Roman"/>
        </w:rPr>
        <w:t xml:space="preserve"> for those students to catch up</w:t>
      </w:r>
      <w:r w:rsidR="001738B9" w:rsidRPr="00C84CF4">
        <w:rPr>
          <w:rFonts w:ascii="Times New Roman" w:hAnsi="Times New Roman"/>
        </w:rPr>
        <w:t>.</w:t>
      </w:r>
      <w:r w:rsidR="005B5609" w:rsidRPr="00C84CF4">
        <w:rPr>
          <w:rFonts w:ascii="Times New Roman" w:hAnsi="Times New Roman"/>
        </w:rPr>
        <w:t xml:space="preserve"> </w:t>
      </w:r>
      <w:r w:rsidR="001738B9" w:rsidRPr="00C84CF4">
        <w:rPr>
          <w:rFonts w:ascii="Times New Roman" w:hAnsi="Times New Roman"/>
        </w:rPr>
        <w:t xml:space="preserve">It may also </w:t>
      </w:r>
      <w:r w:rsidRPr="00C84CF4">
        <w:rPr>
          <w:rFonts w:ascii="Times New Roman" w:hAnsi="Times New Roman"/>
        </w:rPr>
        <w:t xml:space="preserve">increase burnout among </w:t>
      </w:r>
      <w:r w:rsidR="001738B9" w:rsidRPr="00C84CF4">
        <w:rPr>
          <w:rFonts w:ascii="Times New Roman" w:hAnsi="Times New Roman"/>
        </w:rPr>
        <w:t xml:space="preserve">first-year </w:t>
      </w:r>
      <w:r w:rsidRPr="00C84CF4">
        <w:rPr>
          <w:rFonts w:ascii="Times New Roman" w:hAnsi="Times New Roman"/>
        </w:rPr>
        <w:t>teachers</w:t>
      </w:r>
      <w:r w:rsidR="001738B9" w:rsidRPr="00C84CF4">
        <w:rPr>
          <w:rFonts w:ascii="Times New Roman" w:hAnsi="Times New Roman"/>
        </w:rPr>
        <w:t xml:space="preserve"> u</w:t>
      </w:r>
      <w:r w:rsidRPr="00C84CF4">
        <w:rPr>
          <w:rFonts w:ascii="Times New Roman" w:hAnsi="Times New Roman"/>
        </w:rPr>
        <w:t xml:space="preserve">nless </w:t>
      </w:r>
      <w:r w:rsidR="001738B9" w:rsidRPr="00C84CF4">
        <w:rPr>
          <w:rFonts w:ascii="Times New Roman" w:hAnsi="Times New Roman"/>
        </w:rPr>
        <w:t xml:space="preserve">they </w:t>
      </w:r>
      <w:r w:rsidRPr="00C84CF4">
        <w:rPr>
          <w:rFonts w:ascii="Times New Roman" w:hAnsi="Times New Roman"/>
        </w:rPr>
        <w:t>receive the support and mentoring needed to effectively teach</w:t>
      </w:r>
      <w:r w:rsidR="001738B9" w:rsidRPr="00C84CF4">
        <w:rPr>
          <w:rFonts w:ascii="Times New Roman" w:hAnsi="Times New Roman"/>
        </w:rPr>
        <w:t xml:space="preserve"> in high-needs schools</w:t>
      </w:r>
      <w:r w:rsidRPr="00C84CF4">
        <w:rPr>
          <w:rFonts w:ascii="Times New Roman" w:hAnsi="Times New Roman"/>
        </w:rPr>
        <w:t xml:space="preserve">. </w:t>
      </w:r>
    </w:p>
    <w:p w:rsidR="001364F5" w:rsidRPr="00C84CF4" w:rsidRDefault="001364F5" w:rsidP="0040232F">
      <w:pPr>
        <w:spacing w:line="240" w:lineRule="auto"/>
        <w:rPr>
          <w:rFonts w:ascii="Times New Roman" w:hAnsi="Times New Roman"/>
        </w:rPr>
      </w:pPr>
    </w:p>
    <w:p w:rsidR="00394B9D" w:rsidRDefault="00394B9D">
      <w:pPr>
        <w:spacing w:line="240" w:lineRule="auto"/>
        <w:rPr>
          <w:rFonts w:ascii="Arial" w:hAnsi="Arial" w:cs="Arial"/>
          <w:b/>
          <w:bCs/>
          <w:kern w:val="32"/>
          <w:sz w:val="32"/>
          <w:szCs w:val="32"/>
        </w:rPr>
      </w:pPr>
      <w:bookmarkStart w:id="14" w:name="_Toc374114890"/>
      <w:r>
        <w:br w:type="page"/>
      </w:r>
    </w:p>
    <w:p w:rsidR="00AA2AF8" w:rsidRDefault="00823F65" w:rsidP="0040232F">
      <w:pPr>
        <w:pStyle w:val="Heading1"/>
      </w:pPr>
      <w:r>
        <w:t xml:space="preserve">IV. </w:t>
      </w:r>
      <w:r w:rsidR="0009653C">
        <w:t>New Teacher Retention</w:t>
      </w:r>
      <w:bookmarkEnd w:id="14"/>
    </w:p>
    <w:p w:rsidR="00B1014A" w:rsidRPr="00C84CF4" w:rsidRDefault="00B1014A" w:rsidP="0040232F">
      <w:pPr>
        <w:spacing w:line="240" w:lineRule="auto"/>
        <w:rPr>
          <w:rFonts w:ascii="Times New Roman" w:hAnsi="Times New Roman"/>
        </w:rPr>
      </w:pPr>
      <w:r w:rsidRPr="00C84CF4">
        <w:rPr>
          <w:rFonts w:ascii="Times New Roman" w:hAnsi="Times New Roman"/>
        </w:rPr>
        <w:t xml:space="preserve">In </w:t>
      </w:r>
      <w:r w:rsidR="000B660D">
        <w:rPr>
          <w:rFonts w:ascii="Times New Roman" w:hAnsi="Times New Roman"/>
        </w:rPr>
        <w:t xml:space="preserve">the </w:t>
      </w:r>
      <w:r w:rsidR="00896A0C" w:rsidRPr="00C84CF4">
        <w:rPr>
          <w:rFonts w:ascii="Times New Roman" w:hAnsi="Times New Roman"/>
        </w:rPr>
        <w:t>201</w:t>
      </w:r>
      <w:r w:rsidR="00CE338D" w:rsidRPr="00C84CF4">
        <w:rPr>
          <w:rFonts w:ascii="Times New Roman" w:hAnsi="Times New Roman"/>
        </w:rPr>
        <w:t>0</w:t>
      </w:r>
      <w:r w:rsidR="00896A0C" w:rsidRPr="00C84CF4">
        <w:rPr>
          <w:rFonts w:ascii="Times New Roman" w:hAnsi="Times New Roman"/>
        </w:rPr>
        <w:t>-</w:t>
      </w:r>
      <w:r w:rsidR="000B660D">
        <w:rPr>
          <w:rFonts w:ascii="Times New Roman" w:hAnsi="Times New Roman"/>
        </w:rPr>
        <w:t>20</w:t>
      </w:r>
      <w:r w:rsidR="00896A0C" w:rsidRPr="00C84CF4">
        <w:rPr>
          <w:rFonts w:ascii="Times New Roman" w:hAnsi="Times New Roman"/>
        </w:rPr>
        <w:t>1</w:t>
      </w:r>
      <w:r w:rsidR="00CE338D" w:rsidRPr="00C84CF4">
        <w:rPr>
          <w:rFonts w:ascii="Times New Roman" w:hAnsi="Times New Roman"/>
        </w:rPr>
        <w:t>1</w:t>
      </w:r>
      <w:r w:rsidR="000B660D">
        <w:rPr>
          <w:rFonts w:ascii="Times New Roman" w:hAnsi="Times New Roman"/>
        </w:rPr>
        <w:t xml:space="preserve"> school </w:t>
      </w:r>
      <w:proofErr w:type="gramStart"/>
      <w:r w:rsidR="000B660D">
        <w:rPr>
          <w:rFonts w:ascii="Times New Roman" w:hAnsi="Times New Roman"/>
        </w:rPr>
        <w:t>year</w:t>
      </w:r>
      <w:proofErr w:type="gramEnd"/>
      <w:r w:rsidRPr="00C84CF4">
        <w:rPr>
          <w:rFonts w:ascii="Times New Roman" w:hAnsi="Times New Roman"/>
        </w:rPr>
        <w:t xml:space="preserve">, the Commonwealth’s schools hired </w:t>
      </w:r>
      <w:r w:rsidR="00574269" w:rsidRPr="00C84CF4">
        <w:rPr>
          <w:rFonts w:ascii="Times New Roman" w:hAnsi="Times New Roman"/>
        </w:rPr>
        <w:t>4,699</w:t>
      </w:r>
      <w:r w:rsidRPr="00C84CF4">
        <w:rPr>
          <w:rFonts w:ascii="Times New Roman" w:hAnsi="Times New Roman"/>
        </w:rPr>
        <w:t xml:space="preserve"> new teachers. </w:t>
      </w:r>
      <w:r w:rsidR="00896A0C" w:rsidRPr="00C84CF4">
        <w:rPr>
          <w:rFonts w:ascii="Times New Roman" w:hAnsi="Times New Roman"/>
        </w:rPr>
        <w:t>Within one year</w:t>
      </w:r>
      <w:r w:rsidRPr="00C84CF4">
        <w:rPr>
          <w:rFonts w:ascii="Times New Roman" w:hAnsi="Times New Roman"/>
        </w:rPr>
        <w:t xml:space="preserve">, Massachusetts lost more than </w:t>
      </w:r>
      <w:r w:rsidR="00574269" w:rsidRPr="00C84CF4">
        <w:rPr>
          <w:rFonts w:ascii="Times New Roman" w:hAnsi="Times New Roman"/>
        </w:rPr>
        <w:t xml:space="preserve">910 </w:t>
      </w:r>
      <w:r w:rsidR="0083648B" w:rsidRPr="00C84CF4">
        <w:rPr>
          <w:rFonts w:ascii="Times New Roman" w:hAnsi="Times New Roman"/>
        </w:rPr>
        <w:t>of these new</w:t>
      </w:r>
      <w:r w:rsidRPr="00C84CF4">
        <w:rPr>
          <w:rFonts w:ascii="Times New Roman" w:hAnsi="Times New Roman"/>
        </w:rPr>
        <w:t xml:space="preserve"> teachers—</w:t>
      </w:r>
      <w:r w:rsidR="00880E29" w:rsidRPr="00C84CF4">
        <w:rPr>
          <w:rFonts w:ascii="Times New Roman" w:hAnsi="Times New Roman"/>
        </w:rPr>
        <w:t>19</w:t>
      </w:r>
      <w:r w:rsidR="00574269" w:rsidRPr="00C84CF4">
        <w:rPr>
          <w:rFonts w:ascii="Times New Roman" w:hAnsi="Times New Roman"/>
        </w:rPr>
        <w:t>.4</w:t>
      </w:r>
      <w:r w:rsidR="00880E29" w:rsidRPr="00C84CF4">
        <w:rPr>
          <w:rFonts w:ascii="Times New Roman" w:hAnsi="Times New Roman"/>
        </w:rPr>
        <w:t xml:space="preserve"> percent of those who had been hired. </w:t>
      </w:r>
      <w:r w:rsidR="00282888" w:rsidRPr="00C84CF4">
        <w:rPr>
          <w:rFonts w:ascii="Times New Roman" w:hAnsi="Times New Roman"/>
        </w:rPr>
        <w:t>In comparison, n</w:t>
      </w:r>
      <w:r w:rsidR="009C2662" w:rsidRPr="00C84CF4">
        <w:rPr>
          <w:rFonts w:ascii="Times New Roman" w:hAnsi="Times New Roman"/>
        </w:rPr>
        <w:t xml:space="preserve">ational research on teacher </w:t>
      </w:r>
      <w:r w:rsidR="00D86643" w:rsidRPr="00C84CF4">
        <w:rPr>
          <w:rFonts w:ascii="Times New Roman" w:hAnsi="Times New Roman"/>
        </w:rPr>
        <w:t>turnover found that 10 percent of new teachers left teaching after one year</w:t>
      </w:r>
      <w:r w:rsidR="009C2662" w:rsidRPr="00C84CF4">
        <w:rPr>
          <w:rFonts w:ascii="Times New Roman" w:hAnsi="Times New Roman"/>
        </w:rPr>
        <w:t xml:space="preserve">, a lower </w:t>
      </w:r>
      <w:r w:rsidR="00282888" w:rsidRPr="00C84CF4">
        <w:rPr>
          <w:rFonts w:ascii="Times New Roman" w:hAnsi="Times New Roman"/>
        </w:rPr>
        <w:t xml:space="preserve">turnover </w:t>
      </w:r>
      <w:r w:rsidR="009C2662" w:rsidRPr="00C84CF4">
        <w:rPr>
          <w:rFonts w:ascii="Times New Roman" w:hAnsi="Times New Roman"/>
        </w:rPr>
        <w:t>rate than in Massachusetts</w:t>
      </w:r>
      <w:r w:rsidR="00D86643" w:rsidRPr="00C84CF4">
        <w:rPr>
          <w:rFonts w:ascii="Times New Roman" w:hAnsi="Times New Roman"/>
        </w:rPr>
        <w:t>.</w:t>
      </w:r>
      <w:r w:rsidR="00D86643" w:rsidRPr="00C84CF4">
        <w:rPr>
          <w:rStyle w:val="FootnoteReference"/>
          <w:rFonts w:ascii="Times New Roman" w:hAnsi="Times New Roman"/>
        </w:rPr>
        <w:footnoteReference w:id="17"/>
      </w:r>
      <w:r w:rsidR="00D86643" w:rsidRPr="00C84CF4">
        <w:rPr>
          <w:rFonts w:ascii="Times New Roman" w:hAnsi="Times New Roman"/>
        </w:rPr>
        <w:t xml:space="preserve"> </w:t>
      </w:r>
      <w:r w:rsidRPr="00C84CF4">
        <w:rPr>
          <w:rFonts w:ascii="Times New Roman" w:hAnsi="Times New Roman"/>
        </w:rPr>
        <w:t xml:space="preserve">Teacher </w:t>
      </w:r>
      <w:r w:rsidR="0048138F">
        <w:rPr>
          <w:rFonts w:ascii="Times New Roman" w:hAnsi="Times New Roman"/>
        </w:rPr>
        <w:t>turnover</w:t>
      </w:r>
      <w:r w:rsidRPr="00C84CF4">
        <w:rPr>
          <w:rFonts w:ascii="Times New Roman" w:hAnsi="Times New Roman"/>
        </w:rPr>
        <w:t xml:space="preserve"> imposes stress on school systems and students because it disrupts the community central to strong schools. Underperforming schools are often staf</w:t>
      </w:r>
      <w:r w:rsidR="00E62B40">
        <w:rPr>
          <w:rFonts w:ascii="Times New Roman" w:hAnsi="Times New Roman"/>
        </w:rPr>
        <w:t>fed by inexperienced teachers (S</w:t>
      </w:r>
      <w:r w:rsidRPr="00C84CF4">
        <w:rPr>
          <w:rFonts w:ascii="Times New Roman" w:hAnsi="Times New Roman"/>
        </w:rPr>
        <w:t xml:space="preserve">ee </w:t>
      </w:r>
      <w:r w:rsidR="00E62B40">
        <w:rPr>
          <w:rFonts w:ascii="Times New Roman" w:hAnsi="Times New Roman"/>
        </w:rPr>
        <w:t>S</w:t>
      </w:r>
      <w:r w:rsidR="0083648B" w:rsidRPr="00C84CF4">
        <w:rPr>
          <w:rFonts w:ascii="Times New Roman" w:hAnsi="Times New Roman"/>
        </w:rPr>
        <w:t xml:space="preserve">ection </w:t>
      </w:r>
      <w:r w:rsidR="00D662B0">
        <w:rPr>
          <w:rFonts w:ascii="Times New Roman" w:hAnsi="Times New Roman"/>
        </w:rPr>
        <w:t>I</w:t>
      </w:r>
      <w:r w:rsidRPr="00C84CF4">
        <w:rPr>
          <w:rFonts w:ascii="Times New Roman" w:hAnsi="Times New Roman"/>
        </w:rPr>
        <w:t>)</w:t>
      </w:r>
      <w:proofErr w:type="gramStart"/>
      <w:r w:rsidR="000B660D">
        <w:rPr>
          <w:rFonts w:ascii="Times New Roman" w:hAnsi="Times New Roman"/>
        </w:rPr>
        <w:t>,</w:t>
      </w:r>
      <w:proofErr w:type="gramEnd"/>
      <w:r w:rsidRPr="00C84CF4">
        <w:rPr>
          <w:rFonts w:ascii="Times New Roman" w:hAnsi="Times New Roman"/>
        </w:rPr>
        <w:t xml:space="preserve"> therefore new teacher turnover can be especially taxing for these schools and their students.</w:t>
      </w:r>
      <w:r w:rsidR="00A82505" w:rsidRPr="00C84CF4">
        <w:rPr>
          <w:rStyle w:val="FootnoteReference"/>
          <w:rFonts w:ascii="Times New Roman" w:hAnsi="Times New Roman"/>
        </w:rPr>
        <w:footnoteReference w:id="18"/>
      </w:r>
      <w:r w:rsidRPr="00C84CF4">
        <w:rPr>
          <w:rFonts w:ascii="Times New Roman" w:hAnsi="Times New Roman"/>
        </w:rPr>
        <w:t xml:space="preserve"> Here we explore in-school retention rates for </w:t>
      </w:r>
      <w:r w:rsidR="000B660D">
        <w:rPr>
          <w:rFonts w:ascii="Times New Roman" w:hAnsi="Times New Roman"/>
        </w:rPr>
        <w:t xml:space="preserve">the </w:t>
      </w:r>
      <w:r w:rsidR="004D5A62" w:rsidRPr="00C84CF4">
        <w:rPr>
          <w:rFonts w:ascii="Times New Roman" w:hAnsi="Times New Roman"/>
        </w:rPr>
        <w:t>2010-</w:t>
      </w:r>
      <w:r w:rsidRPr="00C84CF4">
        <w:rPr>
          <w:rFonts w:ascii="Times New Roman" w:hAnsi="Times New Roman"/>
        </w:rPr>
        <w:t xml:space="preserve">2011 </w:t>
      </w:r>
      <w:r w:rsidR="000B660D">
        <w:rPr>
          <w:rFonts w:ascii="Times New Roman" w:hAnsi="Times New Roman"/>
        </w:rPr>
        <w:t xml:space="preserve">school year </w:t>
      </w:r>
      <w:r w:rsidRPr="00C84CF4">
        <w:rPr>
          <w:rFonts w:ascii="Times New Roman" w:hAnsi="Times New Roman"/>
        </w:rPr>
        <w:t>first-year teachers by school accountability level status</w:t>
      </w:r>
      <w:r w:rsidR="004D5A62" w:rsidRPr="00C84CF4">
        <w:rPr>
          <w:rFonts w:ascii="Times New Roman" w:hAnsi="Times New Roman"/>
        </w:rPr>
        <w:t>,</w:t>
      </w:r>
      <w:r w:rsidRPr="00C84CF4">
        <w:rPr>
          <w:rFonts w:ascii="Times New Roman" w:hAnsi="Times New Roman"/>
        </w:rPr>
        <w:t xml:space="preserve"> subject area</w:t>
      </w:r>
      <w:r w:rsidR="004D5A62" w:rsidRPr="00C84CF4">
        <w:rPr>
          <w:rFonts w:ascii="Times New Roman" w:hAnsi="Times New Roman"/>
        </w:rPr>
        <w:t>, and the median growth of teachers’ students</w:t>
      </w:r>
      <w:r w:rsidRPr="00C84CF4">
        <w:rPr>
          <w:rFonts w:ascii="Times New Roman" w:hAnsi="Times New Roman"/>
        </w:rPr>
        <w:t xml:space="preserve">. </w:t>
      </w:r>
    </w:p>
    <w:p w:rsidR="00B1014A" w:rsidRDefault="0026627D" w:rsidP="007F03D4">
      <w:pPr>
        <w:pStyle w:val="Heading2"/>
      </w:pPr>
      <w:bookmarkStart w:id="15" w:name="_Toc374114891"/>
      <w:r>
        <w:t>One- and Two-Year Retention Rates</w:t>
      </w:r>
      <w:bookmarkEnd w:id="15"/>
    </w:p>
    <w:p w:rsidR="00522341" w:rsidRPr="00C84CF4" w:rsidRDefault="00B1014A" w:rsidP="0040232F">
      <w:pPr>
        <w:spacing w:line="240" w:lineRule="auto"/>
        <w:rPr>
          <w:rFonts w:ascii="Times New Roman" w:hAnsi="Times New Roman"/>
        </w:rPr>
      </w:pPr>
      <w:r w:rsidRPr="00C84CF4">
        <w:rPr>
          <w:rFonts w:ascii="Times New Roman" w:hAnsi="Times New Roman"/>
        </w:rPr>
        <w:t xml:space="preserve">As seen in Chart </w:t>
      </w:r>
      <w:r w:rsidR="00BD09F9" w:rsidRPr="00C84CF4">
        <w:rPr>
          <w:rFonts w:ascii="Times New Roman" w:hAnsi="Times New Roman"/>
        </w:rPr>
        <w:t>4</w:t>
      </w:r>
      <w:r w:rsidRPr="00C84CF4">
        <w:rPr>
          <w:rFonts w:ascii="Times New Roman" w:hAnsi="Times New Roman"/>
        </w:rPr>
        <w:t>.</w:t>
      </w:r>
      <w:r w:rsidR="00BD09F9" w:rsidRPr="00C84CF4">
        <w:rPr>
          <w:rFonts w:ascii="Times New Roman" w:hAnsi="Times New Roman"/>
        </w:rPr>
        <w:t>1</w:t>
      </w:r>
      <w:r w:rsidRPr="00C84CF4">
        <w:rPr>
          <w:rFonts w:ascii="Times New Roman" w:hAnsi="Times New Roman"/>
        </w:rPr>
        <w:t xml:space="preserve"> below, </w:t>
      </w:r>
      <w:r w:rsidR="0090780B" w:rsidRPr="00C84CF4">
        <w:rPr>
          <w:rFonts w:ascii="Times New Roman" w:hAnsi="Times New Roman"/>
        </w:rPr>
        <w:t xml:space="preserve">first-year teachers had lower </w:t>
      </w:r>
      <w:r w:rsidR="00457157" w:rsidRPr="00C84CF4">
        <w:rPr>
          <w:rFonts w:ascii="Times New Roman" w:hAnsi="Times New Roman"/>
        </w:rPr>
        <w:t>one</w:t>
      </w:r>
      <w:r w:rsidR="000B660D">
        <w:rPr>
          <w:rFonts w:ascii="Times New Roman" w:hAnsi="Times New Roman"/>
        </w:rPr>
        <w:t>-</w:t>
      </w:r>
      <w:r w:rsidR="0090780B" w:rsidRPr="00C84CF4">
        <w:rPr>
          <w:rFonts w:ascii="Times New Roman" w:hAnsi="Times New Roman"/>
        </w:rPr>
        <w:t xml:space="preserve"> and </w:t>
      </w:r>
      <w:r w:rsidR="00457157" w:rsidRPr="00C84CF4">
        <w:rPr>
          <w:rFonts w:ascii="Times New Roman" w:hAnsi="Times New Roman"/>
        </w:rPr>
        <w:t>two</w:t>
      </w:r>
      <w:r w:rsidR="000B660D">
        <w:rPr>
          <w:rFonts w:ascii="Times New Roman" w:hAnsi="Times New Roman"/>
        </w:rPr>
        <w:t>-</w:t>
      </w:r>
      <w:r w:rsidR="0090780B" w:rsidRPr="00C84CF4">
        <w:rPr>
          <w:rFonts w:ascii="Times New Roman" w:hAnsi="Times New Roman"/>
        </w:rPr>
        <w:t>year retention rates than experienced teachers: 80.7</w:t>
      </w:r>
      <w:r w:rsidR="00282888" w:rsidRPr="00C84CF4">
        <w:rPr>
          <w:rFonts w:ascii="Times New Roman" w:hAnsi="Times New Roman"/>
        </w:rPr>
        <w:t xml:space="preserve"> percent</w:t>
      </w:r>
      <w:r w:rsidR="0090780B" w:rsidRPr="00C84CF4">
        <w:rPr>
          <w:rFonts w:ascii="Times New Roman" w:hAnsi="Times New Roman"/>
        </w:rPr>
        <w:t xml:space="preserve"> of first-year teachers in </w:t>
      </w:r>
      <w:r w:rsidR="000B660D">
        <w:rPr>
          <w:rFonts w:ascii="Times New Roman" w:hAnsi="Times New Roman"/>
        </w:rPr>
        <w:t xml:space="preserve">the </w:t>
      </w:r>
      <w:r w:rsidR="0090780B" w:rsidRPr="00C84CF4">
        <w:rPr>
          <w:rFonts w:ascii="Times New Roman" w:hAnsi="Times New Roman"/>
        </w:rPr>
        <w:t xml:space="preserve">2010-2011 </w:t>
      </w:r>
      <w:r w:rsidR="000B660D">
        <w:rPr>
          <w:rFonts w:ascii="Times New Roman" w:hAnsi="Times New Roman"/>
        </w:rPr>
        <w:t xml:space="preserve">school year </w:t>
      </w:r>
      <w:r w:rsidR="0090780B" w:rsidRPr="00C84CF4">
        <w:rPr>
          <w:rFonts w:ascii="Times New Roman" w:hAnsi="Times New Roman"/>
        </w:rPr>
        <w:t>remained teaching after one year and 73.9</w:t>
      </w:r>
      <w:r w:rsidR="00282888" w:rsidRPr="00C84CF4">
        <w:rPr>
          <w:rFonts w:ascii="Times New Roman" w:hAnsi="Times New Roman"/>
        </w:rPr>
        <w:t xml:space="preserve"> percent</w:t>
      </w:r>
      <w:r w:rsidR="0090780B" w:rsidRPr="00C84CF4">
        <w:rPr>
          <w:rFonts w:ascii="Times New Roman" w:hAnsi="Times New Roman"/>
        </w:rPr>
        <w:t xml:space="preserve"> remained teaching after two years. </w:t>
      </w:r>
      <w:r w:rsidRPr="00C84CF4">
        <w:rPr>
          <w:rFonts w:ascii="Times New Roman" w:hAnsi="Times New Roman"/>
        </w:rPr>
        <w:t xml:space="preserve">In contrast, </w:t>
      </w:r>
      <w:r w:rsidR="00522341" w:rsidRPr="00C84CF4">
        <w:rPr>
          <w:rFonts w:ascii="Times New Roman" w:hAnsi="Times New Roman"/>
        </w:rPr>
        <w:t>9</w:t>
      </w:r>
      <w:r w:rsidR="00CC5F0D" w:rsidRPr="00C84CF4">
        <w:rPr>
          <w:rFonts w:ascii="Times New Roman" w:hAnsi="Times New Roman"/>
        </w:rPr>
        <w:t>1</w:t>
      </w:r>
      <w:r w:rsidR="00522341" w:rsidRPr="00C84CF4">
        <w:rPr>
          <w:rFonts w:ascii="Times New Roman" w:hAnsi="Times New Roman"/>
        </w:rPr>
        <w:t>.</w:t>
      </w:r>
      <w:r w:rsidR="00CC5F0D" w:rsidRPr="00C84CF4">
        <w:rPr>
          <w:rFonts w:ascii="Times New Roman" w:hAnsi="Times New Roman"/>
        </w:rPr>
        <w:t>4</w:t>
      </w:r>
      <w:r w:rsidR="00282888" w:rsidRPr="00C84CF4">
        <w:rPr>
          <w:rFonts w:ascii="Times New Roman" w:hAnsi="Times New Roman"/>
        </w:rPr>
        <w:t xml:space="preserve"> percent</w:t>
      </w:r>
      <w:r w:rsidRPr="00C84CF4">
        <w:rPr>
          <w:rFonts w:ascii="Times New Roman" w:hAnsi="Times New Roman"/>
        </w:rPr>
        <w:t xml:space="preserve"> of teachers with more than one year of experience who were teaching in </w:t>
      </w:r>
      <w:r w:rsidR="000B660D">
        <w:rPr>
          <w:rFonts w:ascii="Times New Roman" w:hAnsi="Times New Roman"/>
        </w:rPr>
        <w:t xml:space="preserve">the </w:t>
      </w:r>
      <w:r w:rsidRPr="00C84CF4">
        <w:rPr>
          <w:rFonts w:ascii="Times New Roman" w:hAnsi="Times New Roman"/>
        </w:rPr>
        <w:t xml:space="preserve">2010-2011 </w:t>
      </w:r>
      <w:r w:rsidR="000B660D">
        <w:rPr>
          <w:rFonts w:ascii="Times New Roman" w:hAnsi="Times New Roman"/>
        </w:rPr>
        <w:t xml:space="preserve">school year </w:t>
      </w:r>
      <w:r w:rsidRPr="00C84CF4">
        <w:rPr>
          <w:rFonts w:ascii="Times New Roman" w:hAnsi="Times New Roman"/>
        </w:rPr>
        <w:t>remained for one year, and 8</w:t>
      </w:r>
      <w:r w:rsidR="00CC5F0D" w:rsidRPr="00C84CF4">
        <w:rPr>
          <w:rFonts w:ascii="Times New Roman" w:hAnsi="Times New Roman"/>
        </w:rPr>
        <w:t>5</w:t>
      </w:r>
      <w:r w:rsidRPr="00C84CF4">
        <w:rPr>
          <w:rFonts w:ascii="Times New Roman" w:hAnsi="Times New Roman"/>
        </w:rPr>
        <w:t>.</w:t>
      </w:r>
      <w:r w:rsidR="00CC5F0D" w:rsidRPr="00C84CF4">
        <w:rPr>
          <w:rFonts w:ascii="Times New Roman" w:hAnsi="Times New Roman"/>
        </w:rPr>
        <w:t>6</w:t>
      </w:r>
      <w:r w:rsidR="00282888" w:rsidRPr="00C84CF4">
        <w:rPr>
          <w:rFonts w:ascii="Times New Roman" w:hAnsi="Times New Roman"/>
        </w:rPr>
        <w:t xml:space="preserve"> percent</w:t>
      </w:r>
      <w:r w:rsidRPr="00C84CF4">
        <w:rPr>
          <w:rFonts w:ascii="Times New Roman" w:hAnsi="Times New Roman"/>
        </w:rPr>
        <w:t xml:space="preserve"> remained for two years. </w:t>
      </w:r>
    </w:p>
    <w:p w:rsidR="00522341" w:rsidRPr="00C84CF4" w:rsidRDefault="00522341" w:rsidP="0040232F">
      <w:pPr>
        <w:spacing w:line="240" w:lineRule="auto"/>
        <w:rPr>
          <w:rFonts w:ascii="Times New Roman" w:hAnsi="Times New Roman"/>
        </w:rPr>
      </w:pPr>
    </w:p>
    <w:p w:rsidR="00B1014A" w:rsidRDefault="00B1014A" w:rsidP="0040232F">
      <w:pPr>
        <w:spacing w:line="240" w:lineRule="auto"/>
        <w:rPr>
          <w:rFonts w:ascii="Times New Roman" w:hAnsi="Times New Roman"/>
        </w:rPr>
      </w:pPr>
      <w:r w:rsidRPr="00C84CF4">
        <w:rPr>
          <w:rFonts w:ascii="Times New Roman" w:hAnsi="Times New Roman"/>
        </w:rPr>
        <w:t xml:space="preserve">Retention rates for teachers </w:t>
      </w:r>
      <w:r w:rsidR="00BD09F9" w:rsidRPr="00C84CF4">
        <w:rPr>
          <w:rFonts w:ascii="Times New Roman" w:hAnsi="Times New Roman"/>
        </w:rPr>
        <w:t>in the same school is even lower, with just 5</w:t>
      </w:r>
      <w:r w:rsidR="00313BFD" w:rsidRPr="00C84CF4">
        <w:rPr>
          <w:rFonts w:ascii="Times New Roman" w:hAnsi="Times New Roman"/>
        </w:rPr>
        <w:t>4.2</w:t>
      </w:r>
      <w:r w:rsidR="00BD09F9" w:rsidRPr="00C84CF4">
        <w:rPr>
          <w:rFonts w:ascii="Times New Roman" w:hAnsi="Times New Roman"/>
        </w:rPr>
        <w:t xml:space="preserve"> percent of new teachers and 75</w:t>
      </w:r>
      <w:r w:rsidR="00313BFD" w:rsidRPr="00C84CF4">
        <w:rPr>
          <w:rFonts w:ascii="Times New Roman" w:hAnsi="Times New Roman"/>
        </w:rPr>
        <w:t>.1</w:t>
      </w:r>
      <w:r w:rsidR="00BD09F9" w:rsidRPr="00C84CF4">
        <w:rPr>
          <w:rFonts w:ascii="Times New Roman" w:hAnsi="Times New Roman"/>
        </w:rPr>
        <w:t xml:space="preserve"> percent of teachers with more than one year of experience staying in the same school for two years.</w:t>
      </w:r>
      <w:r w:rsidR="00685D3F" w:rsidRPr="00C84CF4">
        <w:rPr>
          <w:rFonts w:ascii="Times New Roman" w:hAnsi="Times New Roman"/>
        </w:rPr>
        <w:t xml:space="preserve"> </w:t>
      </w:r>
    </w:p>
    <w:p w:rsidR="00B1014A" w:rsidRPr="00446709" w:rsidRDefault="00B1014A" w:rsidP="00446709">
      <w:pPr>
        <w:pStyle w:val="Heading2"/>
        <w:spacing w:line="240" w:lineRule="auto"/>
        <w:rPr>
          <w:i w:val="0"/>
          <w:sz w:val="21"/>
          <w:szCs w:val="21"/>
        </w:rPr>
      </w:pPr>
      <w:r w:rsidRPr="00446709">
        <w:rPr>
          <w:i w:val="0"/>
          <w:sz w:val="21"/>
          <w:szCs w:val="21"/>
        </w:rPr>
        <w:t xml:space="preserve">Chart </w:t>
      </w:r>
      <w:r w:rsidR="00BD09F9" w:rsidRPr="00446709">
        <w:rPr>
          <w:i w:val="0"/>
          <w:sz w:val="21"/>
          <w:szCs w:val="21"/>
        </w:rPr>
        <w:t>4</w:t>
      </w:r>
      <w:r w:rsidRPr="00446709">
        <w:rPr>
          <w:i w:val="0"/>
          <w:sz w:val="21"/>
          <w:szCs w:val="21"/>
        </w:rPr>
        <w:t>.</w:t>
      </w:r>
      <w:r w:rsidR="00BD09F9" w:rsidRPr="00446709">
        <w:rPr>
          <w:i w:val="0"/>
          <w:sz w:val="21"/>
          <w:szCs w:val="21"/>
        </w:rPr>
        <w:t>1</w:t>
      </w:r>
      <w:r w:rsidR="00952F01" w:rsidRPr="00446709">
        <w:rPr>
          <w:i w:val="0"/>
          <w:sz w:val="21"/>
          <w:szCs w:val="21"/>
        </w:rPr>
        <w:t xml:space="preserve">: </w:t>
      </w:r>
      <w:r w:rsidR="00296508" w:rsidRPr="00446709">
        <w:rPr>
          <w:i w:val="0"/>
          <w:sz w:val="21"/>
          <w:szCs w:val="21"/>
        </w:rPr>
        <w:t>Teachers</w:t>
      </w:r>
      <w:r w:rsidRPr="00446709">
        <w:rPr>
          <w:i w:val="0"/>
          <w:sz w:val="21"/>
          <w:szCs w:val="21"/>
        </w:rPr>
        <w:t xml:space="preserve"> </w:t>
      </w:r>
      <w:r w:rsidR="00952F01" w:rsidRPr="00446709">
        <w:rPr>
          <w:i w:val="0"/>
          <w:sz w:val="21"/>
          <w:szCs w:val="21"/>
        </w:rPr>
        <w:t>R</w:t>
      </w:r>
      <w:r w:rsidRPr="00446709">
        <w:rPr>
          <w:i w:val="0"/>
          <w:sz w:val="21"/>
          <w:szCs w:val="21"/>
        </w:rPr>
        <w:t xml:space="preserve">etained </w:t>
      </w:r>
      <w:r w:rsidR="00952F01" w:rsidRPr="00446709">
        <w:rPr>
          <w:i w:val="0"/>
          <w:sz w:val="21"/>
          <w:szCs w:val="21"/>
        </w:rPr>
        <w:t>in a Massachusetts Public S</w:t>
      </w:r>
      <w:r w:rsidR="00947423" w:rsidRPr="00446709">
        <w:rPr>
          <w:i w:val="0"/>
          <w:sz w:val="21"/>
          <w:szCs w:val="21"/>
        </w:rPr>
        <w:t xml:space="preserve">chool </w:t>
      </w:r>
      <w:r w:rsidR="00952F01" w:rsidRPr="00446709">
        <w:rPr>
          <w:i w:val="0"/>
          <w:sz w:val="21"/>
          <w:szCs w:val="21"/>
        </w:rPr>
        <w:t>S</w:t>
      </w:r>
      <w:r w:rsidRPr="00446709">
        <w:rPr>
          <w:i w:val="0"/>
          <w:sz w:val="21"/>
          <w:szCs w:val="21"/>
        </w:rPr>
        <w:t>tatewide</w:t>
      </w:r>
      <w:r w:rsidR="00952F01" w:rsidRPr="00446709">
        <w:rPr>
          <w:i w:val="0"/>
          <w:sz w:val="21"/>
          <w:szCs w:val="21"/>
        </w:rPr>
        <w:t>, within District and within S</w:t>
      </w:r>
      <w:r w:rsidRPr="00446709">
        <w:rPr>
          <w:i w:val="0"/>
          <w:sz w:val="21"/>
          <w:szCs w:val="21"/>
        </w:rPr>
        <w:t xml:space="preserve">chool from 2010-2011 to </w:t>
      </w:r>
      <w:r w:rsidR="009C4197" w:rsidRPr="00446709">
        <w:rPr>
          <w:i w:val="0"/>
          <w:sz w:val="21"/>
          <w:szCs w:val="21"/>
        </w:rPr>
        <w:t>2012-13</w:t>
      </w:r>
    </w:p>
    <w:p w:rsidR="00B1014A" w:rsidRDefault="00A309FF" w:rsidP="00E62B40">
      <w:pPr>
        <w:spacing w:line="276" w:lineRule="auto"/>
      </w:pPr>
      <w:r w:rsidRPr="00A309FF">
        <w:rPr>
          <w:noProof/>
          <w:lang w:eastAsia="zh-CN" w:bidi="km-KH"/>
        </w:rPr>
        <w:drawing>
          <wp:inline distT="0" distB="0" distL="0" distR="0">
            <wp:extent cx="4838700" cy="3019425"/>
            <wp:effectExtent l="19050" t="0" r="19050" b="0"/>
            <wp:docPr id="35" name="Chart 10" descr="Chart 4.1: Teachers Retained in a Massachusetts Public School Statewide, within District and within School from 2010-2011 to 2012-13&#10;&#10;New Teachers:&#10;In any role &#10;1-year retention 86%&#10;2-year retention 80%&#10;In Teaching &#10;1-year retention 81%&#10;2-year retention 74%&#10;Teaching in the same district &#10;1-year retention 70%&#10;2-year retention 56%&#10;Teaching in the same school &#10;1-year retention 69%&#10;2-year retention 54%&#10;&#10;Experienced Teachers:&#10;In any role &#10;1-year retention 0.931900514&#10;2-year retention 0.883947365&#10;In Teaching &#10;1-year retention 0.913715832&#10;2-year retention 0.855682355&#10;Teaching in the same district &#10;1-year retention 0.861609493&#10;2-year retention 0.757583505&#10;Teaching in the same school &#10;1-year retention 0.856742385&#10;2-year retention 0.751257153&#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31907" w:rsidRDefault="00F31907" w:rsidP="0040232F">
      <w:pPr>
        <w:spacing w:line="240" w:lineRule="auto"/>
      </w:pPr>
    </w:p>
    <w:p w:rsidR="006E5271" w:rsidRDefault="006E5271" w:rsidP="0040232F">
      <w:pPr>
        <w:spacing w:line="240" w:lineRule="auto"/>
        <w:rPr>
          <w:rFonts w:ascii="Times New Roman" w:hAnsi="Times New Roman"/>
        </w:rPr>
      </w:pPr>
      <w:r w:rsidRPr="00C84CF4">
        <w:rPr>
          <w:rFonts w:ascii="Times New Roman" w:hAnsi="Times New Roman"/>
        </w:rPr>
        <w:t>One- and two-year retention rates for first-year and experienced teachers differ by school accountability levels (</w:t>
      </w:r>
      <w:r w:rsidR="000B660D">
        <w:rPr>
          <w:rFonts w:ascii="Times New Roman" w:hAnsi="Times New Roman"/>
        </w:rPr>
        <w:t>S</w:t>
      </w:r>
      <w:r w:rsidRPr="00C84CF4">
        <w:rPr>
          <w:rFonts w:ascii="Times New Roman" w:hAnsi="Times New Roman"/>
        </w:rPr>
        <w:t xml:space="preserve">ee Chart 4.2). For both first-year and experienced teachers, retention rates are highest at Level 1 schools and decline in </w:t>
      </w:r>
      <w:r w:rsidR="00A07C5E">
        <w:rPr>
          <w:rFonts w:ascii="Times New Roman" w:hAnsi="Times New Roman"/>
        </w:rPr>
        <w:t>Level 3 and Level 4</w:t>
      </w:r>
      <w:r w:rsidRPr="00C84CF4">
        <w:rPr>
          <w:rFonts w:ascii="Times New Roman" w:hAnsi="Times New Roman"/>
        </w:rPr>
        <w:t xml:space="preserve"> schools. </w:t>
      </w:r>
      <w:r w:rsidR="00386A48" w:rsidRPr="00C84CF4">
        <w:rPr>
          <w:rFonts w:ascii="Times New Roman" w:hAnsi="Times New Roman"/>
        </w:rPr>
        <w:t>One- and two-year retention rates are the lowest in Level 4 schools. One-</w:t>
      </w:r>
      <w:r w:rsidR="001421E2" w:rsidRPr="00C84CF4">
        <w:rPr>
          <w:rFonts w:ascii="Times New Roman" w:hAnsi="Times New Roman"/>
        </w:rPr>
        <w:t xml:space="preserve"> and two-</w:t>
      </w:r>
      <w:r w:rsidR="00386A48" w:rsidRPr="00C84CF4">
        <w:rPr>
          <w:rFonts w:ascii="Times New Roman" w:hAnsi="Times New Roman"/>
        </w:rPr>
        <w:t xml:space="preserve">year retention rates </w:t>
      </w:r>
      <w:r w:rsidR="00450C5F" w:rsidRPr="00C84CF4">
        <w:rPr>
          <w:rFonts w:ascii="Times New Roman" w:hAnsi="Times New Roman"/>
        </w:rPr>
        <w:t xml:space="preserve">for first-year teachers differ by </w:t>
      </w:r>
      <w:r w:rsidR="00C315F2" w:rsidRPr="00C84CF4">
        <w:rPr>
          <w:rFonts w:ascii="Times New Roman" w:hAnsi="Times New Roman"/>
        </w:rPr>
        <w:t>16.2</w:t>
      </w:r>
      <w:r w:rsidR="00450C5F" w:rsidRPr="00C84CF4">
        <w:rPr>
          <w:rFonts w:ascii="Times New Roman" w:hAnsi="Times New Roman"/>
        </w:rPr>
        <w:t xml:space="preserve"> points between Level 1 and Level 4 schools</w:t>
      </w:r>
      <w:r w:rsidR="001421E2" w:rsidRPr="00C84CF4">
        <w:rPr>
          <w:rFonts w:ascii="Times New Roman" w:hAnsi="Times New Roman"/>
        </w:rPr>
        <w:t>.</w:t>
      </w:r>
    </w:p>
    <w:p w:rsidR="003D79A1" w:rsidRDefault="003D79A1" w:rsidP="0040232F">
      <w:pPr>
        <w:spacing w:line="240" w:lineRule="auto"/>
        <w:rPr>
          <w:rFonts w:ascii="Times New Roman" w:hAnsi="Times New Roman"/>
        </w:rPr>
      </w:pPr>
    </w:p>
    <w:p w:rsidR="00B1014A" w:rsidRPr="00446709" w:rsidRDefault="00B1014A" w:rsidP="00446709">
      <w:pPr>
        <w:pStyle w:val="Heading2"/>
        <w:spacing w:line="240" w:lineRule="auto"/>
        <w:rPr>
          <w:i w:val="0"/>
          <w:sz w:val="21"/>
          <w:szCs w:val="21"/>
        </w:rPr>
      </w:pPr>
      <w:r w:rsidRPr="00446709">
        <w:rPr>
          <w:i w:val="0"/>
          <w:sz w:val="21"/>
          <w:szCs w:val="21"/>
        </w:rPr>
        <w:t xml:space="preserve">Chart </w:t>
      </w:r>
      <w:r w:rsidR="00D67900" w:rsidRPr="00446709">
        <w:rPr>
          <w:i w:val="0"/>
          <w:sz w:val="21"/>
          <w:szCs w:val="21"/>
        </w:rPr>
        <w:t>4</w:t>
      </w:r>
      <w:r w:rsidRPr="00446709">
        <w:rPr>
          <w:i w:val="0"/>
          <w:sz w:val="21"/>
          <w:szCs w:val="21"/>
        </w:rPr>
        <w:t>.</w:t>
      </w:r>
      <w:r w:rsidR="00D67900" w:rsidRPr="00446709">
        <w:rPr>
          <w:i w:val="0"/>
          <w:sz w:val="21"/>
          <w:szCs w:val="21"/>
        </w:rPr>
        <w:t>2</w:t>
      </w:r>
      <w:r w:rsidRPr="00446709">
        <w:rPr>
          <w:i w:val="0"/>
          <w:sz w:val="21"/>
          <w:szCs w:val="21"/>
        </w:rPr>
        <w:t xml:space="preserve">: Teachers </w:t>
      </w:r>
      <w:r w:rsidR="00A309FF" w:rsidRPr="00446709">
        <w:rPr>
          <w:i w:val="0"/>
          <w:sz w:val="21"/>
          <w:szCs w:val="21"/>
        </w:rPr>
        <w:t>R</w:t>
      </w:r>
      <w:r w:rsidRPr="00446709">
        <w:rPr>
          <w:i w:val="0"/>
          <w:sz w:val="21"/>
          <w:szCs w:val="21"/>
        </w:rPr>
        <w:t xml:space="preserve">etained in </w:t>
      </w:r>
      <w:r w:rsidR="00A309FF" w:rsidRPr="00446709">
        <w:rPr>
          <w:i w:val="0"/>
          <w:sz w:val="21"/>
          <w:szCs w:val="21"/>
        </w:rPr>
        <w:t xml:space="preserve">School </w:t>
      </w:r>
      <w:r w:rsidRPr="00446709">
        <w:rPr>
          <w:i w:val="0"/>
          <w:sz w:val="21"/>
          <w:szCs w:val="21"/>
        </w:rPr>
        <w:t xml:space="preserve">by </w:t>
      </w:r>
      <w:r w:rsidR="00A309FF" w:rsidRPr="00446709">
        <w:rPr>
          <w:i w:val="0"/>
          <w:sz w:val="21"/>
          <w:szCs w:val="21"/>
        </w:rPr>
        <w:t>S</w:t>
      </w:r>
      <w:r w:rsidRPr="00446709">
        <w:rPr>
          <w:i w:val="0"/>
          <w:sz w:val="21"/>
          <w:szCs w:val="21"/>
        </w:rPr>
        <w:t xml:space="preserve">chool </w:t>
      </w:r>
      <w:r w:rsidR="00296508" w:rsidRPr="00446709">
        <w:rPr>
          <w:i w:val="0"/>
          <w:sz w:val="21"/>
          <w:szCs w:val="21"/>
        </w:rPr>
        <w:t xml:space="preserve">Accountability </w:t>
      </w:r>
      <w:r w:rsidR="00A309FF" w:rsidRPr="00446709">
        <w:rPr>
          <w:i w:val="0"/>
          <w:sz w:val="21"/>
          <w:szCs w:val="21"/>
        </w:rPr>
        <w:t>L</w:t>
      </w:r>
      <w:r w:rsidR="00296508" w:rsidRPr="00446709">
        <w:rPr>
          <w:i w:val="0"/>
          <w:sz w:val="21"/>
          <w:szCs w:val="21"/>
        </w:rPr>
        <w:t>evel</w:t>
      </w:r>
    </w:p>
    <w:p w:rsidR="00B1014A" w:rsidRDefault="00A309FF" w:rsidP="001364F5">
      <w:pPr>
        <w:spacing w:line="276" w:lineRule="auto"/>
        <w:rPr>
          <w:highlight w:val="yellow"/>
        </w:rPr>
      </w:pPr>
      <w:r w:rsidRPr="00A309FF">
        <w:rPr>
          <w:noProof/>
          <w:lang w:eastAsia="zh-CN" w:bidi="km-KH"/>
        </w:rPr>
        <w:drawing>
          <wp:inline distT="0" distB="0" distL="0" distR="0">
            <wp:extent cx="4886325" cy="3248025"/>
            <wp:effectExtent l="19050" t="0" r="9525" b="0"/>
            <wp:docPr id="42" name="Chart 11" descr="Chart 4.2: Teachers Retained in School by School Accountability Level&#10;&#10;New Teachers&#10;Level 1 1-year retention 0.738212526&#10; 2-year retention 0.581280788&#10;Level 2 1-year retention 0.723976608&#10; 2-year retention 0.583625731&#10;Level 3 1-year retention 0.661365762&#10; 2-year retention 0.506080449&#10;Level 4 1-year retention 0.57591623&#10; 2-year retention 0.418848168&#10;&#10;Experienced Teachers&#10;&#10;Level 1 1-year retention 0.87430973&#10; 2-year retention 0.781556956&#10;Level 2 1-year retention 0.880270325&#10; 2-year retention 0.786564454&#10;Level 3 1-year retention 0.839966644&#10; 2-year retention 0.718444394&#10;Level 4 1-year retention 0.741290323&#10; 2-year retention 0.57548387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2078C" w:rsidRDefault="0072078C" w:rsidP="0040232F">
      <w:pPr>
        <w:spacing w:line="240" w:lineRule="auto"/>
      </w:pPr>
    </w:p>
    <w:p w:rsidR="00F31907" w:rsidRDefault="00593FF4" w:rsidP="0040232F">
      <w:pPr>
        <w:spacing w:line="240" w:lineRule="auto"/>
        <w:rPr>
          <w:rFonts w:ascii="Times New Roman" w:hAnsi="Times New Roman"/>
        </w:rPr>
      </w:pPr>
      <w:r w:rsidRPr="00C84CF4">
        <w:rPr>
          <w:rFonts w:ascii="Times New Roman" w:hAnsi="Times New Roman"/>
        </w:rPr>
        <w:t>Chart 4.3 breaks down employment rates by school poverty level. As the chart shows, retention rates are similar across low</w:t>
      </w:r>
      <w:r w:rsidR="000B660D">
        <w:rPr>
          <w:rFonts w:ascii="Times New Roman" w:hAnsi="Times New Roman"/>
        </w:rPr>
        <w:t>-</w:t>
      </w:r>
      <w:r w:rsidRPr="00C84CF4">
        <w:rPr>
          <w:rFonts w:ascii="Times New Roman" w:hAnsi="Times New Roman"/>
        </w:rPr>
        <w:t xml:space="preserve"> and moderate</w:t>
      </w:r>
      <w:r w:rsidR="000B660D">
        <w:rPr>
          <w:rFonts w:ascii="Times New Roman" w:hAnsi="Times New Roman"/>
        </w:rPr>
        <w:t>-</w:t>
      </w:r>
      <w:r w:rsidRPr="00C84CF4">
        <w:rPr>
          <w:rFonts w:ascii="Times New Roman" w:hAnsi="Times New Roman"/>
        </w:rPr>
        <w:t>poverty schools,</w:t>
      </w:r>
      <w:r w:rsidR="00115121" w:rsidRPr="00C84CF4">
        <w:rPr>
          <w:rFonts w:ascii="Times New Roman" w:hAnsi="Times New Roman"/>
        </w:rPr>
        <w:t xml:space="preserve"> but</w:t>
      </w:r>
      <w:r w:rsidRPr="00C84CF4">
        <w:rPr>
          <w:rFonts w:ascii="Times New Roman" w:hAnsi="Times New Roman"/>
        </w:rPr>
        <w:t xml:space="preserve"> drop for teachers in </w:t>
      </w:r>
      <w:r w:rsidR="000B660D" w:rsidRPr="00C84CF4">
        <w:rPr>
          <w:rFonts w:ascii="Times New Roman" w:hAnsi="Times New Roman"/>
        </w:rPr>
        <w:t>high</w:t>
      </w:r>
      <w:r w:rsidR="000B660D">
        <w:rPr>
          <w:rFonts w:ascii="Times New Roman" w:hAnsi="Times New Roman"/>
        </w:rPr>
        <w:t>-</w:t>
      </w:r>
      <w:r w:rsidRPr="00C84CF4">
        <w:rPr>
          <w:rFonts w:ascii="Times New Roman" w:hAnsi="Times New Roman"/>
        </w:rPr>
        <w:t>poverty schools</w:t>
      </w:r>
      <w:r w:rsidR="005A6156" w:rsidRPr="00C84CF4">
        <w:rPr>
          <w:rFonts w:ascii="Times New Roman" w:hAnsi="Times New Roman"/>
        </w:rPr>
        <w:t>. One-year retention rates</w:t>
      </w:r>
      <w:r w:rsidR="00CF4048" w:rsidRPr="00C84CF4">
        <w:rPr>
          <w:rFonts w:ascii="Times New Roman" w:hAnsi="Times New Roman"/>
        </w:rPr>
        <w:t>, for example,</w:t>
      </w:r>
      <w:r w:rsidR="005A6156" w:rsidRPr="00C84CF4">
        <w:rPr>
          <w:rFonts w:ascii="Times New Roman" w:hAnsi="Times New Roman"/>
        </w:rPr>
        <w:t xml:space="preserve"> </w:t>
      </w:r>
      <w:r w:rsidR="00115121" w:rsidRPr="00C84CF4">
        <w:rPr>
          <w:rFonts w:ascii="Times New Roman" w:hAnsi="Times New Roman"/>
        </w:rPr>
        <w:t>decline</w:t>
      </w:r>
      <w:r w:rsidR="005A6156" w:rsidRPr="00C84CF4">
        <w:rPr>
          <w:rFonts w:ascii="Times New Roman" w:hAnsi="Times New Roman"/>
        </w:rPr>
        <w:t xml:space="preserve"> from 71.3 percent to 62.2 percent for first-year teachers</w:t>
      </w:r>
      <w:r w:rsidR="00CF4048" w:rsidRPr="00C84CF4">
        <w:rPr>
          <w:rFonts w:ascii="Times New Roman" w:hAnsi="Times New Roman"/>
        </w:rPr>
        <w:t xml:space="preserve"> and from 87.5 percent to 79.7 percent for experienced teachers</w:t>
      </w:r>
      <w:r w:rsidRPr="00C84CF4">
        <w:rPr>
          <w:rFonts w:ascii="Times New Roman" w:hAnsi="Times New Roman"/>
        </w:rPr>
        <w:t xml:space="preserve">. This trend, along with the lower retention rates among Level 4 schools, is consistent with other research </w:t>
      </w:r>
      <w:r w:rsidR="00DF3051" w:rsidRPr="00C84CF4">
        <w:rPr>
          <w:rFonts w:ascii="Times New Roman" w:hAnsi="Times New Roman"/>
        </w:rPr>
        <w:t>showing</w:t>
      </w:r>
      <w:r w:rsidRPr="00C84CF4">
        <w:rPr>
          <w:rFonts w:ascii="Times New Roman" w:hAnsi="Times New Roman"/>
        </w:rPr>
        <w:t xml:space="preserve"> </w:t>
      </w:r>
      <w:r w:rsidR="005A6156" w:rsidRPr="00C84CF4">
        <w:rPr>
          <w:rFonts w:ascii="Times New Roman" w:hAnsi="Times New Roman"/>
        </w:rPr>
        <w:t>higher</w:t>
      </w:r>
      <w:r w:rsidRPr="00C84CF4">
        <w:rPr>
          <w:rFonts w:ascii="Times New Roman" w:hAnsi="Times New Roman"/>
        </w:rPr>
        <w:t xml:space="preserve"> teacher turnover among schools with </w:t>
      </w:r>
      <w:r w:rsidR="005A6156" w:rsidRPr="00C84CF4">
        <w:rPr>
          <w:rFonts w:ascii="Times New Roman" w:hAnsi="Times New Roman"/>
        </w:rPr>
        <w:t>larger</w:t>
      </w:r>
      <w:r w:rsidRPr="00C84CF4">
        <w:rPr>
          <w:rFonts w:ascii="Times New Roman" w:hAnsi="Times New Roman"/>
        </w:rPr>
        <w:t xml:space="preserve"> disadvantaged student populations and lower performance.</w:t>
      </w:r>
      <w:r w:rsidRPr="00C84CF4">
        <w:rPr>
          <w:rStyle w:val="FootnoteReference"/>
          <w:rFonts w:ascii="Times New Roman" w:hAnsi="Times New Roman"/>
        </w:rPr>
        <w:footnoteReference w:id="19"/>
      </w:r>
      <w:r w:rsidRPr="00C84CF4">
        <w:rPr>
          <w:rFonts w:ascii="Times New Roman" w:hAnsi="Times New Roman"/>
        </w:rPr>
        <w:t xml:space="preserve"> </w:t>
      </w:r>
    </w:p>
    <w:p w:rsidR="00E96AF4" w:rsidRPr="00C84CF4" w:rsidRDefault="00E96AF4" w:rsidP="0040232F">
      <w:pPr>
        <w:spacing w:line="240" w:lineRule="auto"/>
        <w:rPr>
          <w:rFonts w:ascii="Times New Roman" w:hAnsi="Times New Roman"/>
        </w:rPr>
      </w:pPr>
    </w:p>
    <w:p w:rsidR="00843640" w:rsidRPr="00446709" w:rsidRDefault="00843640" w:rsidP="00446709">
      <w:pPr>
        <w:pStyle w:val="Heading2"/>
        <w:spacing w:line="240" w:lineRule="auto"/>
        <w:rPr>
          <w:i w:val="0"/>
          <w:sz w:val="21"/>
          <w:szCs w:val="21"/>
        </w:rPr>
      </w:pPr>
      <w:r w:rsidRPr="00446709">
        <w:rPr>
          <w:i w:val="0"/>
          <w:sz w:val="21"/>
          <w:szCs w:val="21"/>
        </w:rPr>
        <w:t>Chart 4.</w:t>
      </w:r>
      <w:r w:rsidR="00F31907" w:rsidRPr="00446709">
        <w:rPr>
          <w:i w:val="0"/>
          <w:sz w:val="21"/>
          <w:szCs w:val="21"/>
        </w:rPr>
        <w:t>3</w:t>
      </w:r>
      <w:r w:rsidRPr="00446709">
        <w:rPr>
          <w:i w:val="0"/>
          <w:sz w:val="21"/>
          <w:szCs w:val="21"/>
        </w:rPr>
        <w:t xml:space="preserve">: Teachers </w:t>
      </w:r>
      <w:r w:rsidR="00A309FF" w:rsidRPr="00446709">
        <w:rPr>
          <w:i w:val="0"/>
          <w:sz w:val="21"/>
          <w:szCs w:val="21"/>
        </w:rPr>
        <w:t>R</w:t>
      </w:r>
      <w:r w:rsidRPr="00446709">
        <w:rPr>
          <w:i w:val="0"/>
          <w:sz w:val="21"/>
          <w:szCs w:val="21"/>
        </w:rPr>
        <w:t xml:space="preserve">etained in </w:t>
      </w:r>
      <w:r w:rsidR="00A309FF" w:rsidRPr="00446709">
        <w:rPr>
          <w:i w:val="0"/>
          <w:sz w:val="21"/>
          <w:szCs w:val="21"/>
        </w:rPr>
        <w:t>S</w:t>
      </w:r>
      <w:r w:rsidRPr="00446709">
        <w:rPr>
          <w:i w:val="0"/>
          <w:sz w:val="21"/>
          <w:szCs w:val="21"/>
        </w:rPr>
        <w:t xml:space="preserve">chool by </w:t>
      </w:r>
      <w:r w:rsidR="00A309FF" w:rsidRPr="00446709">
        <w:rPr>
          <w:i w:val="0"/>
          <w:sz w:val="21"/>
          <w:szCs w:val="21"/>
        </w:rPr>
        <w:t>S</w:t>
      </w:r>
      <w:r w:rsidRPr="00446709">
        <w:rPr>
          <w:i w:val="0"/>
          <w:sz w:val="21"/>
          <w:szCs w:val="21"/>
        </w:rPr>
        <w:t xml:space="preserve">chool </w:t>
      </w:r>
      <w:r w:rsidR="00A309FF" w:rsidRPr="00446709">
        <w:rPr>
          <w:i w:val="0"/>
          <w:sz w:val="21"/>
          <w:szCs w:val="21"/>
        </w:rPr>
        <w:t>P</w:t>
      </w:r>
      <w:r w:rsidRPr="00446709">
        <w:rPr>
          <w:i w:val="0"/>
          <w:sz w:val="21"/>
          <w:szCs w:val="21"/>
        </w:rPr>
        <w:t xml:space="preserve">overty </w:t>
      </w:r>
      <w:r w:rsidR="00A309FF" w:rsidRPr="00446709">
        <w:rPr>
          <w:i w:val="0"/>
          <w:sz w:val="21"/>
          <w:szCs w:val="21"/>
        </w:rPr>
        <w:t>L</w:t>
      </w:r>
      <w:r w:rsidRPr="00446709">
        <w:rPr>
          <w:i w:val="0"/>
          <w:sz w:val="21"/>
          <w:szCs w:val="21"/>
        </w:rPr>
        <w:t>evel</w:t>
      </w:r>
    </w:p>
    <w:p w:rsidR="00843640" w:rsidRDefault="00A309FF" w:rsidP="001364F5">
      <w:pPr>
        <w:spacing w:line="276" w:lineRule="auto"/>
      </w:pPr>
      <w:r w:rsidRPr="00A309FF">
        <w:rPr>
          <w:noProof/>
          <w:lang w:eastAsia="zh-CN" w:bidi="km-KH"/>
        </w:rPr>
        <w:drawing>
          <wp:inline distT="0" distB="0" distL="0" distR="0">
            <wp:extent cx="5029200" cy="3409950"/>
            <wp:effectExtent l="19050" t="0" r="19050" b="0"/>
            <wp:docPr id="43" name="Chart 12" descr="Chart 4.3: Teachers Retained in School by School Poverty Level&#10;&#10;New Teachers:&#10; Low Poverty&#10;1-year retention 0.713&#10;2-year retention 0.567&#10; Moderate Poverty&#10;1-year retention 0.713&#10;2-year retention 0.572&#10; High Poverty&#10;1-year retention 0.622&#10;2-year retention 0.477&#10;&#10;Experienced Teachers:&#10; Low Poverty&#10;1-year retention 0.876&#10;2-year retention 0.79&#10; Moderate Poverty&#10;1-year retention 0.875&#10;2-year retention 0.775&#10; High Poverty&#10;1-year retention 0.797&#10;2-year retention 0.669&#10;&#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F0CAE" w:rsidRDefault="006F0CAE" w:rsidP="0040232F">
      <w:pPr>
        <w:spacing w:line="240" w:lineRule="auto"/>
      </w:pPr>
    </w:p>
    <w:p w:rsidR="001B20C5" w:rsidRDefault="001B20C5" w:rsidP="0040232F">
      <w:pPr>
        <w:spacing w:line="240" w:lineRule="auto"/>
        <w:rPr>
          <w:rFonts w:ascii="Times New Roman" w:hAnsi="Times New Roman"/>
        </w:rPr>
      </w:pPr>
      <w:r w:rsidRPr="00C84CF4">
        <w:rPr>
          <w:rFonts w:ascii="Times New Roman" w:hAnsi="Times New Roman"/>
        </w:rPr>
        <w:t xml:space="preserve">An analysis of teacher retention by charter schools and non-charter schools shows that retention rates are </w:t>
      </w:r>
      <w:r w:rsidR="00842D7A" w:rsidRPr="00C84CF4">
        <w:rPr>
          <w:rFonts w:ascii="Times New Roman" w:hAnsi="Times New Roman"/>
        </w:rPr>
        <w:t>lower in charter schools than in non-charters</w:t>
      </w:r>
      <w:r w:rsidR="004B2E0A" w:rsidRPr="00C84CF4">
        <w:rPr>
          <w:rFonts w:ascii="Times New Roman" w:hAnsi="Times New Roman"/>
        </w:rPr>
        <w:t xml:space="preserve">, </w:t>
      </w:r>
      <w:r w:rsidR="005E68D5" w:rsidRPr="00C84CF4">
        <w:rPr>
          <w:rFonts w:ascii="Times New Roman" w:hAnsi="Times New Roman"/>
        </w:rPr>
        <w:t>though</w:t>
      </w:r>
      <w:r w:rsidR="003D4BE1" w:rsidRPr="00C84CF4">
        <w:rPr>
          <w:rFonts w:ascii="Times New Roman" w:hAnsi="Times New Roman"/>
        </w:rPr>
        <w:t xml:space="preserve"> </w:t>
      </w:r>
      <w:r w:rsidR="005E68D5" w:rsidRPr="00C84CF4">
        <w:rPr>
          <w:rFonts w:ascii="Times New Roman" w:hAnsi="Times New Roman"/>
        </w:rPr>
        <w:t>o</w:t>
      </w:r>
      <w:r w:rsidR="004B2E0A" w:rsidRPr="00C84CF4">
        <w:rPr>
          <w:rFonts w:ascii="Times New Roman" w:hAnsi="Times New Roman"/>
        </w:rPr>
        <w:t>ne-year retention rates for new teachers were similar for both charter and non-charter schools (67.3 percent and 69.3 percent, respectively).</w:t>
      </w:r>
      <w:r w:rsidR="00477454" w:rsidRPr="00C84CF4">
        <w:rPr>
          <w:rFonts w:ascii="Times New Roman" w:hAnsi="Times New Roman"/>
        </w:rPr>
        <w:t xml:space="preserve"> </w:t>
      </w:r>
    </w:p>
    <w:p w:rsidR="001364F5" w:rsidRPr="00C84CF4" w:rsidRDefault="001364F5" w:rsidP="0040232F">
      <w:pPr>
        <w:spacing w:line="240" w:lineRule="auto"/>
        <w:rPr>
          <w:rFonts w:ascii="Times New Roman" w:hAnsi="Times New Roman"/>
          <w:sz w:val="20"/>
          <w:szCs w:val="20"/>
          <w:highlight w:val="yellow"/>
        </w:rPr>
      </w:pPr>
    </w:p>
    <w:p w:rsidR="000476C4" w:rsidRPr="00446709" w:rsidRDefault="000476C4" w:rsidP="00446709">
      <w:pPr>
        <w:pStyle w:val="Heading2"/>
        <w:spacing w:line="240" w:lineRule="auto"/>
        <w:rPr>
          <w:i w:val="0"/>
          <w:sz w:val="21"/>
          <w:szCs w:val="21"/>
        </w:rPr>
      </w:pPr>
      <w:r w:rsidRPr="00446709">
        <w:rPr>
          <w:i w:val="0"/>
          <w:sz w:val="21"/>
          <w:szCs w:val="21"/>
        </w:rPr>
        <w:t>Chart 4.</w:t>
      </w:r>
      <w:r w:rsidR="00DF3051" w:rsidRPr="00446709">
        <w:rPr>
          <w:i w:val="0"/>
          <w:sz w:val="21"/>
          <w:szCs w:val="21"/>
        </w:rPr>
        <w:t>4</w:t>
      </w:r>
      <w:r w:rsidRPr="00446709">
        <w:rPr>
          <w:i w:val="0"/>
          <w:sz w:val="21"/>
          <w:szCs w:val="21"/>
        </w:rPr>
        <w:t xml:space="preserve">: Teachers </w:t>
      </w:r>
      <w:r w:rsidR="00905A36" w:rsidRPr="00446709">
        <w:rPr>
          <w:i w:val="0"/>
          <w:sz w:val="21"/>
          <w:szCs w:val="21"/>
        </w:rPr>
        <w:t>R</w:t>
      </w:r>
      <w:r w:rsidRPr="00446709">
        <w:rPr>
          <w:i w:val="0"/>
          <w:sz w:val="21"/>
          <w:szCs w:val="21"/>
        </w:rPr>
        <w:t xml:space="preserve">etained in </w:t>
      </w:r>
      <w:r w:rsidR="00905A36" w:rsidRPr="00446709">
        <w:rPr>
          <w:i w:val="0"/>
          <w:sz w:val="21"/>
          <w:szCs w:val="21"/>
        </w:rPr>
        <w:t>S</w:t>
      </w:r>
      <w:r w:rsidRPr="00446709">
        <w:rPr>
          <w:i w:val="0"/>
          <w:sz w:val="21"/>
          <w:szCs w:val="21"/>
        </w:rPr>
        <w:t xml:space="preserve">chool by </w:t>
      </w:r>
      <w:r w:rsidR="00905A36" w:rsidRPr="00446709">
        <w:rPr>
          <w:i w:val="0"/>
          <w:sz w:val="21"/>
          <w:szCs w:val="21"/>
        </w:rPr>
        <w:t>S</w:t>
      </w:r>
      <w:r w:rsidRPr="00446709">
        <w:rPr>
          <w:i w:val="0"/>
          <w:sz w:val="21"/>
          <w:szCs w:val="21"/>
        </w:rPr>
        <w:t xml:space="preserve">chool </w:t>
      </w:r>
      <w:r w:rsidR="00905A36" w:rsidRPr="00446709">
        <w:rPr>
          <w:i w:val="0"/>
          <w:sz w:val="21"/>
          <w:szCs w:val="21"/>
        </w:rPr>
        <w:t>Charter Status</w:t>
      </w:r>
    </w:p>
    <w:p w:rsidR="000476C4" w:rsidRDefault="00A309FF" w:rsidP="001364F5">
      <w:pPr>
        <w:spacing w:line="276" w:lineRule="auto"/>
      </w:pPr>
      <w:r w:rsidRPr="00A309FF">
        <w:rPr>
          <w:noProof/>
          <w:lang w:eastAsia="zh-CN" w:bidi="km-KH"/>
        </w:rPr>
        <w:drawing>
          <wp:inline distT="0" distB="0" distL="0" distR="0">
            <wp:extent cx="5029200" cy="3409950"/>
            <wp:effectExtent l="19050" t="0" r="19050" b="0"/>
            <wp:docPr id="44" name="Chart 13" descr="Chart 4.4: Teachers Retained in School by School Charter Status&#10;&#10;New Teachers  &#10;Charter Schools Only &#10;1-year retention 0.672764228&#10;2-year retention 0.479674797&#10;Excluding Charter Schools &#10;1-year retention 0.692947043&#10;2-year retention 0.549750653&#10;  &#10;Experienced Teachers  &#10;Charter Schools Only &#10;1-year retention 0.768544339&#10;2-year retention 0.611823759&#10;Excluding Charter Schools &#10;1-year retention 0.859088279&#10;2-year retention 0.754965807&#10;&#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309FF" w:rsidRDefault="00A309FF" w:rsidP="0040232F">
      <w:pPr>
        <w:spacing w:line="240" w:lineRule="auto"/>
      </w:pPr>
    </w:p>
    <w:p w:rsidR="00F9092B" w:rsidRDefault="00F9092B" w:rsidP="0040232F">
      <w:pPr>
        <w:spacing w:line="240" w:lineRule="auto"/>
        <w:rPr>
          <w:rFonts w:ascii="Times New Roman" w:hAnsi="Times New Roman"/>
        </w:rPr>
      </w:pPr>
      <w:r w:rsidRPr="00C84CF4">
        <w:rPr>
          <w:rFonts w:ascii="Times New Roman" w:hAnsi="Times New Roman"/>
        </w:rPr>
        <w:t>Retention rates among new teachers of color and male teachers are slightly lower than rates for white and female new teachers, as can be seen in Chart 4.</w:t>
      </w:r>
      <w:r w:rsidR="00DF3051" w:rsidRPr="00C84CF4">
        <w:rPr>
          <w:rFonts w:ascii="Times New Roman" w:hAnsi="Times New Roman"/>
        </w:rPr>
        <w:t>5</w:t>
      </w:r>
      <w:r w:rsidRPr="00C84CF4">
        <w:rPr>
          <w:rFonts w:ascii="Times New Roman" w:hAnsi="Times New Roman"/>
        </w:rPr>
        <w:t xml:space="preserve"> below. Teachers of color had a one-year retention rate about five points lower and a two-year retention rate eight points lower than white teachers. Retention rates were much closer between female and male teachers (a difference </w:t>
      </w:r>
      <w:r w:rsidR="00F25808">
        <w:rPr>
          <w:rFonts w:ascii="Times New Roman" w:hAnsi="Times New Roman"/>
        </w:rPr>
        <w:t xml:space="preserve">of </w:t>
      </w:r>
      <w:r w:rsidRPr="00C84CF4">
        <w:rPr>
          <w:rFonts w:ascii="Times New Roman" w:hAnsi="Times New Roman"/>
        </w:rPr>
        <w:t>between 0.4 and 0.9 points).</w:t>
      </w:r>
    </w:p>
    <w:p w:rsidR="0071198A" w:rsidRPr="00C84CF4" w:rsidRDefault="0071198A" w:rsidP="0040232F">
      <w:pPr>
        <w:spacing w:line="240" w:lineRule="auto"/>
        <w:rPr>
          <w:rFonts w:ascii="Times New Roman" w:hAnsi="Times New Roman"/>
        </w:rPr>
      </w:pPr>
    </w:p>
    <w:p w:rsidR="00F9092B" w:rsidRPr="00446709" w:rsidRDefault="00F9092B" w:rsidP="00446709">
      <w:pPr>
        <w:pStyle w:val="Heading2"/>
        <w:spacing w:line="240" w:lineRule="auto"/>
        <w:rPr>
          <w:i w:val="0"/>
          <w:sz w:val="21"/>
          <w:szCs w:val="21"/>
        </w:rPr>
      </w:pPr>
      <w:r w:rsidRPr="00446709">
        <w:rPr>
          <w:i w:val="0"/>
          <w:sz w:val="21"/>
          <w:szCs w:val="21"/>
        </w:rPr>
        <w:t>Chart 4.</w:t>
      </w:r>
      <w:r w:rsidR="00DF3051" w:rsidRPr="00446709">
        <w:rPr>
          <w:i w:val="0"/>
          <w:sz w:val="21"/>
          <w:szCs w:val="21"/>
        </w:rPr>
        <w:t>5</w:t>
      </w:r>
      <w:r w:rsidRPr="00446709">
        <w:rPr>
          <w:i w:val="0"/>
          <w:sz w:val="21"/>
          <w:szCs w:val="21"/>
        </w:rPr>
        <w:t>: 2010-11 New Teachers Retained by Teacher Demographics</w:t>
      </w:r>
    </w:p>
    <w:p w:rsidR="00F9092B" w:rsidRDefault="007C40AC" w:rsidP="00ED19F4">
      <w:pPr>
        <w:spacing w:line="276" w:lineRule="auto"/>
      </w:pPr>
      <w:r w:rsidRPr="007C40AC">
        <w:rPr>
          <w:noProof/>
          <w:lang w:eastAsia="zh-CN" w:bidi="km-KH"/>
        </w:rPr>
        <w:drawing>
          <wp:inline distT="0" distB="0" distL="0" distR="0">
            <wp:extent cx="5029200" cy="3409950"/>
            <wp:effectExtent l="19050" t="0" r="19050" b="0"/>
            <wp:docPr id="45" name="Chart 14" descr="Chart 4.5: 2010-11 New Teachers Retained by Teacher Demographics&#10;&#10; White&#10;1-year retention 0.826163968&#10;2-year retention 0.732287449&#10; Teachers of Color&#10;1-year retention 0.776086957&#10;2-year retention 0.652173913&#10; Female&#10;1-year retention 0.823474471&#10;2-year retention 0.7250934&#10; Male&#10;1-year retention 0.814166667&#10;2-year retention 0.72083333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9092B" w:rsidRDefault="00F9092B" w:rsidP="0040232F">
      <w:pPr>
        <w:spacing w:line="240" w:lineRule="auto"/>
        <w:rPr>
          <w:sz w:val="22"/>
          <w:szCs w:val="22"/>
        </w:rPr>
      </w:pPr>
    </w:p>
    <w:p w:rsidR="00DF1EFD" w:rsidRPr="00201925" w:rsidRDefault="00DF1EFD" w:rsidP="0040232F">
      <w:pPr>
        <w:spacing w:line="240" w:lineRule="auto"/>
        <w:rPr>
          <w:sz w:val="22"/>
          <w:szCs w:val="22"/>
        </w:rPr>
      </w:pPr>
    </w:p>
    <w:p w:rsidR="00F9092B" w:rsidRPr="00C84CF4" w:rsidRDefault="00F9092B" w:rsidP="0040232F">
      <w:pPr>
        <w:spacing w:line="240" w:lineRule="auto"/>
        <w:rPr>
          <w:rFonts w:ascii="Times New Roman" w:hAnsi="Times New Roman"/>
        </w:rPr>
      </w:pPr>
      <w:r w:rsidRPr="00C84CF4">
        <w:rPr>
          <w:rFonts w:ascii="Times New Roman" w:hAnsi="Times New Roman"/>
        </w:rPr>
        <w:t>Retention rates of new teachers differ slightly by the subject areas taught, but they appear to differ more according to school accountability level</w:t>
      </w:r>
      <w:r w:rsidR="00DF3051" w:rsidRPr="00C84CF4">
        <w:rPr>
          <w:rFonts w:ascii="Times New Roman" w:hAnsi="Times New Roman"/>
        </w:rPr>
        <w:t xml:space="preserve"> (Chart 4.6</w:t>
      </w:r>
      <w:r w:rsidRPr="00C84CF4">
        <w:rPr>
          <w:rFonts w:ascii="Times New Roman" w:hAnsi="Times New Roman"/>
        </w:rPr>
        <w:t>). Two-year retention rates were lowest for Level 4 schools across all subject areas, and one-year retention rates were lowest in Level 4 schools for both math and science teachers.  ELA teachers in Level 4 schools had 1-year retention rates similar to ELA teachers in Level 1 and Level 2 schools.</w:t>
      </w:r>
    </w:p>
    <w:p w:rsidR="00F9092B" w:rsidRPr="00446709" w:rsidRDefault="00F9092B" w:rsidP="00ED19F4">
      <w:pPr>
        <w:pStyle w:val="Heading2"/>
        <w:spacing w:before="0" w:line="276" w:lineRule="auto"/>
        <w:rPr>
          <w:i w:val="0"/>
          <w:sz w:val="21"/>
          <w:szCs w:val="21"/>
        </w:rPr>
      </w:pPr>
      <w:r w:rsidRPr="00446709">
        <w:rPr>
          <w:i w:val="0"/>
          <w:sz w:val="21"/>
          <w:szCs w:val="21"/>
        </w:rPr>
        <w:t>Chart 4.</w:t>
      </w:r>
      <w:r w:rsidR="00DF3051" w:rsidRPr="00446709">
        <w:rPr>
          <w:i w:val="0"/>
          <w:sz w:val="21"/>
          <w:szCs w:val="21"/>
        </w:rPr>
        <w:t>6</w:t>
      </w:r>
      <w:r w:rsidRPr="00446709">
        <w:rPr>
          <w:i w:val="0"/>
          <w:sz w:val="21"/>
          <w:szCs w:val="21"/>
        </w:rPr>
        <w:t>: Within-school Retention Rates for 2010-2011 First-year Teachers by School</w:t>
      </w:r>
      <w:r w:rsidR="00296508" w:rsidRPr="00446709">
        <w:rPr>
          <w:i w:val="0"/>
          <w:sz w:val="21"/>
          <w:szCs w:val="21"/>
        </w:rPr>
        <w:t xml:space="preserve"> Accountability</w:t>
      </w:r>
      <w:r w:rsidRPr="00446709">
        <w:rPr>
          <w:i w:val="0"/>
          <w:sz w:val="21"/>
          <w:szCs w:val="21"/>
        </w:rPr>
        <w:t xml:space="preserve"> Level and Subject Area </w:t>
      </w:r>
    </w:p>
    <w:p w:rsidR="00F9092B" w:rsidRDefault="007C40AC" w:rsidP="00ED19F4">
      <w:pPr>
        <w:spacing w:line="276" w:lineRule="auto"/>
      </w:pPr>
      <w:r w:rsidRPr="007C40AC">
        <w:rPr>
          <w:noProof/>
          <w:lang w:eastAsia="zh-CN" w:bidi="km-KH"/>
        </w:rPr>
        <w:drawing>
          <wp:inline distT="0" distB="0" distL="0" distR="0">
            <wp:extent cx="5029200" cy="3409950"/>
            <wp:effectExtent l="19050" t="0" r="19050" b="0"/>
            <wp:docPr id="47" name="Chart 16" descr="Chart 4.6: Within-school Retention Rates for 2010-2011 First-year Teachers by School Accountability Level and Subject Area &#10;&#10;Math &#10; 1-year retention 2-year retention&#10;Level 1 0.778210117 0.634241245&#10;Level 2 0.765363128 0.603351955&#10;Level 3 0.705583756 0.538071066&#10;Level 4 0.620689655 0.379310345&#10;&#10;ELA  &#10; 1-year retention 2-year retention&#10;Level 1 0.744027304 0.587030717&#10;Level 2 0.741092637 0.593824228&#10;Level 3 0.6875 0.533333333&#10;Level 4 0.738095238 0.428571429&#10;&#10;Science &#10; 1-year retention 2-year retention&#10;Level 1 0.718367347 0.567346939&#10;Level 2 0.800738007 0.619926199&#10;Level 3 0.693121693 0.544973545&#10;Level 4 0.659090909 0.52272727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9092B" w:rsidRDefault="00F9092B" w:rsidP="0040232F">
      <w:pPr>
        <w:spacing w:line="240" w:lineRule="auto"/>
      </w:pPr>
    </w:p>
    <w:p w:rsidR="00F9092B" w:rsidRDefault="00F9092B" w:rsidP="0040232F">
      <w:pPr>
        <w:spacing w:line="240" w:lineRule="auto"/>
        <w:rPr>
          <w:rFonts w:ascii="Times New Roman" w:hAnsi="Times New Roman"/>
        </w:rPr>
      </w:pPr>
      <w:r w:rsidRPr="00C84CF4">
        <w:rPr>
          <w:rFonts w:ascii="Times New Roman" w:hAnsi="Times New Roman"/>
        </w:rPr>
        <w:t>Teacher retention rates decrease with school level status in elementary and high schools but not in middle schools</w:t>
      </w:r>
      <w:r w:rsidR="00DF3051" w:rsidRPr="00C84CF4">
        <w:rPr>
          <w:rFonts w:ascii="Times New Roman" w:hAnsi="Times New Roman"/>
        </w:rPr>
        <w:t xml:space="preserve"> (Chart 4.7</w:t>
      </w:r>
      <w:r w:rsidRPr="00C84CF4">
        <w:rPr>
          <w:rFonts w:ascii="Times New Roman" w:hAnsi="Times New Roman"/>
        </w:rPr>
        <w:t>). This indicates that there may be more complex issues at play that impact teachers’ decisions to remain teaching in middle schools.</w:t>
      </w:r>
    </w:p>
    <w:p w:rsidR="00ED19F4" w:rsidRPr="00C84CF4" w:rsidRDefault="00ED19F4" w:rsidP="0040232F">
      <w:pPr>
        <w:spacing w:line="240" w:lineRule="auto"/>
        <w:rPr>
          <w:rFonts w:ascii="Times New Roman" w:hAnsi="Times New Roman"/>
        </w:rPr>
      </w:pPr>
    </w:p>
    <w:p w:rsidR="00F9092B" w:rsidRPr="00446709" w:rsidRDefault="00F9092B" w:rsidP="00446709">
      <w:pPr>
        <w:pStyle w:val="Heading2"/>
        <w:spacing w:line="240" w:lineRule="auto"/>
        <w:rPr>
          <w:i w:val="0"/>
          <w:sz w:val="21"/>
          <w:szCs w:val="21"/>
        </w:rPr>
      </w:pPr>
      <w:r w:rsidRPr="00446709">
        <w:rPr>
          <w:i w:val="0"/>
          <w:sz w:val="21"/>
          <w:szCs w:val="21"/>
        </w:rPr>
        <w:t>Chart 4.</w:t>
      </w:r>
      <w:r w:rsidR="00DF3051" w:rsidRPr="00446709">
        <w:rPr>
          <w:i w:val="0"/>
          <w:sz w:val="21"/>
          <w:szCs w:val="21"/>
        </w:rPr>
        <w:t>7</w:t>
      </w:r>
      <w:r w:rsidRPr="00446709">
        <w:rPr>
          <w:i w:val="0"/>
          <w:sz w:val="21"/>
          <w:szCs w:val="21"/>
        </w:rPr>
        <w:t xml:space="preserve">: </w:t>
      </w:r>
      <w:r w:rsidR="007C40AC" w:rsidRPr="00446709">
        <w:rPr>
          <w:i w:val="0"/>
          <w:sz w:val="21"/>
          <w:szCs w:val="21"/>
        </w:rPr>
        <w:t>Within</w:t>
      </w:r>
      <w:r w:rsidRPr="00446709">
        <w:rPr>
          <w:i w:val="0"/>
          <w:sz w:val="21"/>
          <w:szCs w:val="21"/>
        </w:rPr>
        <w:t xml:space="preserve">-school Retention Rates for 2010-11 First-Year Teachers by School </w:t>
      </w:r>
      <w:r w:rsidR="00296508" w:rsidRPr="00446709">
        <w:rPr>
          <w:i w:val="0"/>
          <w:sz w:val="21"/>
          <w:szCs w:val="21"/>
        </w:rPr>
        <w:t xml:space="preserve">Accountability </w:t>
      </w:r>
      <w:r w:rsidRPr="00446709">
        <w:rPr>
          <w:i w:val="0"/>
          <w:sz w:val="21"/>
          <w:szCs w:val="21"/>
        </w:rPr>
        <w:t>Level and School Type</w:t>
      </w:r>
    </w:p>
    <w:p w:rsidR="00F9092B" w:rsidRDefault="007C40AC" w:rsidP="0040232F">
      <w:pPr>
        <w:spacing w:line="240" w:lineRule="auto"/>
      </w:pPr>
      <w:r w:rsidRPr="007C40AC">
        <w:rPr>
          <w:noProof/>
          <w:lang w:eastAsia="zh-CN" w:bidi="km-KH"/>
        </w:rPr>
        <w:drawing>
          <wp:inline distT="0" distB="0" distL="0" distR="0">
            <wp:extent cx="5024976" cy="3172570"/>
            <wp:effectExtent l="19050" t="0" r="23274" b="8780"/>
            <wp:docPr id="48" name="Chart 18" descr="Chart 4.7: Within-school Retention Rates for 2010-11 First-Year Teachers by School Accountability Level and School Type&#10;&#10; Elementary  &#10; 1-year retention 2-year retention&#10;Level 1 0.75083612 0.576923077&#10;Level 2 0.725376593 0.588644264&#10;Level 3 0.69955157 0.524663677&#10;Level 4 0.619047619 0.492063492&#10;&#10;Middle  &#10; 1-year retention 2-year retention&#10;Level 1 0.676190476 0.49047619&#10;Level 2 0.74368932 0.586407767&#10;Level 3 0.705521472 0.478527607&#10;Level 4 0.71875 0.4375&#10;&#10;Secondary  &#10; 1-year retention 2-year retention&#10;Level 1 0.762108262 0.608262108&#10;Level 2 0.730496454 0.579787234&#10;Level 3 0.652573529 0.516544118&#10;Level 4 0.515463918 0.36082474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C44139" w:rsidRDefault="00C44139" w:rsidP="0040232F">
      <w:pPr>
        <w:spacing w:line="240" w:lineRule="auto"/>
        <w:rPr>
          <w:rFonts w:ascii="Times New Roman" w:hAnsi="Times New Roman"/>
        </w:rPr>
      </w:pPr>
      <w:r w:rsidRPr="00C84CF4">
        <w:rPr>
          <w:rFonts w:ascii="Times New Roman" w:hAnsi="Times New Roman"/>
        </w:rPr>
        <w:t xml:space="preserve">New teachers with low growth in ELA or math tend to exit teaching at </w:t>
      </w:r>
      <w:r w:rsidR="00A76993" w:rsidRPr="00C84CF4">
        <w:rPr>
          <w:rFonts w:ascii="Times New Roman" w:hAnsi="Times New Roman"/>
        </w:rPr>
        <w:t xml:space="preserve">slightly </w:t>
      </w:r>
      <w:r w:rsidRPr="00C84CF4">
        <w:rPr>
          <w:rFonts w:ascii="Times New Roman" w:hAnsi="Times New Roman"/>
        </w:rPr>
        <w:t>higher rates than new teachers with moderate and high growth</w:t>
      </w:r>
      <w:r w:rsidR="00A76993" w:rsidRPr="00C84CF4">
        <w:rPr>
          <w:rFonts w:ascii="Times New Roman" w:hAnsi="Times New Roman"/>
        </w:rPr>
        <w:t>, but the differences are small</w:t>
      </w:r>
      <w:r w:rsidRPr="00C84CF4">
        <w:rPr>
          <w:rFonts w:ascii="Times New Roman" w:hAnsi="Times New Roman"/>
        </w:rPr>
        <w:t xml:space="preserve">. </w:t>
      </w:r>
      <w:r w:rsidR="00A76993" w:rsidRPr="00C84CF4">
        <w:rPr>
          <w:rFonts w:ascii="Times New Roman" w:hAnsi="Times New Roman"/>
        </w:rPr>
        <w:t>Among teachers with low median student growth in ELA, for example, 83.9 percent remained in teaching compared with 87.3 percent of teachers with high ELA student growth. The differences among e</w:t>
      </w:r>
      <w:r w:rsidR="00FB7CFC" w:rsidRPr="00C84CF4">
        <w:rPr>
          <w:rFonts w:ascii="Times New Roman" w:hAnsi="Times New Roman"/>
        </w:rPr>
        <w:t>xperienced teachers</w:t>
      </w:r>
      <w:r w:rsidRPr="00C84CF4">
        <w:rPr>
          <w:rFonts w:ascii="Times New Roman" w:hAnsi="Times New Roman"/>
        </w:rPr>
        <w:t xml:space="preserve"> </w:t>
      </w:r>
      <w:r w:rsidR="00A76993" w:rsidRPr="00C84CF4">
        <w:rPr>
          <w:rFonts w:ascii="Times New Roman" w:hAnsi="Times New Roman"/>
        </w:rPr>
        <w:t>are even smaller: 90.9 percent of experienced teachers with low ELA growth remained teaching, compared with 92.6 percent of experienced teachers with high ELA student growth</w:t>
      </w:r>
      <w:r w:rsidRPr="00C84CF4">
        <w:rPr>
          <w:rFonts w:ascii="Times New Roman" w:hAnsi="Times New Roman"/>
        </w:rPr>
        <w:t xml:space="preserve"> (</w:t>
      </w:r>
      <w:r w:rsidR="00F25808">
        <w:rPr>
          <w:rFonts w:ascii="Times New Roman" w:hAnsi="Times New Roman"/>
        </w:rPr>
        <w:t xml:space="preserve">See </w:t>
      </w:r>
      <w:r w:rsidRPr="00C84CF4">
        <w:rPr>
          <w:rFonts w:ascii="Times New Roman" w:hAnsi="Times New Roman"/>
        </w:rPr>
        <w:t>Chart 4.</w:t>
      </w:r>
      <w:r w:rsidR="00DF3051" w:rsidRPr="00C84CF4">
        <w:rPr>
          <w:rFonts w:ascii="Times New Roman" w:hAnsi="Times New Roman"/>
        </w:rPr>
        <w:t>8</w:t>
      </w:r>
      <w:r w:rsidR="00973B50" w:rsidRPr="00C84CF4">
        <w:rPr>
          <w:rFonts w:ascii="Times New Roman" w:hAnsi="Times New Roman"/>
        </w:rPr>
        <w:t xml:space="preserve"> and Chart 4.</w:t>
      </w:r>
      <w:r w:rsidR="00DF3051" w:rsidRPr="00C84CF4">
        <w:rPr>
          <w:rFonts w:ascii="Times New Roman" w:hAnsi="Times New Roman"/>
        </w:rPr>
        <w:t>9</w:t>
      </w:r>
      <w:r w:rsidRPr="00C84CF4">
        <w:rPr>
          <w:rFonts w:ascii="Times New Roman" w:hAnsi="Times New Roman"/>
        </w:rPr>
        <w:t xml:space="preserve">).  </w:t>
      </w:r>
      <w:r w:rsidR="009647D4" w:rsidRPr="00C84CF4">
        <w:rPr>
          <w:rFonts w:ascii="Times New Roman" w:hAnsi="Times New Roman"/>
        </w:rPr>
        <w:t>This is consistent with national research that shows that teachers with lower growth scores tend to leave teaching at higher rates than teachers with high growth.</w:t>
      </w:r>
      <w:r w:rsidR="00102B0C" w:rsidRPr="00C84CF4">
        <w:rPr>
          <w:rStyle w:val="FootnoteReference"/>
          <w:rFonts w:ascii="Times New Roman" w:hAnsi="Times New Roman"/>
        </w:rPr>
        <w:footnoteReference w:id="20"/>
      </w:r>
      <w:r w:rsidR="00C12E84" w:rsidRPr="00C84CF4">
        <w:rPr>
          <w:rFonts w:ascii="Times New Roman" w:hAnsi="Times New Roman"/>
        </w:rPr>
        <w:t xml:space="preserve"> To the extent that teachers with lower median SGPs are lower-performing than teachers with higher median SGPs, this attrition may not necessarily be bad.</w:t>
      </w:r>
    </w:p>
    <w:p w:rsidR="00ED19F4" w:rsidRPr="00C84CF4" w:rsidRDefault="00ED19F4" w:rsidP="0040232F">
      <w:pPr>
        <w:spacing w:line="240" w:lineRule="auto"/>
        <w:rPr>
          <w:rFonts w:ascii="Times New Roman" w:hAnsi="Times New Roman"/>
        </w:rPr>
      </w:pPr>
    </w:p>
    <w:p w:rsidR="00C44139" w:rsidRPr="00446709" w:rsidRDefault="00C44139" w:rsidP="00446709">
      <w:pPr>
        <w:pStyle w:val="Heading2"/>
        <w:spacing w:line="240" w:lineRule="auto"/>
        <w:rPr>
          <w:i w:val="0"/>
          <w:sz w:val="21"/>
          <w:szCs w:val="21"/>
        </w:rPr>
      </w:pPr>
      <w:r w:rsidRPr="00446709">
        <w:rPr>
          <w:i w:val="0"/>
          <w:sz w:val="21"/>
          <w:szCs w:val="21"/>
        </w:rPr>
        <w:t>Chart 4.</w:t>
      </w:r>
      <w:r w:rsidR="00DF3051" w:rsidRPr="00446709">
        <w:rPr>
          <w:i w:val="0"/>
          <w:sz w:val="21"/>
          <w:szCs w:val="21"/>
        </w:rPr>
        <w:t>8</w:t>
      </w:r>
      <w:r w:rsidRPr="00446709">
        <w:rPr>
          <w:i w:val="0"/>
          <w:sz w:val="21"/>
          <w:szCs w:val="21"/>
        </w:rPr>
        <w:t>: One-Year Retention Rates of 2011-12 Teachers by Teachers’ Median Student Growth</w:t>
      </w:r>
      <w:r w:rsidR="00CC2E3E" w:rsidRPr="00446709">
        <w:rPr>
          <w:i w:val="0"/>
          <w:sz w:val="21"/>
          <w:szCs w:val="21"/>
        </w:rPr>
        <w:t xml:space="preserve"> Percentile </w:t>
      </w:r>
      <w:r w:rsidRPr="00446709">
        <w:rPr>
          <w:i w:val="0"/>
          <w:sz w:val="21"/>
          <w:szCs w:val="21"/>
        </w:rPr>
        <w:t>in E</w:t>
      </w:r>
      <w:r w:rsidR="00C27B9D" w:rsidRPr="00446709">
        <w:rPr>
          <w:i w:val="0"/>
          <w:sz w:val="21"/>
          <w:szCs w:val="21"/>
        </w:rPr>
        <w:t xml:space="preserve">nglish </w:t>
      </w:r>
      <w:r w:rsidRPr="00446709">
        <w:rPr>
          <w:i w:val="0"/>
          <w:sz w:val="21"/>
          <w:szCs w:val="21"/>
        </w:rPr>
        <w:t>L</w:t>
      </w:r>
      <w:r w:rsidR="00C27B9D" w:rsidRPr="00446709">
        <w:rPr>
          <w:i w:val="0"/>
          <w:sz w:val="21"/>
          <w:szCs w:val="21"/>
        </w:rPr>
        <w:t xml:space="preserve">anguage </w:t>
      </w:r>
      <w:r w:rsidRPr="00446709">
        <w:rPr>
          <w:i w:val="0"/>
          <w:sz w:val="21"/>
          <w:szCs w:val="21"/>
        </w:rPr>
        <w:t>A</w:t>
      </w:r>
      <w:r w:rsidR="00C27B9D" w:rsidRPr="00446709">
        <w:rPr>
          <w:i w:val="0"/>
          <w:sz w:val="21"/>
          <w:szCs w:val="21"/>
        </w:rPr>
        <w:t>rts</w:t>
      </w:r>
    </w:p>
    <w:p w:rsidR="00C44139" w:rsidRDefault="007C40AC" w:rsidP="00ED19F4">
      <w:pPr>
        <w:spacing w:line="276" w:lineRule="auto"/>
      </w:pPr>
      <w:r w:rsidRPr="007C40AC">
        <w:rPr>
          <w:noProof/>
          <w:lang w:eastAsia="zh-CN" w:bidi="km-KH"/>
        </w:rPr>
        <w:drawing>
          <wp:inline distT="0" distB="0" distL="0" distR="0">
            <wp:extent cx="5029200" cy="3409950"/>
            <wp:effectExtent l="19050" t="0" r="19050" b="0"/>
            <wp:docPr id="49" name="Chart 19" descr="Chart 4.8: One-Year Retention Rates of 2011-12 Teachers by Teachers’ Median Student Growth Percentile in English Language Arts&#10;&#10;ELA&#10; Low Growth (0 - 39)&#10;New Teachers 0.838926174&#10;Teachers with More than 1 Year of Experience 0.908913721&#10; Moderate Growth (40 - 60)&#10;New Teachers 0.85989011&#10;Teachers with More than 1 Year of Experience 0.923429542&#10; High Growth (61 - 99)&#10;New Teachers 0.873096447&#10;Teachers with More than 1 Year of Experience 0.92605938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C44139" w:rsidRPr="00446709" w:rsidRDefault="00C44139" w:rsidP="00ED19F4">
      <w:pPr>
        <w:pStyle w:val="Heading2"/>
        <w:spacing w:before="0" w:line="276" w:lineRule="auto"/>
        <w:rPr>
          <w:i w:val="0"/>
          <w:sz w:val="21"/>
          <w:szCs w:val="21"/>
        </w:rPr>
      </w:pPr>
      <w:r w:rsidRPr="00446709">
        <w:rPr>
          <w:i w:val="0"/>
          <w:sz w:val="21"/>
          <w:szCs w:val="21"/>
        </w:rPr>
        <w:t>Chart 4.</w:t>
      </w:r>
      <w:r w:rsidR="00DF3051" w:rsidRPr="00446709">
        <w:rPr>
          <w:i w:val="0"/>
          <w:sz w:val="21"/>
          <w:szCs w:val="21"/>
        </w:rPr>
        <w:t>9</w:t>
      </w:r>
      <w:r w:rsidRPr="00446709">
        <w:rPr>
          <w:i w:val="0"/>
          <w:sz w:val="21"/>
          <w:szCs w:val="21"/>
        </w:rPr>
        <w:t xml:space="preserve">: One-Year Retention Rates of 2011-12 Teachers by Teachers’ Median Student Growth </w:t>
      </w:r>
      <w:r w:rsidR="00CC2E3E" w:rsidRPr="00446709">
        <w:rPr>
          <w:i w:val="0"/>
          <w:sz w:val="21"/>
          <w:szCs w:val="21"/>
        </w:rPr>
        <w:t xml:space="preserve">Percentile </w:t>
      </w:r>
      <w:r w:rsidRPr="00446709">
        <w:rPr>
          <w:i w:val="0"/>
          <w:sz w:val="21"/>
          <w:szCs w:val="21"/>
        </w:rPr>
        <w:t>in Math</w:t>
      </w:r>
    </w:p>
    <w:p w:rsidR="00C44139" w:rsidRPr="003F0C9E" w:rsidRDefault="00C27B9D" w:rsidP="00ED19F4">
      <w:pPr>
        <w:spacing w:line="276" w:lineRule="auto"/>
      </w:pPr>
      <w:r w:rsidRPr="00C27B9D">
        <w:rPr>
          <w:noProof/>
          <w:lang w:eastAsia="zh-CN" w:bidi="km-KH"/>
        </w:rPr>
        <w:drawing>
          <wp:inline distT="0" distB="0" distL="0" distR="0">
            <wp:extent cx="4953000" cy="3105150"/>
            <wp:effectExtent l="19050" t="0" r="19050" b="0"/>
            <wp:docPr id="50" name="Chart 20" descr="Chart 4.9: One-Year Retention Rates of 2011-12 Teachers by Teachers’ Median Student Growth Percentile in Math&#10;&#10;Math&#10;Low Growth (0 - 39)&#10;New Teachers 0.859531773&#10;Teachers with More than 1 Year of Experience 0.908457573&#10; Moderate Growth (40 - 60)&#10;New Teachers 0.879032258&#10;Teachers with More than 1 Year of Experience 0.927108678&#10; High Growth (61 - 99)&#10;New Teachers 0.890585242&#10;Teachers with More than 1 Year of Experience 0.92924843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476C4" w:rsidRDefault="000476C4" w:rsidP="0040232F">
      <w:pPr>
        <w:spacing w:line="240" w:lineRule="auto"/>
      </w:pPr>
    </w:p>
    <w:p w:rsidR="00B1014A" w:rsidRPr="006414E2" w:rsidRDefault="00B1014A" w:rsidP="007F03D4">
      <w:pPr>
        <w:pStyle w:val="Heading2"/>
      </w:pPr>
      <w:bookmarkStart w:id="16" w:name="_Toc374114892"/>
      <w:r w:rsidRPr="006414E2">
        <w:t>Next Steps for New Teachers</w:t>
      </w:r>
      <w:bookmarkEnd w:id="16"/>
    </w:p>
    <w:p w:rsidR="00B1014A" w:rsidRPr="00C84CF4" w:rsidRDefault="00B1014A" w:rsidP="0040232F">
      <w:pPr>
        <w:spacing w:line="240" w:lineRule="auto"/>
        <w:rPr>
          <w:rFonts w:ascii="Times New Roman" w:hAnsi="Times New Roman"/>
        </w:rPr>
      </w:pPr>
      <w:r w:rsidRPr="00C84CF4">
        <w:rPr>
          <w:rFonts w:ascii="Times New Roman" w:hAnsi="Times New Roman"/>
        </w:rPr>
        <w:t xml:space="preserve">With the exception of those in </w:t>
      </w:r>
      <w:r w:rsidR="00E36B22" w:rsidRPr="00C84CF4">
        <w:rPr>
          <w:rFonts w:ascii="Times New Roman" w:hAnsi="Times New Roman"/>
        </w:rPr>
        <w:t>Level</w:t>
      </w:r>
      <w:r w:rsidRPr="00C84CF4">
        <w:rPr>
          <w:rFonts w:ascii="Times New Roman" w:hAnsi="Times New Roman"/>
        </w:rPr>
        <w:t xml:space="preserve"> 4 schools, most new teachers who moved schools after one year tended to stay in schools </w:t>
      </w:r>
      <w:r w:rsidR="004F67BD" w:rsidRPr="00C84CF4">
        <w:rPr>
          <w:rFonts w:ascii="Times New Roman" w:hAnsi="Times New Roman"/>
        </w:rPr>
        <w:t>at</w:t>
      </w:r>
      <w:r w:rsidRPr="00C84CF4">
        <w:rPr>
          <w:rFonts w:ascii="Times New Roman" w:hAnsi="Times New Roman"/>
        </w:rPr>
        <w:t xml:space="preserve"> the same accountability level. For example, of new teachers </w:t>
      </w:r>
      <w:r w:rsidR="004F67BD" w:rsidRPr="00C84CF4">
        <w:rPr>
          <w:rFonts w:ascii="Times New Roman" w:hAnsi="Times New Roman"/>
        </w:rPr>
        <w:t xml:space="preserve">who taught in a </w:t>
      </w:r>
      <w:r w:rsidR="00E36B22" w:rsidRPr="00C84CF4">
        <w:rPr>
          <w:rFonts w:ascii="Times New Roman" w:hAnsi="Times New Roman"/>
        </w:rPr>
        <w:t>Level</w:t>
      </w:r>
      <w:r w:rsidR="004F67BD" w:rsidRPr="00C84CF4">
        <w:rPr>
          <w:rFonts w:ascii="Times New Roman" w:hAnsi="Times New Roman"/>
        </w:rPr>
        <w:t xml:space="preserve"> 1 school in </w:t>
      </w:r>
      <w:r w:rsidR="00F25808">
        <w:rPr>
          <w:rFonts w:ascii="Times New Roman" w:hAnsi="Times New Roman"/>
        </w:rPr>
        <w:t xml:space="preserve">the </w:t>
      </w:r>
      <w:r w:rsidR="004F67BD" w:rsidRPr="00C84CF4">
        <w:rPr>
          <w:rFonts w:ascii="Times New Roman" w:hAnsi="Times New Roman"/>
        </w:rPr>
        <w:t>2011</w:t>
      </w:r>
      <w:r w:rsidR="00F25808">
        <w:rPr>
          <w:rFonts w:ascii="Times New Roman" w:hAnsi="Times New Roman"/>
        </w:rPr>
        <w:t xml:space="preserve"> school year</w:t>
      </w:r>
      <w:r w:rsidR="004F67BD" w:rsidRPr="00C84CF4">
        <w:rPr>
          <w:rFonts w:ascii="Times New Roman" w:hAnsi="Times New Roman"/>
        </w:rPr>
        <w:t xml:space="preserve"> and changed schools </w:t>
      </w:r>
      <w:r w:rsidRPr="00C84CF4">
        <w:rPr>
          <w:rFonts w:ascii="Times New Roman" w:hAnsi="Times New Roman"/>
        </w:rPr>
        <w:t xml:space="preserve">after one year, </w:t>
      </w:r>
      <w:r w:rsidR="00A07C5E">
        <w:rPr>
          <w:rFonts w:ascii="Times New Roman" w:hAnsi="Times New Roman"/>
        </w:rPr>
        <w:t>3</w:t>
      </w:r>
      <w:r w:rsidR="00A07C5E" w:rsidRPr="00C84CF4">
        <w:rPr>
          <w:rFonts w:ascii="Times New Roman" w:hAnsi="Times New Roman"/>
        </w:rPr>
        <w:t xml:space="preserve">2 </w:t>
      </w:r>
      <w:r w:rsidR="00815328" w:rsidRPr="00C84CF4">
        <w:rPr>
          <w:rFonts w:ascii="Times New Roman" w:hAnsi="Times New Roman"/>
        </w:rPr>
        <w:t>percent</w:t>
      </w:r>
      <w:r w:rsidRPr="00C84CF4">
        <w:rPr>
          <w:rFonts w:ascii="Times New Roman" w:hAnsi="Times New Roman"/>
        </w:rPr>
        <w:t xml:space="preserve"> taught in </w:t>
      </w:r>
      <w:r w:rsidR="004F67BD" w:rsidRPr="00C84CF4">
        <w:rPr>
          <w:rFonts w:ascii="Times New Roman" w:hAnsi="Times New Roman"/>
        </w:rPr>
        <w:t xml:space="preserve">a </w:t>
      </w:r>
      <w:r w:rsidR="00E36B22" w:rsidRPr="00C84CF4">
        <w:rPr>
          <w:rFonts w:ascii="Times New Roman" w:hAnsi="Times New Roman"/>
        </w:rPr>
        <w:t>Level</w:t>
      </w:r>
      <w:r w:rsidRPr="00C84CF4">
        <w:rPr>
          <w:rFonts w:ascii="Times New Roman" w:hAnsi="Times New Roman"/>
        </w:rPr>
        <w:t xml:space="preserve"> 1 school in </w:t>
      </w:r>
      <w:r w:rsidR="00F25808">
        <w:rPr>
          <w:rFonts w:ascii="Times New Roman" w:hAnsi="Times New Roman"/>
        </w:rPr>
        <w:t xml:space="preserve">the </w:t>
      </w:r>
      <w:r w:rsidR="004F67BD" w:rsidRPr="00C84CF4">
        <w:rPr>
          <w:rFonts w:ascii="Times New Roman" w:hAnsi="Times New Roman"/>
        </w:rPr>
        <w:t>2012</w:t>
      </w:r>
      <w:r w:rsidR="00F25808">
        <w:rPr>
          <w:rFonts w:ascii="Times New Roman" w:hAnsi="Times New Roman"/>
        </w:rPr>
        <w:t xml:space="preserve"> school year</w:t>
      </w:r>
      <w:r w:rsidRPr="00C84CF4">
        <w:rPr>
          <w:rFonts w:ascii="Times New Roman" w:hAnsi="Times New Roman"/>
        </w:rPr>
        <w:t>.</w:t>
      </w:r>
      <w:r w:rsidR="00822E1F" w:rsidRPr="00C84CF4">
        <w:rPr>
          <w:rFonts w:ascii="Times New Roman" w:hAnsi="Times New Roman"/>
        </w:rPr>
        <w:t xml:space="preserve"> This trend is similar among Levels 2 and Levels 3 schools.</w:t>
      </w:r>
      <w:r w:rsidRPr="00C84CF4">
        <w:rPr>
          <w:rFonts w:ascii="Times New Roman" w:hAnsi="Times New Roman"/>
        </w:rPr>
        <w:t xml:space="preserve"> </w:t>
      </w:r>
      <w:r w:rsidR="004F67BD" w:rsidRPr="00C84CF4">
        <w:rPr>
          <w:rFonts w:ascii="Times New Roman" w:hAnsi="Times New Roman"/>
        </w:rPr>
        <w:t>Among t</w:t>
      </w:r>
      <w:r w:rsidRPr="00C84CF4">
        <w:rPr>
          <w:rFonts w:ascii="Times New Roman" w:hAnsi="Times New Roman"/>
        </w:rPr>
        <w:t xml:space="preserve">eachers </w:t>
      </w:r>
      <w:r w:rsidR="004F67BD" w:rsidRPr="00C84CF4">
        <w:rPr>
          <w:rFonts w:ascii="Times New Roman" w:hAnsi="Times New Roman"/>
        </w:rPr>
        <w:t xml:space="preserve">leaving a </w:t>
      </w:r>
      <w:r w:rsidR="00E36B22" w:rsidRPr="00C84CF4">
        <w:rPr>
          <w:rFonts w:ascii="Times New Roman" w:hAnsi="Times New Roman"/>
        </w:rPr>
        <w:t>Level</w:t>
      </w:r>
      <w:r w:rsidR="004F67BD" w:rsidRPr="00C84CF4">
        <w:rPr>
          <w:rFonts w:ascii="Times New Roman" w:hAnsi="Times New Roman"/>
        </w:rPr>
        <w:t xml:space="preserve"> 4 school</w:t>
      </w:r>
      <w:r w:rsidRPr="00C84CF4">
        <w:rPr>
          <w:rFonts w:ascii="Times New Roman" w:hAnsi="Times New Roman"/>
        </w:rPr>
        <w:t xml:space="preserve">, however, only </w:t>
      </w:r>
      <w:r w:rsidR="00A07C5E">
        <w:rPr>
          <w:rFonts w:ascii="Times New Roman" w:hAnsi="Times New Roman"/>
        </w:rPr>
        <w:t>14.7</w:t>
      </w:r>
      <w:r w:rsidR="00815328" w:rsidRPr="00C84CF4">
        <w:rPr>
          <w:rFonts w:ascii="Times New Roman" w:hAnsi="Times New Roman"/>
        </w:rPr>
        <w:t xml:space="preserve"> percent</w:t>
      </w:r>
      <w:r w:rsidRPr="00C84CF4">
        <w:rPr>
          <w:rFonts w:ascii="Times New Roman" w:hAnsi="Times New Roman"/>
        </w:rPr>
        <w:t xml:space="preserve"> taught in </w:t>
      </w:r>
      <w:r w:rsidR="004F67BD" w:rsidRPr="00C84CF4">
        <w:rPr>
          <w:rFonts w:ascii="Times New Roman" w:hAnsi="Times New Roman"/>
        </w:rPr>
        <w:t xml:space="preserve">a different </w:t>
      </w:r>
      <w:r w:rsidR="00E36B22" w:rsidRPr="00C84CF4">
        <w:rPr>
          <w:rFonts w:ascii="Times New Roman" w:hAnsi="Times New Roman"/>
        </w:rPr>
        <w:t>Level</w:t>
      </w:r>
      <w:r w:rsidRPr="00C84CF4">
        <w:rPr>
          <w:rFonts w:ascii="Times New Roman" w:hAnsi="Times New Roman"/>
        </w:rPr>
        <w:t xml:space="preserve"> 4 school in the following year. Teachers </w:t>
      </w:r>
      <w:r w:rsidR="004F67BD" w:rsidRPr="00C84CF4">
        <w:rPr>
          <w:rFonts w:ascii="Times New Roman" w:hAnsi="Times New Roman"/>
        </w:rPr>
        <w:t xml:space="preserve">who change schools </w:t>
      </w:r>
      <w:r w:rsidRPr="00C84CF4">
        <w:rPr>
          <w:rFonts w:ascii="Times New Roman" w:hAnsi="Times New Roman"/>
        </w:rPr>
        <w:t xml:space="preserve">do not generally </w:t>
      </w:r>
      <w:r w:rsidR="004F67BD" w:rsidRPr="00C84CF4">
        <w:rPr>
          <w:rFonts w:ascii="Times New Roman" w:hAnsi="Times New Roman"/>
        </w:rPr>
        <w:t>move to</w:t>
      </w:r>
      <w:r w:rsidRPr="00C84CF4">
        <w:rPr>
          <w:rFonts w:ascii="Times New Roman" w:hAnsi="Times New Roman"/>
        </w:rPr>
        <w:t xml:space="preserve"> schools of lower accountability levels in the following year</w:t>
      </w:r>
      <w:r w:rsidR="004F67BD" w:rsidRPr="00C84CF4">
        <w:rPr>
          <w:rFonts w:ascii="Times New Roman" w:hAnsi="Times New Roman"/>
        </w:rPr>
        <w:t xml:space="preserve"> (Table 4.</w:t>
      </w:r>
      <w:r w:rsidR="00797266" w:rsidRPr="00C84CF4">
        <w:rPr>
          <w:rFonts w:ascii="Times New Roman" w:hAnsi="Times New Roman"/>
        </w:rPr>
        <w:t>1</w:t>
      </w:r>
      <w:r w:rsidR="004F67BD" w:rsidRPr="00C84CF4">
        <w:rPr>
          <w:rFonts w:ascii="Times New Roman" w:hAnsi="Times New Roman"/>
        </w:rPr>
        <w:t>)</w:t>
      </w:r>
      <w:r w:rsidR="00815328" w:rsidRPr="00C84CF4">
        <w:rPr>
          <w:rFonts w:ascii="Times New Roman" w:hAnsi="Times New Roman"/>
        </w:rPr>
        <w:t>.</w:t>
      </w:r>
      <w:r w:rsidR="00F01151" w:rsidRPr="00C84CF4">
        <w:rPr>
          <w:rFonts w:ascii="Times New Roman" w:hAnsi="Times New Roman"/>
        </w:rPr>
        <w:t xml:space="preserve"> This is consistent with research on teacher mobility, which shows that when teachers move across schools they tend to move out of lower performing schools and into higher performing schools.</w:t>
      </w:r>
      <w:r w:rsidR="00F01151" w:rsidRPr="00C84CF4">
        <w:rPr>
          <w:rStyle w:val="FootnoteReference"/>
          <w:rFonts w:ascii="Times New Roman" w:hAnsi="Times New Roman"/>
        </w:rPr>
        <w:footnoteReference w:id="21"/>
      </w:r>
    </w:p>
    <w:p w:rsidR="00F81162" w:rsidRDefault="00F81162" w:rsidP="0040232F">
      <w:pPr>
        <w:spacing w:line="240" w:lineRule="auto"/>
      </w:pPr>
    </w:p>
    <w:p w:rsidR="005D259F" w:rsidRDefault="005D259F" w:rsidP="0040232F">
      <w:pPr>
        <w:spacing w:line="240" w:lineRule="auto"/>
      </w:pPr>
    </w:p>
    <w:p w:rsidR="005D259F" w:rsidRDefault="005D259F" w:rsidP="0040232F">
      <w:pPr>
        <w:spacing w:line="240" w:lineRule="auto"/>
      </w:pPr>
    </w:p>
    <w:p w:rsidR="005D259F" w:rsidRDefault="005D259F" w:rsidP="0040232F">
      <w:pPr>
        <w:spacing w:line="240" w:lineRule="auto"/>
      </w:pPr>
    </w:p>
    <w:p w:rsidR="005D259F" w:rsidRDefault="005D259F" w:rsidP="0040232F">
      <w:pPr>
        <w:spacing w:line="240" w:lineRule="auto"/>
      </w:pPr>
    </w:p>
    <w:p w:rsidR="005D259F" w:rsidRDefault="005D259F" w:rsidP="0040232F">
      <w:pPr>
        <w:spacing w:line="240" w:lineRule="auto"/>
      </w:pPr>
    </w:p>
    <w:p w:rsidR="005D259F" w:rsidRDefault="005D259F" w:rsidP="0040232F">
      <w:pPr>
        <w:spacing w:line="240" w:lineRule="auto"/>
      </w:pPr>
    </w:p>
    <w:p w:rsidR="005D259F" w:rsidRDefault="005D259F" w:rsidP="0040232F">
      <w:pPr>
        <w:spacing w:line="240" w:lineRule="auto"/>
      </w:pPr>
    </w:p>
    <w:p w:rsidR="00B1014A" w:rsidRPr="00446709" w:rsidRDefault="004F67BD" w:rsidP="00446709">
      <w:pPr>
        <w:pStyle w:val="Heading2"/>
        <w:spacing w:line="240" w:lineRule="auto"/>
        <w:rPr>
          <w:i w:val="0"/>
          <w:sz w:val="21"/>
          <w:szCs w:val="21"/>
        </w:rPr>
      </w:pPr>
      <w:r w:rsidRPr="00446709">
        <w:rPr>
          <w:i w:val="0"/>
          <w:sz w:val="21"/>
          <w:szCs w:val="21"/>
        </w:rPr>
        <w:t>Table 4</w:t>
      </w:r>
      <w:r w:rsidR="00B1014A" w:rsidRPr="00446709">
        <w:rPr>
          <w:i w:val="0"/>
          <w:sz w:val="21"/>
          <w:szCs w:val="21"/>
        </w:rPr>
        <w:t>.</w:t>
      </w:r>
      <w:r w:rsidR="00797266" w:rsidRPr="00446709">
        <w:rPr>
          <w:i w:val="0"/>
          <w:sz w:val="21"/>
          <w:szCs w:val="21"/>
        </w:rPr>
        <w:t>1</w:t>
      </w:r>
      <w:r w:rsidR="00B1014A" w:rsidRPr="00446709">
        <w:rPr>
          <w:i w:val="0"/>
          <w:sz w:val="21"/>
          <w:szCs w:val="21"/>
        </w:rPr>
        <w:t xml:space="preserve">: </w:t>
      </w:r>
      <w:r w:rsidR="00E46C53" w:rsidRPr="00446709">
        <w:rPr>
          <w:i w:val="0"/>
          <w:sz w:val="21"/>
          <w:szCs w:val="21"/>
        </w:rPr>
        <w:t>Distribution of</w:t>
      </w:r>
      <w:r w:rsidR="00B1014A" w:rsidRPr="00446709">
        <w:rPr>
          <w:i w:val="0"/>
          <w:sz w:val="21"/>
          <w:szCs w:val="21"/>
        </w:rPr>
        <w:t xml:space="preserve"> </w:t>
      </w:r>
      <w:r w:rsidR="001F5056" w:rsidRPr="00446709">
        <w:rPr>
          <w:i w:val="0"/>
          <w:sz w:val="21"/>
          <w:szCs w:val="21"/>
        </w:rPr>
        <w:t xml:space="preserve">2010-11 </w:t>
      </w:r>
      <w:r w:rsidR="005B5684" w:rsidRPr="00446709">
        <w:rPr>
          <w:i w:val="0"/>
          <w:sz w:val="21"/>
          <w:szCs w:val="21"/>
        </w:rPr>
        <w:t>First-Year</w:t>
      </w:r>
      <w:r w:rsidR="001F5056" w:rsidRPr="00446709">
        <w:rPr>
          <w:i w:val="0"/>
          <w:sz w:val="21"/>
          <w:szCs w:val="21"/>
        </w:rPr>
        <w:t xml:space="preserve"> Teachers who </w:t>
      </w:r>
      <w:r w:rsidR="00B64C0F" w:rsidRPr="00446709">
        <w:rPr>
          <w:i w:val="0"/>
          <w:sz w:val="21"/>
          <w:szCs w:val="21"/>
        </w:rPr>
        <w:t>Changed</w:t>
      </w:r>
      <w:r w:rsidR="00B1014A" w:rsidRPr="00446709">
        <w:rPr>
          <w:i w:val="0"/>
          <w:sz w:val="21"/>
          <w:szCs w:val="21"/>
        </w:rPr>
        <w:t xml:space="preserve"> </w:t>
      </w:r>
      <w:r w:rsidR="001F5056" w:rsidRPr="00446709">
        <w:rPr>
          <w:i w:val="0"/>
          <w:sz w:val="21"/>
          <w:szCs w:val="21"/>
        </w:rPr>
        <w:t>S</w:t>
      </w:r>
      <w:r w:rsidR="00B1014A" w:rsidRPr="00446709">
        <w:rPr>
          <w:i w:val="0"/>
          <w:sz w:val="21"/>
          <w:szCs w:val="21"/>
        </w:rPr>
        <w:t>chools</w:t>
      </w:r>
      <w:r w:rsidR="007C4BB9" w:rsidRPr="00446709">
        <w:rPr>
          <w:i w:val="0"/>
          <w:sz w:val="21"/>
          <w:szCs w:val="21"/>
        </w:rPr>
        <w:t>,</w:t>
      </w:r>
      <w:r w:rsidR="00E46C53" w:rsidRPr="00446709">
        <w:rPr>
          <w:i w:val="0"/>
          <w:sz w:val="21"/>
          <w:szCs w:val="21"/>
        </w:rPr>
        <w:t xml:space="preserve"> by </w:t>
      </w:r>
      <w:r w:rsidR="00344B40" w:rsidRPr="00446709">
        <w:rPr>
          <w:i w:val="0"/>
          <w:sz w:val="21"/>
          <w:szCs w:val="21"/>
        </w:rPr>
        <w:t>t</w:t>
      </w:r>
      <w:r w:rsidR="00E46C53" w:rsidRPr="00446709">
        <w:rPr>
          <w:i w:val="0"/>
          <w:sz w:val="21"/>
          <w:szCs w:val="21"/>
        </w:rPr>
        <w:t xml:space="preserve">he </w:t>
      </w:r>
      <w:r w:rsidR="00FF4B8A" w:rsidRPr="00446709">
        <w:rPr>
          <w:i w:val="0"/>
          <w:sz w:val="21"/>
          <w:szCs w:val="21"/>
        </w:rPr>
        <w:t>2011-12</w:t>
      </w:r>
      <w:r w:rsidR="00E46C53" w:rsidRPr="00446709">
        <w:rPr>
          <w:i w:val="0"/>
          <w:sz w:val="21"/>
          <w:szCs w:val="21"/>
        </w:rPr>
        <w:t xml:space="preserve"> School</w:t>
      </w:r>
      <w:r w:rsidR="00344B40" w:rsidRPr="00446709">
        <w:rPr>
          <w:i w:val="0"/>
          <w:sz w:val="21"/>
          <w:szCs w:val="21"/>
        </w:rPr>
        <w:t>’s Accountability Level</w:t>
      </w:r>
    </w:p>
    <w:tbl>
      <w:tblPr>
        <w:tblW w:w="6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6"/>
        <w:gridCol w:w="1071"/>
        <w:gridCol w:w="1072"/>
        <w:gridCol w:w="1072"/>
        <w:gridCol w:w="1072"/>
      </w:tblGrid>
      <w:tr w:rsidR="005B5684" w:rsidRPr="00ED19F4" w:rsidTr="0013264B">
        <w:trPr>
          <w:trHeight w:val="386"/>
        </w:trPr>
        <w:tc>
          <w:tcPr>
            <w:tcW w:w="2226" w:type="dxa"/>
            <w:vMerge w:val="restart"/>
            <w:shd w:val="clear" w:color="auto" w:fill="D9D9D9" w:themeFill="background1" w:themeFillShade="D9"/>
            <w:vAlign w:val="bottom"/>
            <w:hideMark/>
          </w:tcPr>
          <w:p w:rsidR="005B5684" w:rsidRPr="00ED19F4" w:rsidRDefault="005B5684" w:rsidP="0013264B">
            <w:pPr>
              <w:spacing w:line="240" w:lineRule="auto"/>
              <w:rPr>
                <w:rFonts w:ascii="Arial Narrow" w:hAnsi="Arial Narrow" w:cs="Arial"/>
                <w:b/>
                <w:color w:val="000000"/>
                <w:sz w:val="21"/>
                <w:szCs w:val="21"/>
              </w:rPr>
            </w:pPr>
            <w:r w:rsidRPr="00ED19F4">
              <w:rPr>
                <w:rFonts w:ascii="Arial Narrow" w:hAnsi="Arial Narrow" w:cs="Arial"/>
                <w:b/>
                <w:color w:val="000000"/>
                <w:sz w:val="21"/>
                <w:szCs w:val="21"/>
              </w:rPr>
              <w:t>2011 School Accountability Level</w:t>
            </w:r>
          </w:p>
        </w:tc>
        <w:tc>
          <w:tcPr>
            <w:tcW w:w="4287" w:type="dxa"/>
            <w:gridSpan w:val="4"/>
            <w:shd w:val="clear" w:color="auto" w:fill="D9D9D9" w:themeFill="background1" w:themeFillShade="D9"/>
            <w:vAlign w:val="center"/>
            <w:hideMark/>
          </w:tcPr>
          <w:p w:rsidR="005B5684" w:rsidRPr="00ED19F4" w:rsidRDefault="005B5684" w:rsidP="0040232F">
            <w:pPr>
              <w:spacing w:line="240" w:lineRule="auto"/>
              <w:jc w:val="center"/>
              <w:rPr>
                <w:rFonts w:ascii="Arial Narrow" w:hAnsi="Arial Narrow" w:cs="Arial"/>
                <w:b/>
                <w:color w:val="000000"/>
                <w:sz w:val="21"/>
                <w:szCs w:val="21"/>
              </w:rPr>
            </w:pPr>
            <w:r w:rsidRPr="00ED19F4">
              <w:rPr>
                <w:rFonts w:ascii="Arial Narrow" w:hAnsi="Arial Narrow" w:cs="Arial"/>
                <w:b/>
                <w:color w:val="000000"/>
                <w:sz w:val="21"/>
                <w:szCs w:val="21"/>
              </w:rPr>
              <w:t>2012 School Accountability Level</w:t>
            </w:r>
          </w:p>
        </w:tc>
      </w:tr>
      <w:tr w:rsidR="005B5684" w:rsidRPr="00ED19F4" w:rsidTr="00ED19F4">
        <w:trPr>
          <w:trHeight w:val="431"/>
        </w:trPr>
        <w:tc>
          <w:tcPr>
            <w:tcW w:w="2226" w:type="dxa"/>
            <w:vMerge/>
            <w:shd w:val="clear" w:color="auto" w:fill="auto"/>
            <w:vAlign w:val="bottom"/>
            <w:hideMark/>
          </w:tcPr>
          <w:p w:rsidR="005B5684" w:rsidRPr="00ED19F4" w:rsidRDefault="005B5684" w:rsidP="0040232F">
            <w:pPr>
              <w:spacing w:line="240" w:lineRule="auto"/>
              <w:rPr>
                <w:rFonts w:ascii="Arial Narrow" w:hAnsi="Arial Narrow" w:cs="Arial"/>
                <w:b/>
                <w:color w:val="000000"/>
                <w:sz w:val="21"/>
                <w:szCs w:val="21"/>
              </w:rPr>
            </w:pPr>
          </w:p>
        </w:tc>
        <w:tc>
          <w:tcPr>
            <w:tcW w:w="1071" w:type="dxa"/>
            <w:shd w:val="clear" w:color="auto" w:fill="auto"/>
            <w:vAlign w:val="bottom"/>
            <w:hideMark/>
          </w:tcPr>
          <w:p w:rsidR="005B5684" w:rsidRPr="00ED19F4" w:rsidRDefault="005B5684" w:rsidP="0040232F">
            <w:pPr>
              <w:spacing w:line="240" w:lineRule="auto"/>
              <w:jc w:val="center"/>
              <w:rPr>
                <w:rFonts w:ascii="Arial Narrow" w:hAnsi="Arial Narrow" w:cs="Arial"/>
                <w:b/>
                <w:color w:val="000000"/>
                <w:sz w:val="21"/>
                <w:szCs w:val="21"/>
              </w:rPr>
            </w:pPr>
            <w:r w:rsidRPr="00ED19F4">
              <w:rPr>
                <w:rFonts w:ascii="Arial Narrow" w:hAnsi="Arial Narrow" w:cs="Arial"/>
                <w:b/>
                <w:color w:val="000000"/>
                <w:sz w:val="21"/>
                <w:szCs w:val="21"/>
              </w:rPr>
              <w:t>Level 1</w:t>
            </w:r>
          </w:p>
        </w:tc>
        <w:tc>
          <w:tcPr>
            <w:tcW w:w="1072" w:type="dxa"/>
            <w:shd w:val="clear" w:color="auto" w:fill="auto"/>
            <w:vAlign w:val="bottom"/>
            <w:hideMark/>
          </w:tcPr>
          <w:p w:rsidR="005B5684" w:rsidRPr="00ED19F4" w:rsidRDefault="005B5684" w:rsidP="0040232F">
            <w:pPr>
              <w:spacing w:line="240" w:lineRule="auto"/>
              <w:jc w:val="center"/>
              <w:rPr>
                <w:rFonts w:ascii="Arial Narrow" w:hAnsi="Arial Narrow" w:cs="Arial"/>
                <w:b/>
                <w:color w:val="000000"/>
                <w:sz w:val="21"/>
                <w:szCs w:val="21"/>
              </w:rPr>
            </w:pPr>
            <w:r w:rsidRPr="00ED19F4">
              <w:rPr>
                <w:rFonts w:ascii="Arial Narrow" w:hAnsi="Arial Narrow" w:cs="Arial"/>
                <w:b/>
                <w:color w:val="000000"/>
                <w:sz w:val="21"/>
                <w:szCs w:val="21"/>
              </w:rPr>
              <w:t>Level 2</w:t>
            </w:r>
          </w:p>
        </w:tc>
        <w:tc>
          <w:tcPr>
            <w:tcW w:w="1072" w:type="dxa"/>
            <w:vAlign w:val="bottom"/>
          </w:tcPr>
          <w:p w:rsidR="005B5684" w:rsidRPr="00ED19F4" w:rsidRDefault="005B5684" w:rsidP="0040232F">
            <w:pPr>
              <w:spacing w:line="240" w:lineRule="auto"/>
              <w:jc w:val="center"/>
              <w:rPr>
                <w:rFonts w:ascii="Arial Narrow" w:hAnsi="Arial Narrow" w:cs="Arial"/>
                <w:b/>
                <w:color w:val="000000"/>
                <w:sz w:val="21"/>
                <w:szCs w:val="21"/>
              </w:rPr>
            </w:pPr>
            <w:r w:rsidRPr="00ED19F4">
              <w:rPr>
                <w:rFonts w:ascii="Arial Narrow" w:hAnsi="Arial Narrow" w:cs="Arial"/>
                <w:b/>
                <w:color w:val="000000"/>
                <w:sz w:val="21"/>
                <w:szCs w:val="21"/>
              </w:rPr>
              <w:t>Level 3</w:t>
            </w:r>
          </w:p>
        </w:tc>
        <w:tc>
          <w:tcPr>
            <w:tcW w:w="1072" w:type="dxa"/>
            <w:vAlign w:val="bottom"/>
          </w:tcPr>
          <w:p w:rsidR="005B5684" w:rsidRPr="00ED19F4" w:rsidRDefault="005B5684" w:rsidP="0040232F">
            <w:pPr>
              <w:spacing w:line="240" w:lineRule="auto"/>
              <w:jc w:val="center"/>
              <w:rPr>
                <w:rFonts w:ascii="Arial Narrow" w:hAnsi="Arial Narrow" w:cs="Arial"/>
                <w:b/>
                <w:color w:val="000000"/>
                <w:sz w:val="21"/>
                <w:szCs w:val="21"/>
              </w:rPr>
            </w:pPr>
            <w:r w:rsidRPr="00ED19F4">
              <w:rPr>
                <w:rFonts w:ascii="Arial Narrow" w:hAnsi="Arial Narrow" w:cs="Arial"/>
                <w:b/>
                <w:color w:val="000000"/>
                <w:sz w:val="21"/>
                <w:szCs w:val="21"/>
              </w:rPr>
              <w:t>Level 4</w:t>
            </w:r>
          </w:p>
        </w:tc>
      </w:tr>
      <w:tr w:rsidR="00FF4B8A" w:rsidRPr="00ED19F4" w:rsidTr="00ED19F4">
        <w:trPr>
          <w:trHeight w:val="359"/>
        </w:trPr>
        <w:tc>
          <w:tcPr>
            <w:tcW w:w="2226" w:type="dxa"/>
            <w:shd w:val="clear" w:color="auto" w:fill="auto"/>
            <w:noWrap/>
            <w:vAlign w:val="center"/>
            <w:hideMark/>
          </w:tcPr>
          <w:p w:rsidR="00FF4B8A" w:rsidRPr="00ED19F4" w:rsidRDefault="00FF4B8A" w:rsidP="0040232F">
            <w:pPr>
              <w:spacing w:line="240" w:lineRule="auto"/>
              <w:ind w:right="33"/>
              <w:jc w:val="right"/>
              <w:rPr>
                <w:rFonts w:ascii="Arial Narrow" w:hAnsi="Arial Narrow" w:cs="Arial"/>
                <w:b/>
                <w:color w:val="000000"/>
                <w:sz w:val="21"/>
                <w:szCs w:val="21"/>
              </w:rPr>
            </w:pPr>
            <w:r w:rsidRPr="00ED19F4">
              <w:rPr>
                <w:rFonts w:ascii="Arial Narrow" w:hAnsi="Arial Narrow" w:cs="Arial"/>
                <w:b/>
                <w:color w:val="000000"/>
                <w:sz w:val="21"/>
                <w:szCs w:val="21"/>
              </w:rPr>
              <w:t>Level 1</w:t>
            </w:r>
          </w:p>
        </w:tc>
        <w:tc>
          <w:tcPr>
            <w:tcW w:w="1071" w:type="dxa"/>
            <w:shd w:val="clear" w:color="auto" w:fill="D9D9D9" w:themeFill="background1" w:themeFillShade="D9"/>
            <w:noWrap/>
            <w:vAlign w:val="center"/>
            <w:hideMark/>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32.3</w:t>
            </w:r>
          </w:p>
        </w:tc>
        <w:tc>
          <w:tcPr>
            <w:tcW w:w="1072" w:type="dxa"/>
            <w:shd w:val="clear" w:color="auto" w:fill="auto"/>
            <w:noWrap/>
            <w:vAlign w:val="center"/>
            <w:hideMark/>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49.5</w:t>
            </w:r>
          </w:p>
        </w:tc>
        <w:tc>
          <w:tcPr>
            <w:tcW w:w="1072" w:type="dxa"/>
            <w:vAlign w:val="center"/>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18.2</w:t>
            </w:r>
          </w:p>
        </w:tc>
        <w:tc>
          <w:tcPr>
            <w:tcW w:w="1072" w:type="dxa"/>
            <w:vAlign w:val="center"/>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0.0</w:t>
            </w:r>
          </w:p>
        </w:tc>
      </w:tr>
      <w:tr w:rsidR="00FF4B8A" w:rsidRPr="00ED19F4" w:rsidTr="00ED19F4">
        <w:trPr>
          <w:trHeight w:val="341"/>
        </w:trPr>
        <w:tc>
          <w:tcPr>
            <w:tcW w:w="2226" w:type="dxa"/>
            <w:shd w:val="clear" w:color="auto" w:fill="auto"/>
            <w:vAlign w:val="center"/>
            <w:hideMark/>
          </w:tcPr>
          <w:p w:rsidR="00FF4B8A" w:rsidRPr="00ED19F4" w:rsidRDefault="005B5684" w:rsidP="0040232F">
            <w:pPr>
              <w:spacing w:line="240" w:lineRule="auto"/>
              <w:ind w:right="33"/>
              <w:jc w:val="right"/>
              <w:rPr>
                <w:rFonts w:ascii="Arial Narrow" w:hAnsi="Arial Narrow" w:cs="Arial"/>
                <w:b/>
                <w:color w:val="000000"/>
                <w:sz w:val="21"/>
                <w:szCs w:val="21"/>
              </w:rPr>
            </w:pPr>
            <w:r w:rsidRPr="00ED19F4">
              <w:rPr>
                <w:rFonts w:ascii="Arial Narrow" w:hAnsi="Arial Narrow" w:cs="Arial"/>
                <w:b/>
                <w:color w:val="000000"/>
                <w:sz w:val="21"/>
                <w:szCs w:val="21"/>
              </w:rPr>
              <w:t>Level 2</w:t>
            </w:r>
          </w:p>
        </w:tc>
        <w:tc>
          <w:tcPr>
            <w:tcW w:w="1071" w:type="dxa"/>
            <w:shd w:val="clear" w:color="auto" w:fill="auto"/>
            <w:noWrap/>
            <w:vAlign w:val="center"/>
            <w:hideMark/>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32.7</w:t>
            </w:r>
          </w:p>
        </w:tc>
        <w:tc>
          <w:tcPr>
            <w:tcW w:w="1072" w:type="dxa"/>
            <w:shd w:val="clear" w:color="auto" w:fill="D9D9D9" w:themeFill="background1" w:themeFillShade="D9"/>
            <w:noWrap/>
            <w:vAlign w:val="center"/>
            <w:hideMark/>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48.8</w:t>
            </w:r>
          </w:p>
        </w:tc>
        <w:tc>
          <w:tcPr>
            <w:tcW w:w="1072" w:type="dxa"/>
            <w:vAlign w:val="center"/>
          </w:tcPr>
          <w:p w:rsidR="00FF4B8A" w:rsidRPr="00ED19F4" w:rsidRDefault="00732C3E"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1</w:t>
            </w:r>
            <w:r w:rsidR="008008BD" w:rsidRPr="00ED19F4">
              <w:rPr>
                <w:rFonts w:ascii="Arial Narrow" w:hAnsi="Arial Narrow" w:cs="Arial"/>
                <w:color w:val="000000"/>
                <w:sz w:val="21"/>
                <w:szCs w:val="21"/>
              </w:rPr>
              <w:t>8</w:t>
            </w:r>
            <w:r w:rsidRPr="00ED19F4">
              <w:rPr>
                <w:rFonts w:ascii="Arial Narrow" w:hAnsi="Arial Narrow" w:cs="Arial"/>
                <w:color w:val="000000"/>
                <w:sz w:val="21"/>
                <w:szCs w:val="21"/>
              </w:rPr>
              <w:t>.5</w:t>
            </w:r>
          </w:p>
        </w:tc>
        <w:tc>
          <w:tcPr>
            <w:tcW w:w="1072" w:type="dxa"/>
            <w:vAlign w:val="center"/>
          </w:tcPr>
          <w:p w:rsidR="00FF4B8A" w:rsidRPr="00ED19F4" w:rsidRDefault="00732C3E"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0.</w:t>
            </w:r>
            <w:r w:rsidR="008008BD" w:rsidRPr="00ED19F4">
              <w:rPr>
                <w:rFonts w:ascii="Arial Narrow" w:hAnsi="Arial Narrow" w:cs="Arial"/>
                <w:color w:val="000000"/>
                <w:sz w:val="21"/>
                <w:szCs w:val="21"/>
              </w:rPr>
              <w:t>0</w:t>
            </w:r>
          </w:p>
        </w:tc>
      </w:tr>
      <w:tr w:rsidR="00FF4B8A" w:rsidRPr="00ED19F4" w:rsidTr="00ED19F4">
        <w:trPr>
          <w:trHeight w:val="350"/>
        </w:trPr>
        <w:tc>
          <w:tcPr>
            <w:tcW w:w="2226" w:type="dxa"/>
            <w:shd w:val="clear" w:color="auto" w:fill="auto"/>
            <w:vAlign w:val="center"/>
            <w:hideMark/>
          </w:tcPr>
          <w:p w:rsidR="00FF4B8A" w:rsidRPr="00ED19F4" w:rsidRDefault="005B5684" w:rsidP="0040232F">
            <w:pPr>
              <w:spacing w:line="240" w:lineRule="auto"/>
              <w:ind w:right="33"/>
              <w:jc w:val="right"/>
              <w:rPr>
                <w:rFonts w:ascii="Arial Narrow" w:hAnsi="Arial Narrow" w:cs="Arial"/>
                <w:b/>
                <w:color w:val="000000"/>
                <w:sz w:val="21"/>
                <w:szCs w:val="21"/>
              </w:rPr>
            </w:pPr>
            <w:r w:rsidRPr="00ED19F4">
              <w:rPr>
                <w:rFonts w:ascii="Arial Narrow" w:hAnsi="Arial Narrow" w:cs="Arial"/>
                <w:b/>
                <w:color w:val="000000"/>
                <w:sz w:val="21"/>
                <w:szCs w:val="21"/>
              </w:rPr>
              <w:t>Level 3</w:t>
            </w:r>
          </w:p>
        </w:tc>
        <w:tc>
          <w:tcPr>
            <w:tcW w:w="1071" w:type="dxa"/>
            <w:shd w:val="clear" w:color="auto" w:fill="auto"/>
            <w:noWrap/>
            <w:vAlign w:val="center"/>
            <w:hideMark/>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25.8</w:t>
            </w:r>
          </w:p>
        </w:tc>
        <w:tc>
          <w:tcPr>
            <w:tcW w:w="1072" w:type="dxa"/>
            <w:shd w:val="clear" w:color="auto" w:fill="auto"/>
            <w:noWrap/>
            <w:vAlign w:val="center"/>
            <w:hideMark/>
          </w:tcPr>
          <w:p w:rsidR="00FF4B8A" w:rsidRPr="00ED19F4" w:rsidRDefault="00732C3E"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2</w:t>
            </w:r>
            <w:r w:rsidR="008008BD" w:rsidRPr="00ED19F4">
              <w:rPr>
                <w:rFonts w:ascii="Arial Narrow" w:hAnsi="Arial Narrow" w:cs="Arial"/>
                <w:color w:val="000000"/>
                <w:sz w:val="21"/>
                <w:szCs w:val="21"/>
              </w:rPr>
              <w:t>8</w:t>
            </w:r>
            <w:r w:rsidRPr="00ED19F4">
              <w:rPr>
                <w:rFonts w:ascii="Arial Narrow" w:hAnsi="Arial Narrow" w:cs="Arial"/>
                <w:color w:val="000000"/>
                <w:sz w:val="21"/>
                <w:szCs w:val="21"/>
              </w:rPr>
              <w:t>.</w:t>
            </w:r>
            <w:r w:rsidR="008008BD" w:rsidRPr="00ED19F4">
              <w:rPr>
                <w:rFonts w:ascii="Arial Narrow" w:hAnsi="Arial Narrow" w:cs="Arial"/>
                <w:color w:val="000000"/>
                <w:sz w:val="21"/>
                <w:szCs w:val="21"/>
              </w:rPr>
              <w:t>3</w:t>
            </w:r>
          </w:p>
        </w:tc>
        <w:tc>
          <w:tcPr>
            <w:tcW w:w="1072" w:type="dxa"/>
            <w:shd w:val="clear" w:color="auto" w:fill="D9D9D9" w:themeFill="background1" w:themeFillShade="D9"/>
            <w:vAlign w:val="center"/>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37.5</w:t>
            </w:r>
          </w:p>
        </w:tc>
        <w:tc>
          <w:tcPr>
            <w:tcW w:w="1072" w:type="dxa"/>
            <w:vAlign w:val="center"/>
          </w:tcPr>
          <w:p w:rsidR="00FF4B8A" w:rsidRPr="00ED19F4" w:rsidRDefault="00732C3E"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8.</w:t>
            </w:r>
            <w:r w:rsidR="008008BD" w:rsidRPr="00ED19F4">
              <w:rPr>
                <w:rFonts w:ascii="Arial Narrow" w:hAnsi="Arial Narrow" w:cs="Arial"/>
                <w:color w:val="000000"/>
                <w:sz w:val="21"/>
                <w:szCs w:val="21"/>
              </w:rPr>
              <w:t>3</w:t>
            </w:r>
          </w:p>
        </w:tc>
      </w:tr>
      <w:tr w:rsidR="00FF4B8A" w:rsidRPr="00ED19F4" w:rsidTr="00ED19F4">
        <w:trPr>
          <w:trHeight w:val="350"/>
        </w:trPr>
        <w:tc>
          <w:tcPr>
            <w:tcW w:w="2226" w:type="dxa"/>
            <w:shd w:val="clear" w:color="auto" w:fill="auto"/>
            <w:vAlign w:val="center"/>
            <w:hideMark/>
          </w:tcPr>
          <w:p w:rsidR="00FF4B8A" w:rsidRPr="00ED19F4" w:rsidRDefault="005B5684" w:rsidP="0040232F">
            <w:pPr>
              <w:spacing w:line="240" w:lineRule="auto"/>
              <w:ind w:right="33"/>
              <w:jc w:val="right"/>
              <w:rPr>
                <w:rFonts w:ascii="Arial Narrow" w:hAnsi="Arial Narrow" w:cs="Arial"/>
                <w:b/>
                <w:color w:val="000000"/>
                <w:sz w:val="21"/>
                <w:szCs w:val="21"/>
              </w:rPr>
            </w:pPr>
            <w:r w:rsidRPr="00ED19F4">
              <w:rPr>
                <w:rFonts w:ascii="Arial Narrow" w:hAnsi="Arial Narrow" w:cs="Arial"/>
                <w:b/>
                <w:color w:val="000000"/>
                <w:sz w:val="21"/>
                <w:szCs w:val="21"/>
              </w:rPr>
              <w:t>Level 4</w:t>
            </w:r>
          </w:p>
        </w:tc>
        <w:tc>
          <w:tcPr>
            <w:tcW w:w="1071" w:type="dxa"/>
            <w:shd w:val="clear" w:color="auto" w:fill="auto"/>
            <w:noWrap/>
            <w:vAlign w:val="center"/>
            <w:hideMark/>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20.6</w:t>
            </w:r>
          </w:p>
        </w:tc>
        <w:tc>
          <w:tcPr>
            <w:tcW w:w="1072" w:type="dxa"/>
            <w:shd w:val="clear" w:color="auto" w:fill="auto"/>
            <w:noWrap/>
            <w:vAlign w:val="center"/>
            <w:hideMark/>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17.6</w:t>
            </w:r>
          </w:p>
        </w:tc>
        <w:tc>
          <w:tcPr>
            <w:tcW w:w="1072" w:type="dxa"/>
            <w:vAlign w:val="center"/>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47.1</w:t>
            </w:r>
          </w:p>
        </w:tc>
        <w:tc>
          <w:tcPr>
            <w:tcW w:w="1072" w:type="dxa"/>
            <w:shd w:val="clear" w:color="auto" w:fill="D9D9D9" w:themeFill="background1" w:themeFillShade="D9"/>
            <w:vAlign w:val="center"/>
          </w:tcPr>
          <w:p w:rsidR="00FF4B8A" w:rsidRPr="00ED19F4" w:rsidRDefault="008008BD" w:rsidP="0040232F">
            <w:pPr>
              <w:spacing w:line="240" w:lineRule="auto"/>
              <w:jc w:val="center"/>
              <w:rPr>
                <w:rFonts w:ascii="Arial Narrow" w:hAnsi="Arial Narrow" w:cs="Arial"/>
                <w:color w:val="000000"/>
                <w:sz w:val="21"/>
                <w:szCs w:val="21"/>
              </w:rPr>
            </w:pPr>
            <w:r w:rsidRPr="00ED19F4">
              <w:rPr>
                <w:rFonts w:ascii="Arial Narrow" w:hAnsi="Arial Narrow" w:cs="Arial"/>
                <w:color w:val="000000"/>
                <w:sz w:val="21"/>
                <w:szCs w:val="21"/>
              </w:rPr>
              <w:t>14.7</w:t>
            </w:r>
          </w:p>
        </w:tc>
      </w:tr>
    </w:tbl>
    <w:p w:rsidR="001C417C" w:rsidRPr="001C417C" w:rsidRDefault="001C417C" w:rsidP="0040232F">
      <w:pPr>
        <w:spacing w:line="240" w:lineRule="auto"/>
      </w:pPr>
    </w:p>
    <w:p w:rsidR="001C417C" w:rsidRDefault="001C417C" w:rsidP="0040232F">
      <w:pPr>
        <w:spacing w:line="240" w:lineRule="auto"/>
        <w:rPr>
          <w:rFonts w:ascii="Times New Roman" w:hAnsi="Times New Roman"/>
        </w:rPr>
      </w:pPr>
      <w:r w:rsidRPr="00C84CF4">
        <w:rPr>
          <w:rFonts w:ascii="Times New Roman" w:hAnsi="Times New Roman"/>
        </w:rPr>
        <w:t>There is less teacher mobility across school poverty levels, however. Among new teachers who changed schools between 2010-11 and 2011-12, 9</w:t>
      </w:r>
      <w:r w:rsidR="00A07C5E">
        <w:rPr>
          <w:rFonts w:ascii="Times New Roman" w:hAnsi="Times New Roman"/>
        </w:rPr>
        <w:t>0</w:t>
      </w:r>
      <w:r w:rsidRPr="00C84CF4">
        <w:rPr>
          <w:rFonts w:ascii="Times New Roman" w:hAnsi="Times New Roman"/>
        </w:rPr>
        <w:t xml:space="preserve"> percent of those in low</w:t>
      </w:r>
      <w:r w:rsidR="00F25808">
        <w:rPr>
          <w:rFonts w:ascii="Times New Roman" w:hAnsi="Times New Roman"/>
        </w:rPr>
        <w:t>-</w:t>
      </w:r>
      <w:r w:rsidRPr="00C84CF4">
        <w:rPr>
          <w:rFonts w:ascii="Times New Roman" w:hAnsi="Times New Roman"/>
        </w:rPr>
        <w:t>poverty schools moved to another low-poverty school or to a school with moderate poverty levels. Similarly, among new teachers in high</w:t>
      </w:r>
      <w:r w:rsidR="00F25808">
        <w:rPr>
          <w:rFonts w:ascii="Times New Roman" w:hAnsi="Times New Roman"/>
        </w:rPr>
        <w:t>-</w:t>
      </w:r>
      <w:r w:rsidRPr="00C84CF4">
        <w:rPr>
          <w:rFonts w:ascii="Times New Roman" w:hAnsi="Times New Roman"/>
        </w:rPr>
        <w:t>poverty school</w:t>
      </w:r>
      <w:r w:rsidR="00F25808">
        <w:rPr>
          <w:rFonts w:ascii="Times New Roman" w:hAnsi="Times New Roman"/>
        </w:rPr>
        <w:t>s</w:t>
      </w:r>
      <w:r w:rsidRPr="00C84CF4">
        <w:rPr>
          <w:rFonts w:ascii="Times New Roman" w:hAnsi="Times New Roman"/>
        </w:rPr>
        <w:t xml:space="preserve">, </w:t>
      </w:r>
      <w:r w:rsidR="00A07C5E" w:rsidRPr="00C84CF4">
        <w:rPr>
          <w:rFonts w:ascii="Times New Roman" w:hAnsi="Times New Roman"/>
        </w:rPr>
        <w:t>9</w:t>
      </w:r>
      <w:r w:rsidR="00A07C5E">
        <w:rPr>
          <w:rFonts w:ascii="Times New Roman" w:hAnsi="Times New Roman"/>
        </w:rPr>
        <w:t>2</w:t>
      </w:r>
      <w:r w:rsidR="00A07C5E" w:rsidRPr="00C84CF4">
        <w:rPr>
          <w:rFonts w:ascii="Times New Roman" w:hAnsi="Times New Roman"/>
        </w:rPr>
        <w:t xml:space="preserve"> </w:t>
      </w:r>
      <w:r w:rsidRPr="00C84CF4">
        <w:rPr>
          <w:rFonts w:ascii="Times New Roman" w:hAnsi="Times New Roman"/>
        </w:rPr>
        <w:t>percent moved to another high</w:t>
      </w:r>
      <w:r w:rsidR="00F25808">
        <w:rPr>
          <w:rFonts w:ascii="Times New Roman" w:hAnsi="Times New Roman"/>
        </w:rPr>
        <w:t>-</w:t>
      </w:r>
      <w:r w:rsidRPr="00C84CF4">
        <w:rPr>
          <w:rFonts w:ascii="Times New Roman" w:hAnsi="Times New Roman"/>
        </w:rPr>
        <w:t>poverty school or moved to a moderate</w:t>
      </w:r>
      <w:r w:rsidR="00F25808">
        <w:rPr>
          <w:rFonts w:ascii="Times New Roman" w:hAnsi="Times New Roman"/>
        </w:rPr>
        <w:t>-</w:t>
      </w:r>
      <w:r w:rsidRPr="00C84CF4">
        <w:rPr>
          <w:rFonts w:ascii="Times New Roman" w:hAnsi="Times New Roman"/>
        </w:rPr>
        <w:t>poverty school. And among teachers in moderate</w:t>
      </w:r>
      <w:r w:rsidR="00F25808">
        <w:rPr>
          <w:rFonts w:ascii="Times New Roman" w:hAnsi="Times New Roman"/>
        </w:rPr>
        <w:t>-</w:t>
      </w:r>
      <w:r w:rsidRPr="00C84CF4">
        <w:rPr>
          <w:rFonts w:ascii="Times New Roman" w:hAnsi="Times New Roman"/>
        </w:rPr>
        <w:t xml:space="preserve">poverty schools, a </w:t>
      </w:r>
      <w:r w:rsidR="00F25808">
        <w:rPr>
          <w:rFonts w:ascii="Times New Roman" w:hAnsi="Times New Roman"/>
        </w:rPr>
        <w:t>larger</w:t>
      </w:r>
      <w:r w:rsidR="00F25808" w:rsidRPr="00C84CF4">
        <w:rPr>
          <w:rFonts w:ascii="Times New Roman" w:hAnsi="Times New Roman"/>
        </w:rPr>
        <w:t xml:space="preserve"> </w:t>
      </w:r>
      <w:r w:rsidRPr="00C84CF4">
        <w:rPr>
          <w:rFonts w:ascii="Times New Roman" w:hAnsi="Times New Roman"/>
        </w:rPr>
        <w:t>share moved to a high</w:t>
      </w:r>
      <w:r w:rsidR="00F25808">
        <w:rPr>
          <w:rFonts w:ascii="Times New Roman" w:hAnsi="Times New Roman"/>
        </w:rPr>
        <w:t>-</w:t>
      </w:r>
      <w:r w:rsidRPr="00C84CF4">
        <w:rPr>
          <w:rFonts w:ascii="Times New Roman" w:hAnsi="Times New Roman"/>
        </w:rPr>
        <w:t>poverty school the following year than a low</w:t>
      </w:r>
      <w:r w:rsidR="00F25808">
        <w:rPr>
          <w:rFonts w:ascii="Times New Roman" w:hAnsi="Times New Roman"/>
        </w:rPr>
        <w:t>-</w:t>
      </w:r>
      <w:r w:rsidRPr="00C84CF4">
        <w:rPr>
          <w:rFonts w:ascii="Times New Roman" w:hAnsi="Times New Roman"/>
        </w:rPr>
        <w:t>poverty school, which may in part reflect a greater number of job openings available at high</w:t>
      </w:r>
      <w:r w:rsidR="00F25808">
        <w:rPr>
          <w:rFonts w:ascii="Times New Roman" w:hAnsi="Times New Roman"/>
        </w:rPr>
        <w:t>-</w:t>
      </w:r>
      <w:r w:rsidRPr="00C84CF4">
        <w:rPr>
          <w:rFonts w:ascii="Times New Roman" w:hAnsi="Times New Roman"/>
        </w:rPr>
        <w:t>poverty schools.</w:t>
      </w:r>
    </w:p>
    <w:p w:rsidR="007F03D4" w:rsidRPr="00C84CF4" w:rsidRDefault="00191607" w:rsidP="0040232F">
      <w:pPr>
        <w:spacing w:line="240" w:lineRule="auto"/>
        <w:rPr>
          <w:rFonts w:ascii="Times New Roman" w:hAnsi="Times New Roman"/>
        </w:rPr>
      </w:pPr>
      <w:r>
        <w:rPr>
          <w:rFonts w:ascii="Times New Roman" w:hAnsi="Times New Roman"/>
        </w:rPr>
        <w:t xml:space="preserve">   </w:t>
      </w:r>
    </w:p>
    <w:p w:rsidR="001C417C" w:rsidRPr="00446709" w:rsidRDefault="00797266" w:rsidP="00446709">
      <w:pPr>
        <w:pStyle w:val="Heading2"/>
        <w:spacing w:line="240" w:lineRule="auto"/>
        <w:rPr>
          <w:i w:val="0"/>
          <w:sz w:val="21"/>
          <w:szCs w:val="21"/>
        </w:rPr>
      </w:pPr>
      <w:r w:rsidRPr="00446709">
        <w:rPr>
          <w:i w:val="0"/>
          <w:sz w:val="21"/>
          <w:szCs w:val="21"/>
        </w:rPr>
        <w:t>Table 4.2</w:t>
      </w:r>
      <w:r w:rsidR="001C417C" w:rsidRPr="00446709">
        <w:rPr>
          <w:i w:val="0"/>
          <w:sz w:val="21"/>
          <w:szCs w:val="21"/>
        </w:rPr>
        <w:t>: Distribution of 2010-11 First-Year Teachers who Changed Schools, by the 2011-12 School’s Poverty Level</w:t>
      </w:r>
    </w:p>
    <w:tbl>
      <w:tblPr>
        <w:tblW w:w="6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6"/>
        <w:gridCol w:w="1479"/>
        <w:gridCol w:w="1350"/>
        <w:gridCol w:w="1440"/>
        <w:gridCol w:w="18"/>
      </w:tblGrid>
      <w:tr w:rsidR="001C417C" w:rsidRPr="0013264B" w:rsidTr="0013264B">
        <w:trPr>
          <w:trHeight w:val="377"/>
        </w:trPr>
        <w:tc>
          <w:tcPr>
            <w:tcW w:w="2226" w:type="dxa"/>
            <w:vMerge w:val="restart"/>
            <w:shd w:val="clear" w:color="auto" w:fill="D9D9D9" w:themeFill="background1" w:themeFillShade="D9"/>
            <w:vAlign w:val="bottom"/>
            <w:hideMark/>
          </w:tcPr>
          <w:p w:rsidR="001C417C" w:rsidRPr="0013264B" w:rsidRDefault="001C417C" w:rsidP="0040232F">
            <w:pPr>
              <w:spacing w:line="240" w:lineRule="auto"/>
              <w:rPr>
                <w:rFonts w:ascii="Arial Narrow" w:hAnsi="Arial Narrow" w:cs="Arial"/>
                <w:b/>
                <w:color w:val="000000"/>
                <w:sz w:val="21"/>
                <w:szCs w:val="21"/>
              </w:rPr>
            </w:pPr>
            <w:r w:rsidRPr="0013264B">
              <w:rPr>
                <w:rFonts w:ascii="Arial Narrow" w:hAnsi="Arial Narrow" w:cs="Arial"/>
                <w:b/>
                <w:color w:val="000000"/>
                <w:sz w:val="21"/>
                <w:szCs w:val="21"/>
              </w:rPr>
              <w:t>2011 School Poverty Level</w:t>
            </w:r>
          </w:p>
        </w:tc>
        <w:tc>
          <w:tcPr>
            <w:tcW w:w="4287" w:type="dxa"/>
            <w:gridSpan w:val="4"/>
            <w:shd w:val="clear" w:color="auto" w:fill="D9D9D9" w:themeFill="background1" w:themeFillShade="D9"/>
            <w:vAlign w:val="center"/>
            <w:hideMark/>
          </w:tcPr>
          <w:p w:rsidR="001C417C" w:rsidRPr="0013264B" w:rsidRDefault="001C417C" w:rsidP="0040232F">
            <w:pPr>
              <w:spacing w:line="240" w:lineRule="auto"/>
              <w:jc w:val="center"/>
              <w:rPr>
                <w:rFonts w:ascii="Arial Narrow" w:hAnsi="Arial Narrow" w:cs="Arial"/>
                <w:b/>
                <w:color w:val="000000"/>
                <w:sz w:val="21"/>
                <w:szCs w:val="21"/>
              </w:rPr>
            </w:pPr>
            <w:r w:rsidRPr="0013264B">
              <w:rPr>
                <w:rFonts w:ascii="Arial Narrow" w:hAnsi="Arial Narrow" w:cs="Arial"/>
                <w:b/>
                <w:color w:val="000000"/>
                <w:sz w:val="21"/>
                <w:szCs w:val="21"/>
              </w:rPr>
              <w:t>2012 School Poverty Level</w:t>
            </w:r>
          </w:p>
        </w:tc>
      </w:tr>
      <w:tr w:rsidR="001C417C" w:rsidRPr="0013264B" w:rsidTr="00296508">
        <w:trPr>
          <w:gridAfter w:val="1"/>
          <w:wAfter w:w="18" w:type="dxa"/>
          <w:trHeight w:val="503"/>
        </w:trPr>
        <w:tc>
          <w:tcPr>
            <w:tcW w:w="2226" w:type="dxa"/>
            <w:vMerge/>
            <w:shd w:val="clear" w:color="auto" w:fill="D9D9D9" w:themeFill="background1" w:themeFillShade="D9"/>
            <w:vAlign w:val="bottom"/>
            <w:hideMark/>
          </w:tcPr>
          <w:p w:rsidR="001C417C" w:rsidRPr="0013264B" w:rsidRDefault="001C417C" w:rsidP="0040232F">
            <w:pPr>
              <w:spacing w:line="240" w:lineRule="auto"/>
              <w:rPr>
                <w:rFonts w:ascii="Arial Narrow" w:hAnsi="Arial Narrow" w:cs="Arial"/>
                <w:b/>
                <w:color w:val="000000"/>
                <w:sz w:val="21"/>
                <w:szCs w:val="21"/>
              </w:rPr>
            </w:pPr>
          </w:p>
        </w:tc>
        <w:tc>
          <w:tcPr>
            <w:tcW w:w="1479" w:type="dxa"/>
            <w:shd w:val="clear" w:color="auto" w:fill="auto"/>
            <w:vAlign w:val="bottom"/>
            <w:hideMark/>
          </w:tcPr>
          <w:p w:rsidR="001C417C" w:rsidRPr="0013264B" w:rsidRDefault="001C417C" w:rsidP="0040232F">
            <w:pPr>
              <w:spacing w:line="240" w:lineRule="auto"/>
              <w:jc w:val="center"/>
              <w:rPr>
                <w:rFonts w:ascii="Arial Narrow" w:hAnsi="Arial Narrow" w:cs="Arial"/>
                <w:b/>
                <w:color w:val="000000"/>
                <w:sz w:val="21"/>
                <w:szCs w:val="21"/>
              </w:rPr>
            </w:pPr>
            <w:r w:rsidRPr="0013264B">
              <w:rPr>
                <w:rFonts w:ascii="Arial Narrow" w:hAnsi="Arial Narrow" w:cs="Arial"/>
                <w:b/>
                <w:color w:val="000000"/>
                <w:sz w:val="21"/>
                <w:szCs w:val="21"/>
              </w:rPr>
              <w:t>Low Poverty</w:t>
            </w:r>
          </w:p>
        </w:tc>
        <w:tc>
          <w:tcPr>
            <w:tcW w:w="1350" w:type="dxa"/>
            <w:shd w:val="clear" w:color="auto" w:fill="auto"/>
            <w:vAlign w:val="bottom"/>
            <w:hideMark/>
          </w:tcPr>
          <w:p w:rsidR="001C417C" w:rsidRPr="0013264B" w:rsidRDefault="001C417C" w:rsidP="0040232F">
            <w:pPr>
              <w:spacing w:line="240" w:lineRule="auto"/>
              <w:jc w:val="center"/>
              <w:rPr>
                <w:rFonts w:ascii="Arial Narrow" w:hAnsi="Arial Narrow" w:cs="Arial"/>
                <w:b/>
                <w:color w:val="000000"/>
                <w:sz w:val="21"/>
                <w:szCs w:val="21"/>
              </w:rPr>
            </w:pPr>
            <w:r w:rsidRPr="0013264B">
              <w:rPr>
                <w:rFonts w:ascii="Arial Narrow" w:hAnsi="Arial Narrow" w:cs="Arial"/>
                <w:b/>
                <w:color w:val="000000"/>
                <w:sz w:val="21"/>
                <w:szCs w:val="21"/>
              </w:rPr>
              <w:t>Moderate Poverty</w:t>
            </w:r>
          </w:p>
        </w:tc>
        <w:tc>
          <w:tcPr>
            <w:tcW w:w="1440" w:type="dxa"/>
            <w:shd w:val="clear" w:color="auto" w:fill="auto"/>
            <w:vAlign w:val="bottom"/>
          </w:tcPr>
          <w:p w:rsidR="001C417C" w:rsidRPr="0013264B" w:rsidRDefault="001C417C" w:rsidP="0040232F">
            <w:pPr>
              <w:spacing w:line="240" w:lineRule="auto"/>
              <w:jc w:val="center"/>
              <w:rPr>
                <w:rFonts w:ascii="Arial Narrow" w:hAnsi="Arial Narrow" w:cs="Arial"/>
                <w:b/>
                <w:color w:val="000000"/>
                <w:sz w:val="21"/>
                <w:szCs w:val="21"/>
              </w:rPr>
            </w:pPr>
            <w:r w:rsidRPr="0013264B">
              <w:rPr>
                <w:rFonts w:ascii="Arial Narrow" w:hAnsi="Arial Narrow" w:cs="Arial"/>
                <w:b/>
                <w:color w:val="000000"/>
                <w:sz w:val="21"/>
                <w:szCs w:val="21"/>
              </w:rPr>
              <w:t>High Poverty</w:t>
            </w:r>
          </w:p>
        </w:tc>
      </w:tr>
      <w:tr w:rsidR="001C417C" w:rsidRPr="0013264B" w:rsidTr="0013264B">
        <w:trPr>
          <w:gridAfter w:val="1"/>
          <w:wAfter w:w="18" w:type="dxa"/>
          <w:trHeight w:val="377"/>
        </w:trPr>
        <w:tc>
          <w:tcPr>
            <w:tcW w:w="2226" w:type="dxa"/>
            <w:shd w:val="clear" w:color="auto" w:fill="auto"/>
            <w:noWrap/>
            <w:vAlign w:val="center"/>
            <w:hideMark/>
          </w:tcPr>
          <w:p w:rsidR="001C417C" w:rsidRPr="0013264B" w:rsidRDefault="001C417C" w:rsidP="0040232F">
            <w:pPr>
              <w:spacing w:line="240" w:lineRule="auto"/>
              <w:ind w:right="33"/>
              <w:jc w:val="right"/>
              <w:rPr>
                <w:rFonts w:ascii="Arial Narrow" w:hAnsi="Arial Narrow" w:cs="Arial"/>
                <w:b/>
                <w:color w:val="000000"/>
                <w:sz w:val="21"/>
                <w:szCs w:val="21"/>
              </w:rPr>
            </w:pPr>
            <w:r w:rsidRPr="0013264B">
              <w:rPr>
                <w:rFonts w:ascii="Arial Narrow" w:hAnsi="Arial Narrow" w:cs="Arial"/>
                <w:b/>
                <w:color w:val="000000"/>
                <w:sz w:val="21"/>
                <w:szCs w:val="21"/>
              </w:rPr>
              <w:t>Low Poverty</w:t>
            </w:r>
          </w:p>
        </w:tc>
        <w:tc>
          <w:tcPr>
            <w:tcW w:w="1479" w:type="dxa"/>
            <w:shd w:val="clear" w:color="auto" w:fill="D9D9D9" w:themeFill="background1" w:themeFillShade="D9"/>
            <w:noWrap/>
            <w:vAlign w:val="center"/>
            <w:hideMark/>
          </w:tcPr>
          <w:p w:rsidR="001C417C" w:rsidRPr="0013264B" w:rsidRDefault="001C417C" w:rsidP="0040232F">
            <w:pPr>
              <w:spacing w:line="240" w:lineRule="auto"/>
              <w:jc w:val="center"/>
              <w:rPr>
                <w:rFonts w:ascii="Arial Narrow" w:hAnsi="Arial Narrow" w:cs="Arial"/>
                <w:color w:val="000000"/>
                <w:sz w:val="21"/>
                <w:szCs w:val="21"/>
              </w:rPr>
            </w:pPr>
            <w:r w:rsidRPr="0013264B">
              <w:rPr>
                <w:rFonts w:ascii="Arial Narrow" w:hAnsi="Arial Narrow" w:cs="Arial"/>
                <w:color w:val="000000"/>
                <w:sz w:val="21"/>
                <w:szCs w:val="21"/>
              </w:rPr>
              <w:t>5</w:t>
            </w:r>
            <w:r w:rsidR="007B4A95" w:rsidRPr="0013264B">
              <w:rPr>
                <w:rFonts w:ascii="Arial Narrow" w:hAnsi="Arial Narrow" w:cs="Arial"/>
                <w:color w:val="000000"/>
                <w:sz w:val="21"/>
                <w:szCs w:val="21"/>
              </w:rPr>
              <w:t>0</w:t>
            </w:r>
            <w:r w:rsidRPr="0013264B">
              <w:rPr>
                <w:rFonts w:ascii="Arial Narrow" w:hAnsi="Arial Narrow" w:cs="Arial"/>
                <w:color w:val="000000"/>
                <w:sz w:val="21"/>
                <w:szCs w:val="21"/>
              </w:rPr>
              <w:t>.</w:t>
            </w:r>
            <w:r w:rsidR="007B4A95" w:rsidRPr="0013264B">
              <w:rPr>
                <w:rFonts w:ascii="Arial Narrow" w:hAnsi="Arial Narrow" w:cs="Arial"/>
                <w:color w:val="000000"/>
                <w:sz w:val="21"/>
                <w:szCs w:val="21"/>
              </w:rPr>
              <w:t>6</w:t>
            </w:r>
          </w:p>
        </w:tc>
        <w:tc>
          <w:tcPr>
            <w:tcW w:w="1350" w:type="dxa"/>
            <w:shd w:val="clear" w:color="auto" w:fill="auto"/>
            <w:noWrap/>
            <w:vAlign w:val="center"/>
            <w:hideMark/>
          </w:tcPr>
          <w:p w:rsidR="001C417C" w:rsidRPr="0013264B" w:rsidRDefault="007B4A95" w:rsidP="0040232F">
            <w:pPr>
              <w:spacing w:line="240" w:lineRule="auto"/>
              <w:jc w:val="center"/>
              <w:rPr>
                <w:rFonts w:ascii="Arial Narrow" w:hAnsi="Arial Narrow" w:cs="Arial"/>
                <w:color w:val="000000"/>
                <w:sz w:val="21"/>
                <w:szCs w:val="21"/>
              </w:rPr>
            </w:pPr>
            <w:r w:rsidRPr="0013264B">
              <w:rPr>
                <w:rFonts w:ascii="Arial Narrow" w:hAnsi="Arial Narrow" w:cs="Arial"/>
                <w:color w:val="000000"/>
                <w:sz w:val="21"/>
                <w:szCs w:val="21"/>
              </w:rPr>
              <w:t>40.2</w:t>
            </w:r>
          </w:p>
        </w:tc>
        <w:tc>
          <w:tcPr>
            <w:tcW w:w="1440" w:type="dxa"/>
            <w:vAlign w:val="center"/>
          </w:tcPr>
          <w:p w:rsidR="001C417C" w:rsidRPr="0013264B" w:rsidRDefault="007B4A95" w:rsidP="0040232F">
            <w:pPr>
              <w:spacing w:line="240" w:lineRule="auto"/>
              <w:jc w:val="center"/>
              <w:rPr>
                <w:rFonts w:ascii="Arial Narrow" w:hAnsi="Arial Narrow" w:cs="Arial"/>
                <w:color w:val="000000"/>
                <w:sz w:val="21"/>
                <w:szCs w:val="21"/>
              </w:rPr>
            </w:pPr>
            <w:r w:rsidRPr="0013264B">
              <w:rPr>
                <w:rFonts w:ascii="Arial Narrow" w:hAnsi="Arial Narrow" w:cs="Arial"/>
                <w:color w:val="000000"/>
                <w:sz w:val="21"/>
                <w:szCs w:val="21"/>
              </w:rPr>
              <w:t>9.2</w:t>
            </w:r>
          </w:p>
        </w:tc>
      </w:tr>
      <w:tr w:rsidR="001C417C" w:rsidRPr="0013264B" w:rsidTr="0013264B">
        <w:trPr>
          <w:gridAfter w:val="1"/>
          <w:wAfter w:w="18" w:type="dxa"/>
          <w:trHeight w:val="350"/>
        </w:trPr>
        <w:tc>
          <w:tcPr>
            <w:tcW w:w="2226" w:type="dxa"/>
            <w:shd w:val="clear" w:color="auto" w:fill="auto"/>
            <w:vAlign w:val="center"/>
            <w:hideMark/>
          </w:tcPr>
          <w:p w:rsidR="001C417C" w:rsidRPr="0013264B" w:rsidRDefault="001C417C" w:rsidP="0040232F">
            <w:pPr>
              <w:spacing w:line="240" w:lineRule="auto"/>
              <w:ind w:right="33"/>
              <w:jc w:val="right"/>
              <w:rPr>
                <w:rFonts w:ascii="Arial Narrow" w:hAnsi="Arial Narrow" w:cs="Arial"/>
                <w:b/>
                <w:color w:val="000000"/>
                <w:sz w:val="21"/>
                <w:szCs w:val="21"/>
              </w:rPr>
            </w:pPr>
            <w:r w:rsidRPr="0013264B">
              <w:rPr>
                <w:rFonts w:ascii="Arial Narrow" w:hAnsi="Arial Narrow" w:cs="Arial"/>
                <w:b/>
                <w:color w:val="000000"/>
                <w:sz w:val="21"/>
                <w:szCs w:val="21"/>
              </w:rPr>
              <w:t>Moderate Poverty</w:t>
            </w:r>
          </w:p>
        </w:tc>
        <w:tc>
          <w:tcPr>
            <w:tcW w:w="1479" w:type="dxa"/>
            <w:shd w:val="clear" w:color="auto" w:fill="auto"/>
            <w:noWrap/>
            <w:vAlign w:val="center"/>
            <w:hideMark/>
          </w:tcPr>
          <w:p w:rsidR="001C417C" w:rsidRPr="0013264B" w:rsidRDefault="007B4A95" w:rsidP="0040232F">
            <w:pPr>
              <w:spacing w:line="240" w:lineRule="auto"/>
              <w:jc w:val="center"/>
              <w:rPr>
                <w:rFonts w:ascii="Arial Narrow" w:hAnsi="Arial Narrow" w:cs="Arial"/>
                <w:color w:val="000000"/>
                <w:sz w:val="21"/>
                <w:szCs w:val="21"/>
              </w:rPr>
            </w:pPr>
            <w:r w:rsidRPr="0013264B">
              <w:rPr>
                <w:rFonts w:ascii="Arial Narrow" w:hAnsi="Arial Narrow" w:cs="Arial"/>
                <w:color w:val="000000"/>
                <w:sz w:val="21"/>
                <w:szCs w:val="21"/>
              </w:rPr>
              <w:t>18.6</w:t>
            </w:r>
          </w:p>
        </w:tc>
        <w:tc>
          <w:tcPr>
            <w:tcW w:w="1350" w:type="dxa"/>
            <w:shd w:val="clear" w:color="auto" w:fill="D9D9D9" w:themeFill="background1" w:themeFillShade="D9"/>
            <w:noWrap/>
            <w:vAlign w:val="center"/>
            <w:hideMark/>
          </w:tcPr>
          <w:p w:rsidR="001C417C" w:rsidRPr="0013264B" w:rsidRDefault="007B4A95" w:rsidP="0040232F">
            <w:pPr>
              <w:spacing w:line="240" w:lineRule="auto"/>
              <w:jc w:val="center"/>
              <w:rPr>
                <w:rFonts w:ascii="Arial Narrow" w:hAnsi="Arial Narrow" w:cs="Arial"/>
                <w:color w:val="000000"/>
                <w:sz w:val="21"/>
                <w:szCs w:val="21"/>
              </w:rPr>
            </w:pPr>
            <w:r w:rsidRPr="0013264B">
              <w:rPr>
                <w:rFonts w:ascii="Arial Narrow" w:hAnsi="Arial Narrow" w:cs="Arial"/>
                <w:color w:val="000000"/>
                <w:sz w:val="21"/>
                <w:szCs w:val="21"/>
              </w:rPr>
              <w:t>70.1</w:t>
            </w:r>
          </w:p>
        </w:tc>
        <w:tc>
          <w:tcPr>
            <w:tcW w:w="1440" w:type="dxa"/>
            <w:vAlign w:val="center"/>
          </w:tcPr>
          <w:p w:rsidR="001C417C" w:rsidRPr="0013264B" w:rsidRDefault="001C417C" w:rsidP="0040232F">
            <w:pPr>
              <w:spacing w:line="240" w:lineRule="auto"/>
              <w:jc w:val="center"/>
              <w:rPr>
                <w:rFonts w:ascii="Arial Narrow" w:hAnsi="Arial Narrow" w:cs="Arial"/>
                <w:color w:val="000000"/>
                <w:sz w:val="21"/>
                <w:szCs w:val="21"/>
              </w:rPr>
            </w:pPr>
            <w:r w:rsidRPr="0013264B">
              <w:rPr>
                <w:rFonts w:ascii="Arial Narrow" w:hAnsi="Arial Narrow" w:cs="Arial"/>
                <w:color w:val="000000"/>
                <w:sz w:val="21"/>
                <w:szCs w:val="21"/>
              </w:rPr>
              <w:t>1</w:t>
            </w:r>
            <w:r w:rsidR="007B4A95" w:rsidRPr="0013264B">
              <w:rPr>
                <w:rFonts w:ascii="Arial Narrow" w:hAnsi="Arial Narrow" w:cs="Arial"/>
                <w:color w:val="000000"/>
                <w:sz w:val="21"/>
                <w:szCs w:val="21"/>
              </w:rPr>
              <w:t>1</w:t>
            </w:r>
            <w:r w:rsidRPr="0013264B">
              <w:rPr>
                <w:rFonts w:ascii="Arial Narrow" w:hAnsi="Arial Narrow" w:cs="Arial"/>
                <w:color w:val="000000"/>
                <w:sz w:val="21"/>
                <w:szCs w:val="21"/>
              </w:rPr>
              <w:t>.3</w:t>
            </w:r>
          </w:p>
        </w:tc>
      </w:tr>
      <w:tr w:rsidR="001C417C" w:rsidRPr="0013264B" w:rsidTr="0013264B">
        <w:trPr>
          <w:gridAfter w:val="1"/>
          <w:wAfter w:w="18" w:type="dxa"/>
          <w:trHeight w:val="350"/>
        </w:trPr>
        <w:tc>
          <w:tcPr>
            <w:tcW w:w="2226" w:type="dxa"/>
            <w:shd w:val="clear" w:color="auto" w:fill="auto"/>
            <w:vAlign w:val="center"/>
            <w:hideMark/>
          </w:tcPr>
          <w:p w:rsidR="001C417C" w:rsidRPr="0013264B" w:rsidRDefault="001C417C" w:rsidP="0040232F">
            <w:pPr>
              <w:spacing w:line="240" w:lineRule="auto"/>
              <w:ind w:right="33"/>
              <w:jc w:val="right"/>
              <w:rPr>
                <w:rFonts w:ascii="Arial Narrow" w:hAnsi="Arial Narrow" w:cs="Arial"/>
                <w:b/>
                <w:color w:val="000000"/>
                <w:sz w:val="21"/>
                <w:szCs w:val="21"/>
              </w:rPr>
            </w:pPr>
            <w:r w:rsidRPr="0013264B">
              <w:rPr>
                <w:rFonts w:ascii="Arial Narrow" w:hAnsi="Arial Narrow" w:cs="Arial"/>
                <w:b/>
                <w:color w:val="000000"/>
                <w:sz w:val="21"/>
                <w:szCs w:val="21"/>
              </w:rPr>
              <w:t>High Poverty</w:t>
            </w:r>
          </w:p>
        </w:tc>
        <w:tc>
          <w:tcPr>
            <w:tcW w:w="1479" w:type="dxa"/>
            <w:shd w:val="clear" w:color="auto" w:fill="auto"/>
            <w:noWrap/>
            <w:vAlign w:val="center"/>
            <w:hideMark/>
          </w:tcPr>
          <w:p w:rsidR="001C417C" w:rsidRPr="0013264B" w:rsidRDefault="007B4A95" w:rsidP="0040232F">
            <w:pPr>
              <w:spacing w:line="240" w:lineRule="auto"/>
              <w:jc w:val="center"/>
              <w:rPr>
                <w:rFonts w:ascii="Arial Narrow" w:hAnsi="Arial Narrow" w:cs="Arial"/>
                <w:color w:val="000000"/>
                <w:sz w:val="21"/>
                <w:szCs w:val="21"/>
              </w:rPr>
            </w:pPr>
            <w:r w:rsidRPr="0013264B">
              <w:rPr>
                <w:rFonts w:ascii="Arial Narrow" w:hAnsi="Arial Narrow" w:cs="Arial"/>
                <w:color w:val="000000"/>
                <w:sz w:val="21"/>
                <w:szCs w:val="21"/>
              </w:rPr>
              <w:t>8</w:t>
            </w:r>
          </w:p>
        </w:tc>
        <w:tc>
          <w:tcPr>
            <w:tcW w:w="1350" w:type="dxa"/>
            <w:shd w:val="clear" w:color="auto" w:fill="auto"/>
            <w:noWrap/>
            <w:vAlign w:val="center"/>
            <w:hideMark/>
          </w:tcPr>
          <w:p w:rsidR="001C417C" w:rsidRPr="0013264B" w:rsidRDefault="007B4A95" w:rsidP="0040232F">
            <w:pPr>
              <w:spacing w:line="240" w:lineRule="auto"/>
              <w:jc w:val="center"/>
              <w:rPr>
                <w:rFonts w:ascii="Arial Narrow" w:hAnsi="Arial Narrow" w:cs="Arial"/>
                <w:color w:val="000000"/>
                <w:sz w:val="21"/>
                <w:szCs w:val="21"/>
              </w:rPr>
            </w:pPr>
            <w:r w:rsidRPr="0013264B">
              <w:rPr>
                <w:rFonts w:ascii="Arial Narrow" w:hAnsi="Arial Narrow" w:cs="Arial"/>
                <w:color w:val="000000"/>
                <w:sz w:val="21"/>
                <w:szCs w:val="21"/>
              </w:rPr>
              <w:t>22</w:t>
            </w:r>
            <w:r w:rsidR="001C417C" w:rsidRPr="0013264B">
              <w:rPr>
                <w:rFonts w:ascii="Arial Narrow" w:hAnsi="Arial Narrow" w:cs="Arial"/>
                <w:color w:val="000000"/>
                <w:sz w:val="21"/>
                <w:szCs w:val="21"/>
              </w:rPr>
              <w:t>.</w:t>
            </w:r>
            <w:r w:rsidRPr="0013264B">
              <w:rPr>
                <w:rFonts w:ascii="Arial Narrow" w:hAnsi="Arial Narrow" w:cs="Arial"/>
                <w:color w:val="000000"/>
                <w:sz w:val="21"/>
                <w:szCs w:val="21"/>
              </w:rPr>
              <w:t>8</w:t>
            </w:r>
          </w:p>
        </w:tc>
        <w:tc>
          <w:tcPr>
            <w:tcW w:w="1440" w:type="dxa"/>
            <w:shd w:val="clear" w:color="auto" w:fill="D9D9D9" w:themeFill="background1" w:themeFillShade="D9"/>
            <w:vAlign w:val="center"/>
          </w:tcPr>
          <w:p w:rsidR="001C417C" w:rsidRPr="0013264B" w:rsidRDefault="007B4A95" w:rsidP="0040232F">
            <w:pPr>
              <w:spacing w:line="240" w:lineRule="auto"/>
              <w:jc w:val="center"/>
              <w:rPr>
                <w:rFonts w:ascii="Arial Narrow" w:hAnsi="Arial Narrow" w:cs="Arial"/>
                <w:color w:val="000000"/>
                <w:sz w:val="21"/>
                <w:szCs w:val="21"/>
              </w:rPr>
            </w:pPr>
            <w:r w:rsidRPr="0013264B">
              <w:rPr>
                <w:rFonts w:ascii="Arial Narrow" w:hAnsi="Arial Narrow" w:cs="Arial"/>
                <w:color w:val="000000"/>
                <w:sz w:val="21"/>
                <w:szCs w:val="21"/>
              </w:rPr>
              <w:t>69.2</w:t>
            </w:r>
          </w:p>
        </w:tc>
      </w:tr>
    </w:tbl>
    <w:p w:rsidR="001C417C" w:rsidRDefault="001C417C" w:rsidP="0040232F">
      <w:pPr>
        <w:spacing w:line="240" w:lineRule="auto"/>
      </w:pPr>
    </w:p>
    <w:p w:rsidR="00ED34CC" w:rsidRDefault="00ED34CC" w:rsidP="0040232F">
      <w:pPr>
        <w:spacing w:line="240" w:lineRule="auto"/>
        <w:rPr>
          <w:rFonts w:ascii="Arial" w:hAnsi="Arial" w:cs="Arial"/>
          <w:b/>
          <w:bCs/>
          <w:kern w:val="32"/>
          <w:sz w:val="32"/>
          <w:szCs w:val="32"/>
        </w:rPr>
      </w:pPr>
      <w:r>
        <w:br w:type="page"/>
      </w:r>
    </w:p>
    <w:p w:rsidR="00A52146" w:rsidRPr="00B0244A" w:rsidRDefault="00A52146" w:rsidP="0040232F">
      <w:pPr>
        <w:pStyle w:val="Heading1"/>
      </w:pPr>
      <w:bookmarkStart w:id="17" w:name="_Toc374114893"/>
      <w:r w:rsidRPr="009B4E93">
        <w:t xml:space="preserve">Lessons for Massachusetts </w:t>
      </w:r>
      <w:r>
        <w:t xml:space="preserve">&amp; </w:t>
      </w:r>
      <w:r w:rsidRPr="009B4E93">
        <w:t xml:space="preserve">Directions for </w:t>
      </w:r>
      <w:r>
        <w:t xml:space="preserve">Future </w:t>
      </w:r>
      <w:r w:rsidRPr="009B4E93">
        <w:t>Research</w:t>
      </w:r>
      <w:bookmarkEnd w:id="17"/>
    </w:p>
    <w:p w:rsidR="001960C7" w:rsidRPr="00C84CF4" w:rsidRDefault="00A52146" w:rsidP="0040232F">
      <w:pPr>
        <w:spacing w:line="240" w:lineRule="auto"/>
        <w:contextualSpacing/>
        <w:rPr>
          <w:rFonts w:ascii="Times New Roman" w:hAnsi="Times New Roman"/>
        </w:rPr>
      </w:pPr>
      <w:r w:rsidRPr="00C84CF4">
        <w:rPr>
          <w:rFonts w:ascii="Times New Roman" w:hAnsi="Times New Roman"/>
        </w:rPr>
        <w:t>We draw several lessons from the data in this report</w:t>
      </w:r>
      <w:r w:rsidR="00D4408B" w:rsidRPr="00C84CF4">
        <w:rPr>
          <w:rFonts w:ascii="Times New Roman" w:hAnsi="Times New Roman"/>
        </w:rPr>
        <w:t>,</w:t>
      </w:r>
      <w:r w:rsidRPr="00C84CF4">
        <w:rPr>
          <w:rFonts w:ascii="Times New Roman" w:hAnsi="Times New Roman"/>
        </w:rPr>
        <w:t xml:space="preserve"> but there </w:t>
      </w:r>
      <w:r w:rsidR="00D4408B" w:rsidRPr="00C84CF4">
        <w:rPr>
          <w:rFonts w:ascii="Times New Roman" w:hAnsi="Times New Roman"/>
        </w:rPr>
        <w:t>is still much to learn about the distribution, effectiveness</w:t>
      </w:r>
      <w:r w:rsidR="00F25808">
        <w:rPr>
          <w:rFonts w:ascii="Times New Roman" w:hAnsi="Times New Roman"/>
        </w:rPr>
        <w:t>,</w:t>
      </w:r>
      <w:r w:rsidR="00D4408B" w:rsidRPr="00C84CF4">
        <w:rPr>
          <w:rFonts w:ascii="Times New Roman" w:hAnsi="Times New Roman"/>
        </w:rPr>
        <w:t xml:space="preserve"> and retention of educators in Massachusetts.</w:t>
      </w:r>
      <w:r w:rsidRPr="00C84CF4">
        <w:rPr>
          <w:rFonts w:ascii="Times New Roman" w:hAnsi="Times New Roman"/>
        </w:rPr>
        <w:t xml:space="preserve"> </w:t>
      </w:r>
      <w:r w:rsidR="00D4408B" w:rsidRPr="00C84CF4">
        <w:rPr>
          <w:rFonts w:ascii="Times New Roman" w:hAnsi="Times New Roman"/>
        </w:rPr>
        <w:t xml:space="preserve">Additional </w:t>
      </w:r>
      <w:r w:rsidRPr="00C84CF4">
        <w:rPr>
          <w:rFonts w:ascii="Times New Roman" w:hAnsi="Times New Roman"/>
        </w:rPr>
        <w:t xml:space="preserve">analyses </w:t>
      </w:r>
      <w:r w:rsidR="00D4408B" w:rsidRPr="00C84CF4">
        <w:rPr>
          <w:rFonts w:ascii="Times New Roman" w:hAnsi="Times New Roman"/>
        </w:rPr>
        <w:t>of this data can</w:t>
      </w:r>
      <w:r w:rsidRPr="00C84CF4">
        <w:rPr>
          <w:rFonts w:ascii="Times New Roman" w:hAnsi="Times New Roman"/>
        </w:rPr>
        <w:t xml:space="preserve"> better inform policies and programs that impact Massachusetts educators and the students they teach</w:t>
      </w:r>
      <w:r w:rsidR="008A7E0D" w:rsidRPr="00C84CF4">
        <w:rPr>
          <w:rFonts w:ascii="Times New Roman" w:hAnsi="Times New Roman"/>
        </w:rPr>
        <w:t xml:space="preserve">. Below, we outline key lessons for policymakers and educators and </w:t>
      </w:r>
      <w:r w:rsidR="001960C7" w:rsidRPr="00C84CF4">
        <w:rPr>
          <w:rFonts w:ascii="Times New Roman" w:hAnsi="Times New Roman"/>
        </w:rPr>
        <w:t>a research agenda that will provide even greater insight into the teacher workforce in Massachusetts.</w:t>
      </w:r>
    </w:p>
    <w:p w:rsidR="00A52146" w:rsidRDefault="00A52146" w:rsidP="0040232F">
      <w:pPr>
        <w:spacing w:line="240" w:lineRule="auto"/>
        <w:contextualSpacing/>
      </w:pPr>
    </w:p>
    <w:p w:rsidR="00A52146" w:rsidRDefault="00DF14A9" w:rsidP="0013264B">
      <w:pPr>
        <w:pStyle w:val="Heading2"/>
      </w:pPr>
      <w:r>
        <w:t>Routes to Teaching</w:t>
      </w:r>
    </w:p>
    <w:p w:rsidR="00A52146" w:rsidRPr="00C84CF4" w:rsidRDefault="00A52146" w:rsidP="0040232F">
      <w:pPr>
        <w:spacing w:line="240" w:lineRule="auto"/>
        <w:rPr>
          <w:rFonts w:ascii="Times New Roman" w:hAnsi="Times New Roman"/>
        </w:rPr>
      </w:pPr>
      <w:r w:rsidRPr="00C84CF4">
        <w:rPr>
          <w:rFonts w:ascii="Times New Roman" w:hAnsi="Times New Roman"/>
        </w:rPr>
        <w:t xml:space="preserve">Forty percent of the 4,734 teacher preparation program completers in </w:t>
      </w:r>
      <w:r w:rsidR="00F25808">
        <w:rPr>
          <w:rFonts w:ascii="Times New Roman" w:hAnsi="Times New Roman"/>
        </w:rPr>
        <w:t xml:space="preserve">the </w:t>
      </w:r>
      <w:r w:rsidRPr="00C84CF4">
        <w:rPr>
          <w:rFonts w:ascii="Times New Roman" w:hAnsi="Times New Roman"/>
        </w:rPr>
        <w:t>201</w:t>
      </w:r>
      <w:r w:rsidR="0026627D" w:rsidRPr="00C84CF4">
        <w:rPr>
          <w:rFonts w:ascii="Times New Roman" w:hAnsi="Times New Roman"/>
        </w:rPr>
        <w:t>1-2012</w:t>
      </w:r>
      <w:r w:rsidR="00F25808">
        <w:rPr>
          <w:rFonts w:ascii="Times New Roman" w:hAnsi="Times New Roman"/>
        </w:rPr>
        <w:t xml:space="preserve"> school year</w:t>
      </w:r>
      <w:r w:rsidRPr="00C84CF4">
        <w:rPr>
          <w:rFonts w:ascii="Times New Roman" w:hAnsi="Times New Roman"/>
        </w:rPr>
        <w:t xml:space="preserve"> were not hired in the state, yet a quarter of first-year teachers in Massachusetts hold a preliminary license</w:t>
      </w:r>
      <w:r w:rsidR="00D4408B" w:rsidRPr="00C84CF4">
        <w:rPr>
          <w:rFonts w:ascii="Times New Roman" w:hAnsi="Times New Roman"/>
        </w:rPr>
        <w:t xml:space="preserve"> and 629 waivers were issued for teachers teaching without the proper license</w:t>
      </w:r>
      <w:r w:rsidRPr="00C84CF4">
        <w:rPr>
          <w:rFonts w:ascii="Times New Roman" w:hAnsi="Times New Roman"/>
        </w:rPr>
        <w:t xml:space="preserve">. Given that the average distance from a teacher’s preparation program to his or her first job is just 21 miles, closer partnerships between preparation programs and neighboring districts </w:t>
      </w:r>
      <w:r w:rsidR="00A86108" w:rsidRPr="00C84CF4">
        <w:rPr>
          <w:rFonts w:ascii="Times New Roman" w:hAnsi="Times New Roman"/>
        </w:rPr>
        <w:t>can</w:t>
      </w:r>
      <w:r w:rsidR="00E55103" w:rsidRPr="00C84CF4">
        <w:rPr>
          <w:rFonts w:ascii="Times New Roman" w:hAnsi="Times New Roman"/>
        </w:rPr>
        <w:t xml:space="preserve"> help </w:t>
      </w:r>
      <w:r w:rsidR="005F670B" w:rsidRPr="00C84CF4">
        <w:rPr>
          <w:rFonts w:ascii="Times New Roman" w:hAnsi="Times New Roman"/>
        </w:rPr>
        <w:t xml:space="preserve">increase </w:t>
      </w:r>
      <w:r w:rsidR="00A86108" w:rsidRPr="00C84CF4">
        <w:rPr>
          <w:rFonts w:ascii="Times New Roman" w:hAnsi="Times New Roman"/>
        </w:rPr>
        <w:t>employment rates</w:t>
      </w:r>
      <w:r w:rsidR="00E55103" w:rsidRPr="00C84CF4">
        <w:rPr>
          <w:rFonts w:ascii="Times New Roman" w:hAnsi="Times New Roman"/>
        </w:rPr>
        <w:t xml:space="preserve"> </w:t>
      </w:r>
      <w:r w:rsidR="006F0CAE" w:rsidRPr="00C84CF4">
        <w:rPr>
          <w:rFonts w:ascii="Times New Roman" w:hAnsi="Times New Roman"/>
        </w:rPr>
        <w:t xml:space="preserve">and </w:t>
      </w:r>
      <w:r w:rsidR="00D4408B" w:rsidRPr="00C84CF4">
        <w:rPr>
          <w:rFonts w:ascii="Times New Roman" w:hAnsi="Times New Roman"/>
        </w:rPr>
        <w:t>fill positions in shortage areas</w:t>
      </w:r>
      <w:r w:rsidR="006F0CAE" w:rsidRPr="00C84CF4">
        <w:rPr>
          <w:rFonts w:ascii="Times New Roman" w:hAnsi="Times New Roman"/>
        </w:rPr>
        <w:t xml:space="preserve">. This may also </w:t>
      </w:r>
      <w:r w:rsidR="00D4408B" w:rsidRPr="00C84CF4">
        <w:rPr>
          <w:rFonts w:ascii="Times New Roman" w:hAnsi="Times New Roman"/>
        </w:rPr>
        <w:t>improve the effectiveness of first-year teachers by more closely tying teachers’ preparation to the needs of the districts in which they work.</w:t>
      </w:r>
    </w:p>
    <w:p w:rsidR="00A52146" w:rsidRPr="00C84CF4" w:rsidRDefault="00A52146" w:rsidP="0040232F">
      <w:pPr>
        <w:pStyle w:val="ListParagraph"/>
        <w:numPr>
          <w:ilvl w:val="0"/>
          <w:numId w:val="19"/>
        </w:numPr>
        <w:spacing w:line="240" w:lineRule="auto"/>
        <w:rPr>
          <w:rFonts w:ascii="Times New Roman" w:hAnsi="Times New Roman"/>
        </w:rPr>
      </w:pPr>
      <w:r w:rsidRPr="00C84CF4">
        <w:rPr>
          <w:rFonts w:ascii="Times New Roman" w:hAnsi="Times New Roman"/>
        </w:rPr>
        <w:t xml:space="preserve">Additional research should assess the impact </w:t>
      </w:r>
      <w:r w:rsidR="00D4408B" w:rsidRPr="00C84CF4">
        <w:rPr>
          <w:rFonts w:ascii="Times New Roman" w:hAnsi="Times New Roman"/>
        </w:rPr>
        <w:t xml:space="preserve">on student achievement </w:t>
      </w:r>
      <w:r w:rsidRPr="00C84CF4">
        <w:rPr>
          <w:rFonts w:ascii="Times New Roman" w:hAnsi="Times New Roman"/>
        </w:rPr>
        <w:t xml:space="preserve">of having a teacher with a preliminary license versus </w:t>
      </w:r>
      <w:r w:rsidR="00D1505B" w:rsidRPr="00C84CF4">
        <w:rPr>
          <w:rFonts w:ascii="Times New Roman" w:hAnsi="Times New Roman"/>
        </w:rPr>
        <w:t>having a teacher with an</w:t>
      </w:r>
      <w:r w:rsidRPr="00C84CF4">
        <w:rPr>
          <w:rFonts w:ascii="Times New Roman" w:hAnsi="Times New Roman"/>
        </w:rPr>
        <w:t xml:space="preserve"> initial license</w:t>
      </w:r>
      <w:r w:rsidR="00D4408B" w:rsidRPr="00C84CF4">
        <w:rPr>
          <w:rFonts w:ascii="Times New Roman" w:hAnsi="Times New Roman"/>
        </w:rPr>
        <w:t>. This will help</w:t>
      </w:r>
      <w:r w:rsidRPr="00C84CF4">
        <w:rPr>
          <w:rFonts w:ascii="Times New Roman" w:hAnsi="Times New Roman"/>
        </w:rPr>
        <w:t xml:space="preserve"> to determine whether the sizeable population </w:t>
      </w:r>
      <w:r w:rsidR="00D4408B" w:rsidRPr="00C84CF4">
        <w:rPr>
          <w:rFonts w:ascii="Times New Roman" w:hAnsi="Times New Roman"/>
        </w:rPr>
        <w:t xml:space="preserve">of new teachers with a preliminary license </w:t>
      </w:r>
      <w:r w:rsidR="00E55103" w:rsidRPr="00C84CF4">
        <w:rPr>
          <w:rFonts w:ascii="Times New Roman" w:hAnsi="Times New Roman"/>
        </w:rPr>
        <w:t>makes a difference in</w:t>
      </w:r>
      <w:r w:rsidR="00D4408B" w:rsidRPr="00C84CF4">
        <w:rPr>
          <w:rFonts w:ascii="Times New Roman" w:hAnsi="Times New Roman"/>
        </w:rPr>
        <w:t xml:space="preserve"> student performance</w:t>
      </w:r>
      <w:r w:rsidRPr="00C84CF4">
        <w:rPr>
          <w:rFonts w:ascii="Times New Roman" w:hAnsi="Times New Roman"/>
        </w:rPr>
        <w:t>.</w:t>
      </w:r>
    </w:p>
    <w:p w:rsidR="00DF14A9" w:rsidRPr="00C84CF4" w:rsidRDefault="00DF14A9" w:rsidP="0040232F">
      <w:pPr>
        <w:pStyle w:val="ListParagraph"/>
        <w:numPr>
          <w:ilvl w:val="0"/>
          <w:numId w:val="19"/>
        </w:numPr>
        <w:spacing w:line="240" w:lineRule="auto"/>
        <w:rPr>
          <w:rFonts w:ascii="Times New Roman" w:hAnsi="Times New Roman"/>
        </w:rPr>
      </w:pPr>
      <w:r w:rsidRPr="00C84CF4">
        <w:rPr>
          <w:rFonts w:ascii="Times New Roman" w:hAnsi="Times New Roman"/>
        </w:rPr>
        <w:t xml:space="preserve">Further analysis </w:t>
      </w:r>
      <w:r w:rsidR="00766885" w:rsidRPr="00C84CF4">
        <w:rPr>
          <w:rFonts w:ascii="Times New Roman" w:hAnsi="Times New Roman"/>
        </w:rPr>
        <w:t xml:space="preserve">may examine </w:t>
      </w:r>
      <w:r w:rsidRPr="00C84CF4">
        <w:rPr>
          <w:rFonts w:ascii="Times New Roman" w:hAnsi="Times New Roman"/>
        </w:rPr>
        <w:t>the reasons why teacher shortages exist to determine if it is due to</w:t>
      </w:r>
      <w:r w:rsidR="00766885" w:rsidRPr="00C84CF4">
        <w:rPr>
          <w:rFonts w:ascii="Times New Roman" w:hAnsi="Times New Roman"/>
        </w:rPr>
        <w:t xml:space="preserve"> a lack of supply in certain geographic areas</w:t>
      </w:r>
      <w:r w:rsidRPr="00C84CF4">
        <w:rPr>
          <w:rFonts w:ascii="Times New Roman" w:hAnsi="Times New Roman"/>
        </w:rPr>
        <w:t>, teacher preference</w:t>
      </w:r>
      <w:r w:rsidR="00766885" w:rsidRPr="00C84CF4">
        <w:rPr>
          <w:rFonts w:ascii="Times New Roman" w:hAnsi="Times New Roman"/>
        </w:rPr>
        <w:t xml:space="preserve"> for certain subjects, or more attractive job opportunities outside the teaching profession</w:t>
      </w:r>
      <w:r w:rsidRPr="00C84CF4">
        <w:rPr>
          <w:rFonts w:ascii="Times New Roman" w:hAnsi="Times New Roman"/>
        </w:rPr>
        <w:t>.</w:t>
      </w:r>
    </w:p>
    <w:p w:rsidR="00A52146" w:rsidRPr="00C84CF4" w:rsidRDefault="00A52146" w:rsidP="0040232F">
      <w:pPr>
        <w:spacing w:line="240" w:lineRule="auto"/>
        <w:rPr>
          <w:rFonts w:ascii="Times New Roman" w:hAnsi="Times New Roman"/>
          <w:b/>
        </w:rPr>
      </w:pPr>
    </w:p>
    <w:p w:rsidR="00A52146" w:rsidRPr="00B57B39" w:rsidRDefault="00A52146" w:rsidP="0013264B">
      <w:pPr>
        <w:pStyle w:val="Heading2"/>
      </w:pPr>
      <w:r w:rsidRPr="00B57B39">
        <w:t>Students Taught by First-Year Teachers</w:t>
      </w:r>
    </w:p>
    <w:p w:rsidR="00A52146" w:rsidRPr="00C84CF4" w:rsidRDefault="00A52146" w:rsidP="0040232F">
      <w:pPr>
        <w:spacing w:line="240" w:lineRule="auto"/>
        <w:rPr>
          <w:rFonts w:ascii="Times New Roman" w:hAnsi="Times New Roman"/>
        </w:rPr>
      </w:pPr>
      <w:r w:rsidRPr="00C84CF4">
        <w:rPr>
          <w:rFonts w:ascii="Times New Roman" w:hAnsi="Times New Roman"/>
        </w:rPr>
        <w:t>High</w:t>
      </w:r>
      <w:r w:rsidR="00F25808">
        <w:rPr>
          <w:rFonts w:ascii="Times New Roman" w:hAnsi="Times New Roman"/>
        </w:rPr>
        <w:t>-</w:t>
      </w:r>
      <w:r w:rsidRPr="00C84CF4">
        <w:rPr>
          <w:rFonts w:ascii="Times New Roman" w:hAnsi="Times New Roman"/>
        </w:rPr>
        <w:t xml:space="preserve">poverty schools and Level 4 schools hire a disproportionately large share of first-year teachers. First-year teachers are also more likely to be assigned students who enter their classroom academically behind. </w:t>
      </w:r>
      <w:r w:rsidR="00B27294" w:rsidRPr="00C84CF4">
        <w:rPr>
          <w:rFonts w:ascii="Times New Roman" w:hAnsi="Times New Roman"/>
        </w:rPr>
        <w:t>And yet, on average</w:t>
      </w:r>
      <w:r w:rsidR="00E55103" w:rsidRPr="00C84CF4">
        <w:rPr>
          <w:rFonts w:ascii="Times New Roman" w:hAnsi="Times New Roman"/>
        </w:rPr>
        <w:t>,</w:t>
      </w:r>
      <w:r w:rsidR="00B27294" w:rsidRPr="00C84CF4">
        <w:rPr>
          <w:rFonts w:ascii="Times New Roman" w:hAnsi="Times New Roman"/>
        </w:rPr>
        <w:t xml:space="preserve"> students taught by first-year teachers see lower academic growth than students taught by more experienced teachers. </w:t>
      </w:r>
      <w:r w:rsidRPr="00C84CF4">
        <w:rPr>
          <w:rFonts w:ascii="Times New Roman" w:hAnsi="Times New Roman"/>
        </w:rPr>
        <w:t xml:space="preserve">While the quality of new teachers can vary greatly, the state should ensure that </w:t>
      </w:r>
      <w:r w:rsidR="00F25808" w:rsidRPr="00C84CF4">
        <w:rPr>
          <w:rFonts w:ascii="Times New Roman" w:hAnsi="Times New Roman"/>
        </w:rPr>
        <w:t xml:space="preserve">students </w:t>
      </w:r>
      <w:r w:rsidR="00F25808">
        <w:rPr>
          <w:rFonts w:ascii="Times New Roman" w:hAnsi="Times New Roman"/>
        </w:rPr>
        <w:t xml:space="preserve">with </w:t>
      </w:r>
      <w:r w:rsidRPr="00C84CF4">
        <w:rPr>
          <w:rFonts w:ascii="Times New Roman" w:hAnsi="Times New Roman"/>
        </w:rPr>
        <w:t xml:space="preserve">the highest need have access to teachers with adequate </w:t>
      </w:r>
      <w:r w:rsidR="00477B50" w:rsidRPr="00C84CF4">
        <w:rPr>
          <w:rFonts w:ascii="Times New Roman" w:hAnsi="Times New Roman"/>
        </w:rPr>
        <w:t xml:space="preserve">preparation and </w:t>
      </w:r>
      <w:r w:rsidRPr="00C84CF4">
        <w:rPr>
          <w:rFonts w:ascii="Times New Roman" w:hAnsi="Times New Roman"/>
        </w:rPr>
        <w:t>experience to</w:t>
      </w:r>
      <w:r w:rsidR="00B27294" w:rsidRPr="00C84CF4">
        <w:rPr>
          <w:rFonts w:ascii="Times New Roman" w:hAnsi="Times New Roman"/>
        </w:rPr>
        <w:t xml:space="preserve"> help them succeed academically. </w:t>
      </w:r>
    </w:p>
    <w:p w:rsidR="00EA3887" w:rsidRPr="00EA3887" w:rsidRDefault="00EA3887" w:rsidP="00EA3887">
      <w:pPr>
        <w:pStyle w:val="ListParagraph"/>
        <w:numPr>
          <w:ilvl w:val="0"/>
          <w:numId w:val="17"/>
        </w:numPr>
        <w:spacing w:line="240" w:lineRule="auto"/>
        <w:rPr>
          <w:rFonts w:ascii="Times New Roman" w:hAnsi="Times New Roman"/>
        </w:rPr>
      </w:pPr>
      <w:r w:rsidRPr="00EA3887">
        <w:rPr>
          <w:rFonts w:ascii="Times New Roman" w:hAnsi="Times New Roman"/>
        </w:rPr>
        <w:t>Future work in this area should explore the extent to which lower-performing students are consistently assigned to first-year teachers year after year and the effects of having multiple first-year teachers on student achievement.</w:t>
      </w:r>
    </w:p>
    <w:p w:rsidR="00AE3FBA" w:rsidRPr="00C84CF4" w:rsidRDefault="00AE3FBA" w:rsidP="0040232F">
      <w:pPr>
        <w:pStyle w:val="ListParagraph"/>
        <w:numPr>
          <w:ilvl w:val="0"/>
          <w:numId w:val="17"/>
        </w:numPr>
        <w:spacing w:line="240" w:lineRule="auto"/>
        <w:rPr>
          <w:rFonts w:ascii="Times New Roman" w:hAnsi="Times New Roman"/>
        </w:rPr>
      </w:pPr>
      <w:r w:rsidRPr="00AE3FBA">
        <w:rPr>
          <w:rFonts w:ascii="Times New Roman" w:hAnsi="Times New Roman"/>
        </w:rPr>
        <w:t>Researchers should explore the types of support and mentorship provided to first-year teachers and its effect on the academic growth of their students.</w:t>
      </w:r>
    </w:p>
    <w:p w:rsidR="00A259E0" w:rsidRDefault="00A259E0" w:rsidP="0040232F">
      <w:pPr>
        <w:pStyle w:val="ListParagraph"/>
        <w:spacing w:line="240" w:lineRule="auto"/>
        <w:ind w:left="0"/>
        <w:rPr>
          <w:b/>
        </w:rPr>
      </w:pPr>
    </w:p>
    <w:p w:rsidR="00DF1EFD" w:rsidRDefault="00DF1EFD" w:rsidP="0040232F">
      <w:pPr>
        <w:pStyle w:val="ListParagraph"/>
        <w:spacing w:line="240" w:lineRule="auto"/>
        <w:ind w:left="0"/>
        <w:rPr>
          <w:b/>
        </w:rPr>
      </w:pPr>
    </w:p>
    <w:p w:rsidR="00DF1EFD" w:rsidRDefault="00DF1EFD" w:rsidP="0040232F">
      <w:pPr>
        <w:pStyle w:val="ListParagraph"/>
        <w:spacing w:line="240" w:lineRule="auto"/>
        <w:ind w:left="0"/>
        <w:rPr>
          <w:b/>
        </w:rPr>
      </w:pPr>
    </w:p>
    <w:p w:rsidR="00A52146" w:rsidRDefault="00A52146" w:rsidP="0013264B">
      <w:pPr>
        <w:pStyle w:val="Heading2"/>
      </w:pPr>
      <w:r>
        <w:t>Retention Rates of First-Year Teachers</w:t>
      </w:r>
    </w:p>
    <w:p w:rsidR="00A52146" w:rsidRPr="00C84CF4" w:rsidRDefault="00A52146" w:rsidP="0040232F">
      <w:pPr>
        <w:spacing w:line="240" w:lineRule="auto"/>
        <w:rPr>
          <w:rFonts w:ascii="Times New Roman" w:hAnsi="Times New Roman"/>
        </w:rPr>
      </w:pPr>
      <w:r w:rsidRPr="00C84CF4">
        <w:rPr>
          <w:rFonts w:ascii="Times New Roman" w:hAnsi="Times New Roman"/>
        </w:rPr>
        <w:t xml:space="preserve">First-year teacher retention rates are consistently lower than experienced teacher retention rates. However, the higher turnover among teachers with low median student growth scores indicates that principals </w:t>
      </w:r>
      <w:r w:rsidR="0072078C" w:rsidRPr="00C84CF4">
        <w:rPr>
          <w:rFonts w:ascii="Times New Roman" w:hAnsi="Times New Roman"/>
        </w:rPr>
        <w:t>may be</w:t>
      </w:r>
      <w:r w:rsidRPr="00C84CF4">
        <w:rPr>
          <w:rFonts w:ascii="Times New Roman" w:hAnsi="Times New Roman"/>
        </w:rPr>
        <w:t xml:space="preserve"> differentiating among teachers in retention and/or that less effective teachers are selecting out of the profession. </w:t>
      </w:r>
      <w:r w:rsidR="00477B50" w:rsidRPr="00C84CF4">
        <w:rPr>
          <w:rFonts w:ascii="Times New Roman" w:hAnsi="Times New Roman"/>
        </w:rPr>
        <w:t>Still, high turnover can disrupt the functioning of learning communities and be detrimental to student achievement, particularly for schools with lower academic achievement</w:t>
      </w:r>
      <w:r w:rsidRPr="00C84CF4">
        <w:rPr>
          <w:rFonts w:ascii="Times New Roman" w:hAnsi="Times New Roman"/>
        </w:rPr>
        <w:t>.</w:t>
      </w:r>
      <w:r w:rsidR="00477B50" w:rsidRPr="00C84CF4">
        <w:rPr>
          <w:rFonts w:ascii="Times New Roman" w:hAnsi="Times New Roman"/>
        </w:rPr>
        <w:t xml:space="preserve"> </w:t>
      </w:r>
    </w:p>
    <w:p w:rsidR="00A52146" w:rsidRPr="00C84CF4" w:rsidRDefault="00A52146" w:rsidP="0040232F">
      <w:pPr>
        <w:pStyle w:val="ListParagraph"/>
        <w:numPr>
          <w:ilvl w:val="0"/>
          <w:numId w:val="17"/>
        </w:numPr>
        <w:spacing w:line="240" w:lineRule="auto"/>
        <w:rPr>
          <w:rFonts w:ascii="Times New Roman" w:hAnsi="Times New Roman"/>
        </w:rPr>
      </w:pPr>
      <w:r w:rsidRPr="00C84CF4">
        <w:rPr>
          <w:rFonts w:ascii="Times New Roman" w:hAnsi="Times New Roman"/>
        </w:rPr>
        <w:t>Researchers can seek to understand why teachers leave the profession and why they leave Level 4 and high poverty schools at a higher rate than other schools.</w:t>
      </w:r>
    </w:p>
    <w:p w:rsidR="00A52146" w:rsidRPr="00C84CF4" w:rsidRDefault="001960C7" w:rsidP="0040232F">
      <w:pPr>
        <w:pStyle w:val="ListParagraph"/>
        <w:numPr>
          <w:ilvl w:val="0"/>
          <w:numId w:val="17"/>
        </w:numPr>
        <w:spacing w:line="240" w:lineRule="auto"/>
        <w:rPr>
          <w:rFonts w:ascii="Times New Roman" w:hAnsi="Times New Roman"/>
        </w:rPr>
      </w:pPr>
      <w:r w:rsidRPr="00C84CF4">
        <w:rPr>
          <w:rFonts w:ascii="Times New Roman" w:hAnsi="Times New Roman"/>
        </w:rPr>
        <w:t>F</w:t>
      </w:r>
      <w:r w:rsidR="00A52146" w:rsidRPr="00C84CF4">
        <w:rPr>
          <w:rFonts w:ascii="Times New Roman" w:hAnsi="Times New Roman"/>
        </w:rPr>
        <w:t xml:space="preserve">uture research </w:t>
      </w:r>
      <w:r w:rsidRPr="00C84CF4">
        <w:rPr>
          <w:rFonts w:ascii="Times New Roman" w:hAnsi="Times New Roman"/>
        </w:rPr>
        <w:t>should</w:t>
      </w:r>
      <w:r w:rsidR="00A52146" w:rsidRPr="00C84CF4">
        <w:rPr>
          <w:rFonts w:ascii="Times New Roman" w:hAnsi="Times New Roman"/>
        </w:rPr>
        <w:t xml:space="preserve"> include teacher evaluation ratings in addition to growth scores to assess the </w:t>
      </w:r>
      <w:r w:rsidRPr="00C84CF4">
        <w:rPr>
          <w:rFonts w:ascii="Times New Roman" w:hAnsi="Times New Roman"/>
        </w:rPr>
        <w:t>effectiveness</w:t>
      </w:r>
      <w:r w:rsidR="00A52146" w:rsidRPr="00C84CF4">
        <w:rPr>
          <w:rFonts w:ascii="Times New Roman" w:hAnsi="Times New Roman"/>
        </w:rPr>
        <w:t xml:space="preserve"> of teachers who leave versus those who remain in teaching. </w:t>
      </w:r>
    </w:p>
    <w:p w:rsidR="00A52146" w:rsidRPr="00C84CF4" w:rsidRDefault="00A52146" w:rsidP="0040232F">
      <w:pPr>
        <w:spacing w:line="240" w:lineRule="auto"/>
        <w:rPr>
          <w:rFonts w:ascii="Times New Roman" w:hAnsi="Times New Roman"/>
        </w:rPr>
      </w:pPr>
    </w:p>
    <w:p w:rsidR="00A52146" w:rsidRDefault="00A52146" w:rsidP="0013264B">
      <w:pPr>
        <w:pStyle w:val="Heading2"/>
      </w:pPr>
      <w:r w:rsidRPr="00D56AD1">
        <w:t xml:space="preserve">Charter </w:t>
      </w:r>
      <w:r>
        <w:t>S</w:t>
      </w:r>
      <w:r w:rsidRPr="00D56AD1">
        <w:t>chools</w:t>
      </w:r>
    </w:p>
    <w:p w:rsidR="00A52146" w:rsidRPr="00C84CF4" w:rsidRDefault="00A52146" w:rsidP="0040232F">
      <w:pPr>
        <w:spacing w:line="240" w:lineRule="auto"/>
        <w:rPr>
          <w:rFonts w:ascii="Times New Roman" w:hAnsi="Times New Roman"/>
        </w:rPr>
      </w:pPr>
      <w:r w:rsidRPr="00C84CF4">
        <w:rPr>
          <w:rFonts w:ascii="Times New Roman" w:hAnsi="Times New Roman"/>
        </w:rPr>
        <w:t xml:space="preserve">There are considerable differences in </w:t>
      </w:r>
      <w:r w:rsidR="001960C7" w:rsidRPr="00C84CF4">
        <w:rPr>
          <w:rFonts w:ascii="Times New Roman" w:hAnsi="Times New Roman"/>
        </w:rPr>
        <w:t xml:space="preserve">the </w:t>
      </w:r>
      <w:r w:rsidRPr="00C84CF4">
        <w:rPr>
          <w:rFonts w:ascii="Times New Roman" w:hAnsi="Times New Roman"/>
        </w:rPr>
        <w:t xml:space="preserve">student growth </w:t>
      </w:r>
      <w:r w:rsidR="001960C7" w:rsidRPr="00C84CF4">
        <w:rPr>
          <w:rFonts w:ascii="Times New Roman" w:hAnsi="Times New Roman"/>
        </w:rPr>
        <w:t>of new teachers</w:t>
      </w:r>
      <w:r w:rsidRPr="00C84CF4">
        <w:rPr>
          <w:rFonts w:ascii="Times New Roman" w:hAnsi="Times New Roman"/>
        </w:rPr>
        <w:t xml:space="preserve"> in charter schools</w:t>
      </w:r>
      <w:r w:rsidR="001960C7" w:rsidRPr="00C84CF4">
        <w:rPr>
          <w:rFonts w:ascii="Times New Roman" w:hAnsi="Times New Roman"/>
        </w:rPr>
        <w:t xml:space="preserve">, compared with </w:t>
      </w:r>
      <w:r w:rsidRPr="00C84CF4">
        <w:rPr>
          <w:rFonts w:ascii="Times New Roman" w:hAnsi="Times New Roman"/>
        </w:rPr>
        <w:t xml:space="preserve">non-charter </w:t>
      </w:r>
      <w:r w:rsidR="001960C7" w:rsidRPr="00C84CF4">
        <w:rPr>
          <w:rFonts w:ascii="Times New Roman" w:hAnsi="Times New Roman"/>
        </w:rPr>
        <w:t xml:space="preserve">public </w:t>
      </w:r>
      <w:r w:rsidRPr="00C84CF4">
        <w:rPr>
          <w:rFonts w:ascii="Times New Roman" w:hAnsi="Times New Roman"/>
        </w:rPr>
        <w:t xml:space="preserve">schools. </w:t>
      </w:r>
      <w:r w:rsidR="001960C7" w:rsidRPr="00C84CF4">
        <w:rPr>
          <w:rFonts w:ascii="Times New Roman" w:hAnsi="Times New Roman"/>
        </w:rPr>
        <w:t>Therefore, the state should look to charter schools for lessons on increasing the effectiveness of first-year teachers</w:t>
      </w:r>
      <w:r w:rsidR="006F0CAE" w:rsidRPr="00C84CF4">
        <w:rPr>
          <w:rFonts w:ascii="Times New Roman" w:hAnsi="Times New Roman"/>
        </w:rPr>
        <w:t>.</w:t>
      </w:r>
      <w:r w:rsidR="005E68D5" w:rsidRPr="00C84CF4">
        <w:rPr>
          <w:rFonts w:ascii="Times New Roman" w:hAnsi="Times New Roman"/>
        </w:rPr>
        <w:t xml:space="preserve"> </w:t>
      </w:r>
    </w:p>
    <w:p w:rsidR="009466DE" w:rsidRPr="00C84CF4" w:rsidRDefault="00A52146" w:rsidP="0040232F">
      <w:pPr>
        <w:pStyle w:val="ListParagraph"/>
        <w:numPr>
          <w:ilvl w:val="0"/>
          <w:numId w:val="20"/>
        </w:numPr>
        <w:spacing w:line="240" w:lineRule="auto"/>
        <w:rPr>
          <w:rFonts w:ascii="Times New Roman" w:hAnsi="Times New Roman"/>
        </w:rPr>
      </w:pPr>
      <w:r w:rsidRPr="00C84CF4">
        <w:rPr>
          <w:rFonts w:ascii="Times New Roman" w:hAnsi="Times New Roman"/>
        </w:rPr>
        <w:t xml:space="preserve">Researchers may explore the types of support and training charter schools implement </w:t>
      </w:r>
      <w:r w:rsidR="00B32B59" w:rsidRPr="00C84CF4">
        <w:rPr>
          <w:rFonts w:ascii="Times New Roman" w:hAnsi="Times New Roman"/>
        </w:rPr>
        <w:t>for teachers and academic supports provided to students, both of which</w:t>
      </w:r>
      <w:r w:rsidRPr="00C84CF4">
        <w:rPr>
          <w:rFonts w:ascii="Times New Roman" w:hAnsi="Times New Roman"/>
        </w:rPr>
        <w:t xml:space="preserve"> may impact the relatively high </w:t>
      </w:r>
      <w:r w:rsidR="00AE3FBA">
        <w:rPr>
          <w:rFonts w:ascii="Times New Roman" w:hAnsi="Times New Roman"/>
        </w:rPr>
        <w:t>median</w:t>
      </w:r>
      <w:r w:rsidRPr="00C84CF4">
        <w:rPr>
          <w:rFonts w:ascii="Times New Roman" w:hAnsi="Times New Roman"/>
        </w:rPr>
        <w:t xml:space="preserve"> SGP </w:t>
      </w:r>
      <w:r w:rsidR="00AE3FBA">
        <w:rPr>
          <w:rFonts w:ascii="Times New Roman" w:hAnsi="Times New Roman"/>
        </w:rPr>
        <w:t>of</w:t>
      </w:r>
      <w:r w:rsidRPr="00C84CF4">
        <w:rPr>
          <w:rFonts w:ascii="Times New Roman" w:hAnsi="Times New Roman"/>
        </w:rPr>
        <w:t xml:space="preserve"> new teachers.</w:t>
      </w:r>
    </w:p>
    <w:p w:rsidR="0066430E" w:rsidRPr="00C84CF4" w:rsidRDefault="0066430E" w:rsidP="00B32B59">
      <w:pPr>
        <w:spacing w:line="276" w:lineRule="auto"/>
        <w:rPr>
          <w:rFonts w:ascii="Times New Roman" w:hAnsi="Times New Roman"/>
        </w:rPr>
      </w:pPr>
    </w:p>
    <w:p w:rsidR="00B32B59" w:rsidRDefault="00B32B59" w:rsidP="00B32B59">
      <w:pPr>
        <w:pStyle w:val="ListParagraph"/>
      </w:pPr>
    </w:p>
    <w:sectPr w:rsidR="00B32B59" w:rsidSect="00B616AF">
      <w:footerReference w:type="default" r:id="rId40"/>
      <w:pgSz w:w="12240" w:h="15840"/>
      <w:pgMar w:top="1440" w:right="1440" w:bottom="446"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849" w:rsidRDefault="00BE6849" w:rsidP="00FD2C86">
      <w:r>
        <w:separator/>
      </w:r>
    </w:p>
  </w:endnote>
  <w:endnote w:type="continuationSeparator" w:id="0">
    <w:p w:rsidR="00BE6849" w:rsidRDefault="00BE6849"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FF565820t00">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B53" w:rsidRDefault="00DB7B53" w:rsidP="00D674EF">
    <w:pPr>
      <w:pStyle w:val="Footer"/>
    </w:pPr>
    <w:r>
      <w:tab/>
    </w:r>
    <w:r w:rsidR="003448C8">
      <w:fldChar w:fldCharType="begin"/>
    </w:r>
    <w:r w:rsidR="00A26A5D">
      <w:instrText xml:space="preserve"> PAGE   \* MERGEFORMAT </w:instrText>
    </w:r>
    <w:r w:rsidR="003448C8">
      <w:fldChar w:fldCharType="separate"/>
    </w:r>
    <w:r w:rsidR="00303CF2">
      <w:rPr>
        <w:noProof/>
      </w:rPr>
      <w:t>38</w:t>
    </w:r>
    <w:r w:rsidR="003448C8">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849" w:rsidRDefault="00BE6849" w:rsidP="00FD2C86">
      <w:r>
        <w:separator/>
      </w:r>
    </w:p>
  </w:footnote>
  <w:footnote w:type="continuationSeparator" w:id="0">
    <w:p w:rsidR="00BE6849" w:rsidRDefault="00BE6849" w:rsidP="00FD2C86">
      <w:r>
        <w:continuationSeparator/>
      </w:r>
    </w:p>
  </w:footnote>
  <w:footnote w:id="1">
    <w:p w:rsidR="00DB7B53" w:rsidRPr="00625453" w:rsidRDefault="00DB7B53" w:rsidP="00625453">
      <w:pPr>
        <w:pStyle w:val="FootnoteText"/>
        <w:spacing w:line="240" w:lineRule="auto"/>
        <w:rPr>
          <w:rFonts w:ascii="Times New Roman" w:hAnsi="Times New Roman"/>
        </w:rPr>
      </w:pPr>
      <w:r w:rsidRPr="00625453">
        <w:rPr>
          <w:rStyle w:val="FootnoteReference"/>
          <w:rFonts w:ascii="Times New Roman" w:hAnsi="Times New Roman"/>
        </w:rPr>
        <w:footnoteRef/>
      </w:r>
      <w:r w:rsidRPr="00625453">
        <w:rPr>
          <w:rFonts w:ascii="Times New Roman" w:hAnsi="Times New Roman"/>
        </w:rPr>
        <w:t xml:space="preserve"> We report a head count of all individuals in the EPIMS database, regardless of FTE hours. ESE’s School and District Profiles report employee FTEs, therefore the numbers in this report will differ slightly from ESE Profiles data.</w:t>
      </w:r>
    </w:p>
  </w:footnote>
  <w:footnote w:id="2">
    <w:p w:rsidR="00DB7B53" w:rsidRPr="00997102" w:rsidRDefault="00DB7B53" w:rsidP="00997102">
      <w:pPr>
        <w:spacing w:line="240" w:lineRule="auto"/>
        <w:rPr>
          <w:rFonts w:ascii="Times New Roman" w:hAnsi="Times New Roman"/>
          <w:sz w:val="20"/>
          <w:szCs w:val="20"/>
        </w:rPr>
      </w:pPr>
      <w:r w:rsidRPr="00997102">
        <w:rPr>
          <w:rStyle w:val="FootnoteReference"/>
        </w:rPr>
        <w:t xml:space="preserve">2 </w:t>
      </w:r>
      <w:r w:rsidRPr="00997102">
        <w:rPr>
          <w:rFonts w:ascii="Times New Roman" w:hAnsi="Times New Roman"/>
          <w:sz w:val="20"/>
          <w:szCs w:val="20"/>
        </w:rPr>
        <w:t xml:space="preserve">For more information about the EPIMS data collection and variables, please see: </w:t>
      </w:r>
      <w:hyperlink r:id="rId1" w:history="1">
        <w:r w:rsidRPr="00B641E8">
          <w:rPr>
            <w:rStyle w:val="Hyperlink"/>
            <w:rFonts w:ascii="Times New Roman" w:hAnsi="Times New Roman"/>
            <w:sz w:val="20"/>
            <w:szCs w:val="20"/>
          </w:rPr>
          <w:t>http://www.doe.mass.edu/infoservices/data/epims/</w:t>
        </w:r>
      </w:hyperlink>
      <w:r w:rsidRPr="00997102">
        <w:rPr>
          <w:rFonts w:ascii="Times New Roman" w:hAnsi="Times New Roman"/>
          <w:sz w:val="20"/>
          <w:szCs w:val="20"/>
        </w:rPr>
        <w:t>.</w:t>
      </w:r>
    </w:p>
  </w:footnote>
  <w:footnote w:id="3">
    <w:p w:rsidR="00DB7B53" w:rsidRPr="006F7B08" w:rsidRDefault="00DB7B53" w:rsidP="00355F3D">
      <w:pPr>
        <w:pStyle w:val="FootnoteText"/>
        <w:spacing w:line="240" w:lineRule="auto"/>
        <w:rPr>
          <w:rFonts w:ascii="Times New Roman" w:hAnsi="Times New Roman"/>
        </w:rPr>
      </w:pPr>
      <w:r w:rsidRPr="006F7B08">
        <w:rPr>
          <w:rStyle w:val="FootnoteReference"/>
          <w:rFonts w:ascii="Times New Roman" w:hAnsi="Times New Roman"/>
        </w:rPr>
        <w:footnoteRef/>
      </w:r>
      <w:r w:rsidRPr="006F7B08">
        <w:rPr>
          <w:rFonts w:ascii="Times New Roman" w:hAnsi="Times New Roman"/>
        </w:rPr>
        <w:t xml:space="preserve"> Teachers are required to work three years before they can obtain a professional license, therefore if a teacher has a professional license we assume they cannot be a new teacher.</w:t>
      </w:r>
    </w:p>
  </w:footnote>
  <w:footnote w:id="4">
    <w:p w:rsidR="00DB7B53" w:rsidRPr="00446709" w:rsidRDefault="00DB7B53" w:rsidP="00FE1216">
      <w:pPr>
        <w:pStyle w:val="FootnoteText"/>
        <w:spacing w:line="240" w:lineRule="auto"/>
        <w:rPr>
          <w:rFonts w:ascii="Times New Roman" w:hAnsi="Times New Roman"/>
        </w:rPr>
      </w:pPr>
      <w:r w:rsidRPr="00446709">
        <w:rPr>
          <w:rStyle w:val="FootnoteReference"/>
          <w:rFonts w:ascii="Times New Roman" w:hAnsi="Times New Roman"/>
        </w:rPr>
        <w:footnoteRef/>
      </w:r>
      <w:r w:rsidRPr="00446709">
        <w:rPr>
          <w:rFonts w:ascii="Times New Roman" w:hAnsi="Times New Roman"/>
        </w:rPr>
        <w:t xml:space="preserve"> </w:t>
      </w:r>
      <w:proofErr w:type="gramStart"/>
      <w:r w:rsidRPr="00446709">
        <w:rPr>
          <w:rFonts w:ascii="Times New Roman" w:hAnsi="Times New Roman"/>
        </w:rPr>
        <w:t>Kowalski, T., McCord, R., Peterson, G., Young, P., &amp; Ellerson, N. M. (2011).</w:t>
      </w:r>
      <w:proofErr w:type="gramEnd"/>
      <w:r w:rsidRPr="00446709">
        <w:rPr>
          <w:rFonts w:ascii="Times New Roman" w:hAnsi="Times New Roman"/>
        </w:rPr>
        <w:t xml:space="preserve"> </w:t>
      </w:r>
      <w:r w:rsidRPr="00446709">
        <w:rPr>
          <w:rFonts w:ascii="Times New Roman" w:hAnsi="Times New Roman"/>
          <w:i/>
          <w:iCs/>
        </w:rPr>
        <w:t>The American school superintendent: 2010 Decennial study</w:t>
      </w:r>
      <w:r w:rsidRPr="00446709">
        <w:rPr>
          <w:rFonts w:ascii="Times New Roman" w:hAnsi="Times New Roman"/>
        </w:rPr>
        <w:t>. Alexandria, VA: American Association of School Administrators.</w:t>
      </w:r>
    </w:p>
  </w:footnote>
  <w:footnote w:id="5">
    <w:p w:rsidR="00DB7B53" w:rsidRPr="00380434" w:rsidRDefault="00DB7B53" w:rsidP="00871167">
      <w:pPr>
        <w:pStyle w:val="FootnoteText"/>
        <w:spacing w:line="240" w:lineRule="auto"/>
        <w:rPr>
          <w:rFonts w:ascii="Times New Roman" w:hAnsi="Times New Roman"/>
        </w:rPr>
      </w:pPr>
      <w:r w:rsidRPr="00380434">
        <w:rPr>
          <w:rStyle w:val="FootnoteReference"/>
          <w:rFonts w:ascii="Times New Roman" w:hAnsi="Times New Roman"/>
        </w:rPr>
        <w:footnoteRef/>
      </w:r>
      <w:r w:rsidRPr="00380434">
        <w:rPr>
          <w:rFonts w:ascii="Times New Roman" w:hAnsi="Times New Roman"/>
        </w:rPr>
        <w:t xml:space="preserve"> We provide data only for Level 1 through Level 4 schools because no schools were designated as Level 5 by the end of the 2012-13 school </w:t>
      </w:r>
      <w:proofErr w:type="gramStart"/>
      <w:r w:rsidRPr="00380434">
        <w:rPr>
          <w:rFonts w:ascii="Times New Roman" w:hAnsi="Times New Roman"/>
        </w:rPr>
        <w:t>year</w:t>
      </w:r>
      <w:proofErr w:type="gramEnd"/>
      <w:r w:rsidRPr="00380434">
        <w:rPr>
          <w:rFonts w:ascii="Times New Roman" w:hAnsi="Times New Roman"/>
        </w:rPr>
        <w:t xml:space="preserve">. ESE 2013 Accountability report: </w:t>
      </w:r>
      <w:hyperlink r:id="rId2" w:history="1">
        <w:r w:rsidRPr="00380434">
          <w:rPr>
            <w:rStyle w:val="Hyperlink"/>
            <w:rFonts w:ascii="Times New Roman" w:hAnsi="Times New Roman"/>
          </w:rPr>
          <w:t>http://profiles.doe.mass.edu/state_report/accountability.aspx</w:t>
        </w:r>
      </w:hyperlink>
    </w:p>
  </w:footnote>
  <w:footnote w:id="6">
    <w:p w:rsidR="00DB7B53" w:rsidRPr="004960EB" w:rsidRDefault="00DB7B53" w:rsidP="00186934">
      <w:pPr>
        <w:pStyle w:val="FootnoteText"/>
        <w:spacing w:line="240" w:lineRule="auto"/>
        <w:rPr>
          <w:rFonts w:ascii="Times New Roman" w:hAnsi="Times New Roman"/>
        </w:rPr>
      </w:pPr>
      <w:r w:rsidRPr="004960EB">
        <w:rPr>
          <w:rStyle w:val="FootnoteReference"/>
          <w:rFonts w:ascii="Times New Roman" w:hAnsi="Times New Roman"/>
        </w:rPr>
        <w:footnoteRef/>
      </w:r>
      <w:r w:rsidRPr="004960EB">
        <w:rPr>
          <w:rFonts w:ascii="Times New Roman" w:hAnsi="Times New Roman"/>
        </w:rPr>
        <w:t xml:space="preserve"> </w:t>
      </w:r>
      <w:r w:rsidRPr="004960EB">
        <w:rPr>
          <w:rFonts w:ascii="Times New Roman" w:hAnsi="Times New Roman"/>
          <w:i/>
        </w:rPr>
        <w:t xml:space="preserve">Characteristics of Public School Districts in the United States: Results from the 2007-08 Schools and Staffing Survey </w:t>
      </w:r>
      <w:r w:rsidRPr="004960EB">
        <w:rPr>
          <w:rFonts w:ascii="Times New Roman" w:hAnsi="Times New Roman"/>
        </w:rPr>
        <w:t>(2009),</w:t>
      </w:r>
      <w:r w:rsidRPr="004960EB">
        <w:rPr>
          <w:rFonts w:ascii="Times New Roman" w:hAnsi="Times New Roman"/>
          <w:i/>
        </w:rPr>
        <w:t xml:space="preserve"> </w:t>
      </w:r>
      <w:r w:rsidRPr="004960EB">
        <w:rPr>
          <w:rFonts w:ascii="Times New Roman" w:hAnsi="Times New Roman"/>
        </w:rPr>
        <w:t>Washington, D.C.: National Center for Education Statistics.</w:t>
      </w:r>
    </w:p>
  </w:footnote>
  <w:footnote w:id="7">
    <w:p w:rsidR="00DB7B53" w:rsidRPr="00A2298A" w:rsidRDefault="00DB7B53">
      <w:pPr>
        <w:pStyle w:val="FootnoteText"/>
        <w:spacing w:line="240" w:lineRule="auto"/>
        <w:rPr>
          <w:rFonts w:ascii="Times New Roman" w:hAnsi="Times New Roman"/>
          <w:lang w:bidi="en-US"/>
        </w:rPr>
      </w:pPr>
      <w:r w:rsidRPr="00A2298A">
        <w:rPr>
          <w:rStyle w:val="FootnoteReference"/>
          <w:rFonts w:ascii="Times New Roman" w:hAnsi="Times New Roman"/>
        </w:rPr>
        <w:footnoteRef/>
      </w:r>
      <w:r w:rsidRPr="00A2298A">
        <w:rPr>
          <w:rFonts w:ascii="Times New Roman" w:hAnsi="Times New Roman"/>
        </w:rPr>
        <w:t xml:space="preserve"> </w:t>
      </w:r>
      <w:proofErr w:type="gramStart"/>
      <w:r w:rsidRPr="00A2298A">
        <w:rPr>
          <w:rFonts w:ascii="Times New Roman" w:hAnsi="Times New Roman"/>
        </w:rPr>
        <w:t xml:space="preserve">Massachusetts Department of Elementary and Secondary Education, “Educator License Waivers—Superior Court Decision,” December 19, 2011, Department of Elementary and Secondary Education website, </w:t>
      </w:r>
      <w:hyperlink r:id="rId3" w:history="1">
        <w:r w:rsidRPr="00A2298A">
          <w:rPr>
            <w:rStyle w:val="Hyperlink"/>
            <w:rFonts w:ascii="Times New Roman" w:hAnsi="Times New Roman"/>
            <w:lang w:bidi="en-US"/>
          </w:rPr>
          <w:t>http://www.doe.mass.edu/news/news.aspx?id=6596</w:t>
        </w:r>
      </w:hyperlink>
      <w:r w:rsidRPr="00A2298A">
        <w:rPr>
          <w:rFonts w:ascii="Times New Roman" w:hAnsi="Times New Roman"/>
        </w:rPr>
        <w:t>.</w:t>
      </w:r>
      <w:proofErr w:type="gramEnd"/>
      <w:r w:rsidRPr="00A2298A">
        <w:rPr>
          <w:rFonts w:ascii="Times New Roman" w:hAnsi="Times New Roman"/>
          <w:lang w:bidi="en-US"/>
        </w:rPr>
        <w:t xml:space="preserve"> </w:t>
      </w:r>
    </w:p>
    <w:p w:rsidR="00DB7B53" w:rsidRPr="00A2298A" w:rsidRDefault="00DB7B53" w:rsidP="00F95901">
      <w:pPr>
        <w:pStyle w:val="FootnoteText"/>
        <w:rPr>
          <w:rFonts w:ascii="Times New Roman" w:hAnsi="Times New Roman"/>
        </w:rPr>
      </w:pPr>
    </w:p>
  </w:footnote>
  <w:footnote w:id="8">
    <w:p w:rsidR="00DB7B53" w:rsidRPr="00A2298A" w:rsidRDefault="00DB7B53">
      <w:pPr>
        <w:pStyle w:val="FootnoteText"/>
        <w:spacing w:line="240" w:lineRule="auto"/>
        <w:rPr>
          <w:rFonts w:ascii="Times New Roman" w:hAnsi="Times New Roman"/>
        </w:rPr>
      </w:pPr>
      <w:r w:rsidRPr="00A2298A">
        <w:rPr>
          <w:rStyle w:val="FootnoteReference"/>
          <w:rFonts w:ascii="Times New Roman" w:hAnsi="Times New Roman"/>
        </w:rPr>
        <w:footnoteRef/>
      </w:r>
      <w:r w:rsidRPr="00A2298A">
        <w:rPr>
          <w:rFonts w:ascii="Times New Roman" w:hAnsi="Times New Roman"/>
        </w:rPr>
        <w:t xml:space="preserve"> U.S. Department of Education, “Massachusetts Title II Reports”, October 2012, Title II Higher Education Act website, </w:t>
      </w:r>
      <w:hyperlink r:id="rId4" w:history="1">
        <w:r w:rsidRPr="00A2298A">
          <w:rPr>
            <w:rStyle w:val="Hyperlink"/>
            <w:rFonts w:ascii="Times New Roman" w:hAnsi="Times New Roman"/>
          </w:rPr>
          <w:t>https://title2.ed.gov/Public/Report/StateHome.aspx</w:t>
        </w:r>
      </w:hyperlink>
      <w:r w:rsidRPr="00A2298A">
        <w:rPr>
          <w:rFonts w:ascii="Times New Roman" w:hAnsi="Times New Roman"/>
        </w:rPr>
        <w:t xml:space="preserve">; Massachusetts Department of Elementary and Secondary Education, “2011-12 Ed Prep Program Completers,” School/District Profiles website, </w:t>
      </w:r>
      <w:hyperlink r:id="rId5" w:history="1">
        <w:r w:rsidRPr="00A2298A">
          <w:rPr>
            <w:rStyle w:val="Hyperlink"/>
            <w:rFonts w:ascii="Times New Roman" w:hAnsi="Times New Roman"/>
          </w:rPr>
          <w:t>http://profiles.doe.mass.edu/state_report/epppprogramcompleters.aspx</w:t>
        </w:r>
      </w:hyperlink>
      <w:r w:rsidRPr="00A2298A">
        <w:rPr>
          <w:rFonts w:ascii="Times New Roman" w:hAnsi="Times New Roman"/>
        </w:rPr>
        <w:t>.</w:t>
      </w:r>
    </w:p>
  </w:footnote>
  <w:footnote w:id="9">
    <w:p w:rsidR="00DB7B53" w:rsidRPr="00C8647A" w:rsidRDefault="00DB7B53">
      <w:pPr>
        <w:pStyle w:val="FootnoteText"/>
        <w:spacing w:line="240" w:lineRule="auto"/>
        <w:rPr>
          <w:rFonts w:ascii="Times New Roman" w:hAnsi="Times New Roman"/>
        </w:rPr>
      </w:pPr>
      <w:r w:rsidRPr="00C8647A">
        <w:rPr>
          <w:rStyle w:val="FootnoteReference"/>
          <w:rFonts w:ascii="Times New Roman" w:hAnsi="Times New Roman"/>
        </w:rPr>
        <w:footnoteRef/>
      </w:r>
      <w:r w:rsidRPr="00C8647A">
        <w:rPr>
          <w:rFonts w:ascii="Times New Roman" w:hAnsi="Times New Roman"/>
        </w:rPr>
        <w:t xml:space="preserve"> The Performance Review Program for Initial Licensure is available to teachers with a preliminary license who are currently working as a teacher of record and have been employed for at least three full years under the preliminary license. These teachers can earn their initial license by meeting several requirements, including a recommendation from their principal and documentation of courses and experiences that address the Professional Standards for Teachers. For more information, see Regulations section 7.05: http://www.doe.mass.edu/lawsregs/603cmr7.html?section=05.  </w:t>
      </w:r>
    </w:p>
  </w:footnote>
  <w:footnote w:id="10">
    <w:p w:rsidR="00DB7B53" w:rsidRPr="002C71D4" w:rsidRDefault="00DB7B53" w:rsidP="00D109BB">
      <w:pPr>
        <w:pStyle w:val="FootnoteText"/>
        <w:rPr>
          <w:rFonts w:ascii="Times New Roman" w:hAnsi="Times New Roman"/>
        </w:rPr>
      </w:pPr>
      <w:r w:rsidRPr="002C71D4">
        <w:rPr>
          <w:rStyle w:val="FootnoteReference"/>
          <w:rFonts w:ascii="Times New Roman" w:hAnsi="Times New Roman"/>
        </w:rPr>
        <w:footnoteRef/>
      </w:r>
      <w:r w:rsidRPr="002C71D4">
        <w:rPr>
          <w:rFonts w:ascii="Times New Roman" w:hAnsi="Times New Roman"/>
        </w:rPr>
        <w:t xml:space="preserve"> </w:t>
      </w:r>
      <w:r w:rsidRPr="002C71D4">
        <w:rPr>
          <w:rFonts w:ascii="Times New Roman" w:hAnsi="Times New Roman"/>
          <w:i/>
        </w:rPr>
        <w:t>Preparing and Credentialing the Nation’s Teachers</w:t>
      </w:r>
      <w:r w:rsidRPr="002C71D4">
        <w:rPr>
          <w:rFonts w:ascii="Times New Roman" w:hAnsi="Times New Roman"/>
        </w:rPr>
        <w:t xml:space="preserve"> (2013), Washington, D.C.: U.S. Department of Education.</w:t>
      </w:r>
    </w:p>
  </w:footnote>
  <w:footnote w:id="11">
    <w:p w:rsidR="00DB7B53" w:rsidRPr="00A94A6C" w:rsidRDefault="00DB7B53" w:rsidP="00573CA3">
      <w:pPr>
        <w:pStyle w:val="FootnoteText"/>
        <w:spacing w:line="240" w:lineRule="auto"/>
        <w:rPr>
          <w:rFonts w:ascii="Times New Roman" w:hAnsi="Times New Roman"/>
        </w:rPr>
      </w:pPr>
      <w:r w:rsidRPr="00A94A6C">
        <w:rPr>
          <w:rStyle w:val="FootnoteReference"/>
          <w:rFonts w:ascii="Times New Roman" w:hAnsi="Times New Roman"/>
        </w:rPr>
        <w:footnoteRef/>
      </w:r>
      <w:r w:rsidRPr="00A94A6C">
        <w:rPr>
          <w:rFonts w:ascii="Times New Roman" w:hAnsi="Times New Roman"/>
        </w:rPr>
        <w:t xml:space="preserve"> Miles are calculated in a straight line from the preparation program to the first employing school.</w:t>
      </w:r>
    </w:p>
  </w:footnote>
  <w:footnote w:id="12">
    <w:p w:rsidR="00DB7B53" w:rsidRPr="00A94A6C" w:rsidRDefault="00DB7B53" w:rsidP="00573CA3">
      <w:pPr>
        <w:pStyle w:val="FootnoteText"/>
        <w:spacing w:line="240" w:lineRule="auto"/>
        <w:rPr>
          <w:rFonts w:ascii="Times New Roman" w:hAnsi="Times New Roman"/>
        </w:rPr>
      </w:pPr>
      <w:r w:rsidRPr="00A94A6C">
        <w:rPr>
          <w:rStyle w:val="FootnoteReference"/>
          <w:rFonts w:ascii="Times New Roman" w:hAnsi="Times New Roman"/>
        </w:rPr>
        <w:footnoteRef/>
      </w:r>
      <w:r w:rsidRPr="00A94A6C">
        <w:rPr>
          <w:rFonts w:ascii="Times New Roman" w:hAnsi="Times New Roman"/>
        </w:rPr>
        <w:t xml:space="preserve"> Boyd, D., Lankford, H., Loeb, S., and Wyckoff, J. “The Draw of Home: How Teachers’ Preferences for Proximity Disadvantage Urban Schools”, </w:t>
      </w:r>
      <w:r w:rsidRPr="00A94A6C">
        <w:rPr>
          <w:rFonts w:ascii="Times New Roman" w:hAnsi="Times New Roman"/>
          <w:i/>
        </w:rPr>
        <w:t>Journal of Policy Analysis and Management</w:t>
      </w:r>
      <w:r w:rsidRPr="00A94A6C">
        <w:rPr>
          <w:rFonts w:ascii="Times New Roman" w:hAnsi="Times New Roman"/>
        </w:rPr>
        <w:t xml:space="preserve"> 24(1) (2009): 113-132.</w:t>
      </w:r>
    </w:p>
  </w:footnote>
  <w:footnote w:id="13">
    <w:p w:rsidR="00DB7B53" w:rsidRPr="002F4562" w:rsidRDefault="00DB7B53" w:rsidP="00190A0C">
      <w:pPr>
        <w:pStyle w:val="FootnoteText"/>
        <w:spacing w:line="240" w:lineRule="auto"/>
        <w:rPr>
          <w:rFonts w:ascii="Times New Roman" w:hAnsi="Times New Roman"/>
        </w:rPr>
      </w:pPr>
      <w:r w:rsidRPr="002F4562">
        <w:rPr>
          <w:rStyle w:val="FootnoteReference"/>
          <w:rFonts w:ascii="Times New Roman" w:hAnsi="Times New Roman"/>
        </w:rPr>
        <w:footnoteRef/>
      </w:r>
      <w:r w:rsidRPr="002F4562">
        <w:rPr>
          <w:rFonts w:ascii="Times New Roman" w:hAnsi="Times New Roman"/>
        </w:rPr>
        <w:t xml:space="preserve">For more information on SGP’s, see the ESE MCAS Student Growth Percentiles: Interpretive Guide </w:t>
      </w:r>
      <w:hyperlink r:id="rId6" w:history="1">
        <w:r w:rsidRPr="002F4562">
          <w:rPr>
            <w:rStyle w:val="Hyperlink"/>
            <w:rFonts w:ascii="Times New Roman" w:hAnsi="Times New Roman"/>
          </w:rPr>
          <w:t>http://www.doe.mass.edu/mcas/growth/InterpretiveGuide.pdf</w:t>
        </w:r>
      </w:hyperlink>
    </w:p>
  </w:footnote>
  <w:footnote w:id="14">
    <w:p w:rsidR="00DB7B53" w:rsidRPr="002F4562" w:rsidRDefault="00DB7B53" w:rsidP="00C93A9B">
      <w:pPr>
        <w:pStyle w:val="FootnoteText"/>
        <w:spacing w:line="240" w:lineRule="auto"/>
        <w:rPr>
          <w:rFonts w:ascii="Times New Roman" w:hAnsi="Times New Roman"/>
        </w:rPr>
      </w:pPr>
      <w:r w:rsidRPr="002F4562">
        <w:rPr>
          <w:rStyle w:val="FootnoteReference"/>
          <w:rFonts w:ascii="Times New Roman" w:hAnsi="Times New Roman"/>
        </w:rPr>
        <w:footnoteRef/>
      </w:r>
      <w:r w:rsidRPr="002F4562">
        <w:rPr>
          <w:rFonts w:ascii="Times New Roman" w:hAnsi="Times New Roman"/>
        </w:rPr>
        <w:t xml:space="preserve"> Rivkin, S.G., Hanushek, E.A. &amp; Kaine, J.F. “Teachers, Schools and Academic Achievement,” </w:t>
      </w:r>
      <w:r w:rsidRPr="002F4562">
        <w:rPr>
          <w:rFonts w:ascii="Times New Roman" w:hAnsi="Times New Roman"/>
          <w:i/>
        </w:rPr>
        <w:t>Econometrica</w:t>
      </w:r>
      <w:r w:rsidRPr="002F4562">
        <w:rPr>
          <w:rFonts w:ascii="Times New Roman" w:hAnsi="Times New Roman"/>
        </w:rPr>
        <w:t>, 73(2) (2005): 417-458</w:t>
      </w:r>
    </w:p>
  </w:footnote>
  <w:footnote w:id="15">
    <w:p w:rsidR="00DB7B53" w:rsidRPr="001364F5" w:rsidRDefault="00DB7B53" w:rsidP="00D638EB">
      <w:pPr>
        <w:pStyle w:val="FootnoteText"/>
        <w:spacing w:line="240" w:lineRule="auto"/>
        <w:rPr>
          <w:rFonts w:ascii="Times New Roman" w:hAnsi="Times New Roman"/>
        </w:rPr>
      </w:pPr>
      <w:r w:rsidRPr="001364F5">
        <w:rPr>
          <w:rStyle w:val="FootnoteReference"/>
          <w:rFonts w:ascii="Times New Roman" w:hAnsi="Times New Roman"/>
        </w:rPr>
        <w:footnoteRef/>
      </w:r>
      <w:r w:rsidRPr="001364F5">
        <w:rPr>
          <w:rFonts w:ascii="Times New Roman" w:hAnsi="Times New Roman"/>
        </w:rPr>
        <w:t xml:space="preserve"> “Do Low-Performing Students Get Placed with Novice Teachers</w:t>
      </w:r>
      <w:proofErr w:type="gramStart"/>
      <w:r w:rsidRPr="001364F5">
        <w:rPr>
          <w:rFonts w:ascii="Times New Roman" w:hAnsi="Times New Roman"/>
        </w:rPr>
        <w:t>?,</w:t>
      </w:r>
      <w:proofErr w:type="gramEnd"/>
      <w:r w:rsidRPr="001364F5">
        <w:rPr>
          <w:rFonts w:ascii="Times New Roman" w:hAnsi="Times New Roman"/>
        </w:rPr>
        <w:t>” (Cambridge, MA: Strategic Data Project, 2012).</w:t>
      </w:r>
    </w:p>
  </w:footnote>
  <w:footnote w:id="16">
    <w:p w:rsidR="00DB7B53" w:rsidRPr="001364F5" w:rsidRDefault="00DB7B53" w:rsidP="00A01A7A">
      <w:pPr>
        <w:pStyle w:val="Sources"/>
        <w:spacing w:line="240" w:lineRule="auto"/>
        <w:rPr>
          <w:rFonts w:ascii="Times New Roman" w:hAnsi="Times New Roman" w:cs="Times New Roman"/>
        </w:rPr>
      </w:pPr>
      <w:r w:rsidRPr="001364F5">
        <w:rPr>
          <w:rStyle w:val="FootnoteReference"/>
          <w:rFonts w:ascii="Times New Roman" w:hAnsi="Times New Roman" w:cs="Times New Roman"/>
        </w:rPr>
        <w:footnoteRef/>
      </w:r>
      <w:r w:rsidRPr="001364F5">
        <w:rPr>
          <w:rFonts w:ascii="Times New Roman" w:hAnsi="Times New Roman" w:cs="Times New Roman"/>
        </w:rPr>
        <w:t xml:space="preserve"> Carolyn J. Hill, Howard S. Bloom, Alison Rebeck Black, and Mark W. Lipsey; “Empirical Benchmarks for Interpreting Effect Sizes in Research,” Child Development Perspectives, Vol 2(3), (2008): 172-177.</w:t>
      </w:r>
    </w:p>
    <w:p w:rsidR="00DB7B53" w:rsidRPr="001364F5" w:rsidRDefault="00DB7B53" w:rsidP="00A01A7A">
      <w:pPr>
        <w:pStyle w:val="FootnoteText"/>
        <w:rPr>
          <w:rFonts w:ascii="Times New Roman" w:hAnsi="Times New Roman"/>
        </w:rPr>
      </w:pPr>
    </w:p>
  </w:footnote>
  <w:footnote w:id="17">
    <w:p w:rsidR="00DB7B53" w:rsidRPr="001364F5" w:rsidRDefault="00DB7B53">
      <w:pPr>
        <w:pStyle w:val="FootnoteText"/>
        <w:spacing w:line="240" w:lineRule="auto"/>
        <w:rPr>
          <w:rFonts w:ascii="Times New Roman" w:hAnsi="Times New Roman"/>
        </w:rPr>
      </w:pPr>
      <w:r w:rsidRPr="001364F5">
        <w:rPr>
          <w:rStyle w:val="FootnoteReference"/>
          <w:rFonts w:ascii="Times New Roman" w:hAnsi="Times New Roman"/>
        </w:rPr>
        <w:footnoteRef/>
      </w:r>
      <w:r w:rsidRPr="001364F5">
        <w:rPr>
          <w:rFonts w:ascii="Times New Roman" w:hAnsi="Times New Roman"/>
        </w:rPr>
        <w:t xml:space="preserve"> Kaiser, A. and Cross, F., “Beginning Teacher Attrition and Mobility”, (Washington, D.C.: National Center for Education Statistics, 2011).</w:t>
      </w:r>
    </w:p>
  </w:footnote>
  <w:footnote w:id="18">
    <w:p w:rsidR="00DB7B53" w:rsidRPr="001364F5" w:rsidRDefault="00DB7B53">
      <w:pPr>
        <w:pStyle w:val="FootnoteText"/>
        <w:spacing w:line="240" w:lineRule="auto"/>
        <w:rPr>
          <w:rFonts w:ascii="Times New Roman" w:hAnsi="Times New Roman"/>
        </w:rPr>
      </w:pPr>
      <w:r w:rsidRPr="001364F5">
        <w:rPr>
          <w:rStyle w:val="FootnoteReference"/>
          <w:rFonts w:ascii="Times New Roman" w:hAnsi="Times New Roman"/>
        </w:rPr>
        <w:footnoteRef/>
      </w:r>
      <w:r w:rsidRPr="001364F5">
        <w:rPr>
          <w:rFonts w:ascii="Times New Roman" w:hAnsi="Times New Roman"/>
        </w:rPr>
        <w:t xml:space="preserve"> Ronfeldt, M., Loeb, S. &amp; Wyckoff, J.</w:t>
      </w:r>
      <w:proofErr w:type="gramStart"/>
      <w:r w:rsidRPr="001364F5">
        <w:rPr>
          <w:rFonts w:ascii="Times New Roman" w:hAnsi="Times New Roman"/>
        </w:rPr>
        <w:t>,“</w:t>
      </w:r>
      <w:proofErr w:type="gramEnd"/>
      <w:r w:rsidRPr="001364F5">
        <w:rPr>
          <w:rFonts w:ascii="Times New Roman" w:hAnsi="Times New Roman"/>
        </w:rPr>
        <w:t xml:space="preserve">How Teacher Turnover Harms Student Achievement,” </w:t>
      </w:r>
      <w:r w:rsidRPr="001364F5">
        <w:rPr>
          <w:rFonts w:ascii="Times New Roman" w:hAnsi="Times New Roman"/>
          <w:i/>
        </w:rPr>
        <w:t>American Educational Research Journal</w:t>
      </w:r>
      <w:r w:rsidRPr="001364F5">
        <w:rPr>
          <w:rFonts w:ascii="Times New Roman" w:hAnsi="Times New Roman"/>
        </w:rPr>
        <w:t xml:space="preserve"> 50(1) (2013), 4-36.</w:t>
      </w:r>
    </w:p>
  </w:footnote>
  <w:footnote w:id="19">
    <w:p w:rsidR="00DB7B53" w:rsidRPr="000B660D" w:rsidRDefault="00DB7B53" w:rsidP="005A6156">
      <w:pPr>
        <w:pStyle w:val="FootnoteText"/>
        <w:spacing w:line="240" w:lineRule="auto"/>
        <w:rPr>
          <w:rFonts w:ascii="Times New Roman" w:hAnsi="Times New Roman"/>
        </w:rPr>
      </w:pPr>
      <w:r w:rsidRPr="000B660D">
        <w:rPr>
          <w:rStyle w:val="FootnoteReference"/>
          <w:rFonts w:ascii="Times New Roman" w:hAnsi="Times New Roman"/>
        </w:rPr>
        <w:footnoteRef/>
      </w:r>
      <w:r w:rsidRPr="000B660D">
        <w:rPr>
          <w:rFonts w:ascii="Times New Roman" w:hAnsi="Times New Roman"/>
        </w:rPr>
        <w:t xml:space="preserve"> Goldhaber, D., Gross, B., &amp; Player, D. “Teacher Career Paths, Teacher Quality, and Persistence in the Classroom: Are Public Schools Keeping Their Best?” (Seattle, WA: Center for Education Data and Research, 2010).</w:t>
      </w:r>
    </w:p>
  </w:footnote>
  <w:footnote w:id="20">
    <w:p w:rsidR="00DB7B53" w:rsidRPr="00ED19F4" w:rsidRDefault="00DB7B53" w:rsidP="00102B0C">
      <w:pPr>
        <w:pStyle w:val="FootnoteText"/>
        <w:spacing w:line="240" w:lineRule="auto"/>
        <w:rPr>
          <w:rFonts w:ascii="Times New Roman" w:hAnsi="Times New Roman"/>
        </w:rPr>
      </w:pPr>
      <w:r w:rsidRPr="00ED19F4">
        <w:rPr>
          <w:rStyle w:val="FootnoteReference"/>
          <w:rFonts w:ascii="Times New Roman" w:hAnsi="Times New Roman"/>
        </w:rPr>
        <w:footnoteRef/>
      </w:r>
      <w:r w:rsidRPr="00ED19F4">
        <w:rPr>
          <w:rFonts w:ascii="Times New Roman" w:hAnsi="Times New Roman"/>
        </w:rPr>
        <w:t xml:space="preserve"> Goldhaber, D., Gross, B., &amp; Player, D. “Teacher Career Paths, Teacher Quality, and Persistence in the Classroom: Are Public Schools Keeping Their Best?” (Seattle, WA: Center for Education Data and Research, 2010).</w:t>
      </w:r>
    </w:p>
  </w:footnote>
  <w:footnote w:id="21">
    <w:p w:rsidR="00DB7B53" w:rsidRPr="00ED19F4" w:rsidRDefault="00DB7B53" w:rsidP="00F01151">
      <w:pPr>
        <w:pStyle w:val="FootnoteText"/>
        <w:spacing w:line="240" w:lineRule="auto"/>
        <w:rPr>
          <w:rFonts w:ascii="Times New Roman" w:hAnsi="Times New Roman"/>
        </w:rPr>
      </w:pPr>
      <w:r w:rsidRPr="00ED19F4">
        <w:rPr>
          <w:rStyle w:val="FootnoteReference"/>
          <w:rFonts w:ascii="Times New Roman" w:hAnsi="Times New Roman"/>
        </w:rPr>
        <w:footnoteRef/>
      </w:r>
      <w:r w:rsidRPr="00ED19F4">
        <w:rPr>
          <w:rFonts w:ascii="Times New Roman" w:hAnsi="Times New Roman"/>
        </w:rPr>
        <w:t xml:space="preserve"> Goldhaber, D., Gross, B. &amp; Player, </w:t>
      </w:r>
      <w:proofErr w:type="gramStart"/>
      <w:r w:rsidRPr="00ED19F4">
        <w:rPr>
          <w:rFonts w:ascii="Times New Roman" w:hAnsi="Times New Roman"/>
        </w:rPr>
        <w:t>D</w:t>
      </w:r>
      <w:proofErr w:type="gramEnd"/>
      <w:r w:rsidRPr="00ED19F4">
        <w:rPr>
          <w:rFonts w:ascii="Times New Roman" w:hAnsi="Times New Roman"/>
        </w:rPr>
        <w:t>. “Teacher Career Paths, Teacher Quality, and Persistence in the Classroom: Are Public Schools Keeping their Best?” (Seattle, WA: Center for Education Data and Research, 2010).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4AB5197"/>
    <w:multiLevelType w:val="hybridMultilevel"/>
    <w:tmpl w:val="AFF2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17F0A"/>
    <w:multiLevelType w:val="hybridMultilevel"/>
    <w:tmpl w:val="5C0A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6094C"/>
    <w:multiLevelType w:val="hybridMultilevel"/>
    <w:tmpl w:val="9E88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384AD0"/>
    <w:multiLevelType w:val="hybridMultilevel"/>
    <w:tmpl w:val="C3F8A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nsid w:val="48B57A4B"/>
    <w:multiLevelType w:val="hybridMultilevel"/>
    <w:tmpl w:val="C5A4D5B8"/>
    <w:lvl w:ilvl="0" w:tplc="C02E1DA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8">
    <w:nsid w:val="4B147897"/>
    <w:multiLevelType w:val="hybridMultilevel"/>
    <w:tmpl w:val="1A9C225A"/>
    <w:lvl w:ilvl="0" w:tplc="6598E73A">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4F663D74"/>
    <w:multiLevelType w:val="hybridMultilevel"/>
    <w:tmpl w:val="BB94D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EC18A2"/>
    <w:multiLevelType w:val="hybridMultilevel"/>
    <w:tmpl w:val="BB20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4EE56D5"/>
    <w:multiLevelType w:val="hybridMultilevel"/>
    <w:tmpl w:val="90604BF6"/>
    <w:lvl w:ilvl="0" w:tplc="8EAA982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855568D"/>
    <w:multiLevelType w:val="hybridMultilevel"/>
    <w:tmpl w:val="54301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E2023FD"/>
    <w:multiLevelType w:val="hybridMultilevel"/>
    <w:tmpl w:val="EDBE4F6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794FF5"/>
    <w:multiLevelType w:val="hybridMultilevel"/>
    <w:tmpl w:val="41B42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44371A3"/>
    <w:multiLevelType w:val="hybridMultilevel"/>
    <w:tmpl w:val="FDAAEF38"/>
    <w:lvl w:ilvl="0" w:tplc="76924A34">
      <w:numFmt w:val="bullet"/>
      <w:lvlText w:val="-"/>
      <w:lvlJc w:val="left"/>
      <w:pPr>
        <w:ind w:left="720" w:hanging="360"/>
      </w:pPr>
      <w:rPr>
        <w:rFonts w:ascii="Calibri" w:eastAsia="Times New Roman" w:hAnsi="Calibri"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7F6AA4"/>
    <w:multiLevelType w:val="hybridMultilevel"/>
    <w:tmpl w:val="AB627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B51B5E"/>
    <w:multiLevelType w:val="hybridMultilevel"/>
    <w:tmpl w:val="95C06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9"/>
  </w:num>
  <w:num w:numId="4">
    <w:abstractNumId w:val="7"/>
  </w:num>
  <w:num w:numId="5">
    <w:abstractNumId w:val="5"/>
  </w:num>
  <w:num w:numId="6">
    <w:abstractNumId w:val="12"/>
  </w:num>
  <w:num w:numId="7">
    <w:abstractNumId w:val="13"/>
  </w:num>
  <w:num w:numId="8">
    <w:abstractNumId w:val="8"/>
  </w:num>
  <w:num w:numId="9">
    <w:abstractNumId w:val="18"/>
  </w:num>
  <w:num w:numId="10">
    <w:abstractNumId w:val="10"/>
  </w:num>
  <w:num w:numId="11">
    <w:abstractNumId w:val="17"/>
  </w:num>
  <w:num w:numId="12">
    <w:abstractNumId w:val="3"/>
  </w:num>
  <w:num w:numId="13">
    <w:abstractNumId w:val="19"/>
  </w:num>
  <w:num w:numId="14">
    <w:abstractNumId w:val="6"/>
  </w:num>
  <w:num w:numId="15">
    <w:abstractNumId w:val="11"/>
  </w:num>
  <w:num w:numId="16">
    <w:abstractNumId w:val="2"/>
  </w:num>
  <w:num w:numId="17">
    <w:abstractNumId w:val="15"/>
  </w:num>
  <w:num w:numId="18">
    <w:abstractNumId w:val="16"/>
  </w:num>
  <w:num w:numId="19">
    <w:abstractNumId w:val="4"/>
  </w:num>
  <w:num w:numId="20">
    <w:abstractNumId w:val="20"/>
  </w:num>
  <w:num w:numId="2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stylePaneFormatFilter w:val="30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
  <w:rsids>
    <w:rsidRoot w:val="00F30DF8"/>
    <w:rsid w:val="00000311"/>
    <w:rsid w:val="00002325"/>
    <w:rsid w:val="000027D3"/>
    <w:rsid w:val="00003C8C"/>
    <w:rsid w:val="00003E55"/>
    <w:rsid w:val="00007393"/>
    <w:rsid w:val="000079C9"/>
    <w:rsid w:val="00010F41"/>
    <w:rsid w:val="00011D17"/>
    <w:rsid w:val="000139B1"/>
    <w:rsid w:val="00014E3F"/>
    <w:rsid w:val="0001607D"/>
    <w:rsid w:val="0001683B"/>
    <w:rsid w:val="00017081"/>
    <w:rsid w:val="00023C0D"/>
    <w:rsid w:val="00025292"/>
    <w:rsid w:val="00025842"/>
    <w:rsid w:val="00027742"/>
    <w:rsid w:val="00027A3D"/>
    <w:rsid w:val="00031E53"/>
    <w:rsid w:val="000347F0"/>
    <w:rsid w:val="000363FB"/>
    <w:rsid w:val="00040764"/>
    <w:rsid w:val="00042234"/>
    <w:rsid w:val="00042CF2"/>
    <w:rsid w:val="00043147"/>
    <w:rsid w:val="000433AC"/>
    <w:rsid w:val="000436A1"/>
    <w:rsid w:val="00043A01"/>
    <w:rsid w:val="000476C4"/>
    <w:rsid w:val="000477A2"/>
    <w:rsid w:val="000506EE"/>
    <w:rsid w:val="000515A8"/>
    <w:rsid w:val="00051E2C"/>
    <w:rsid w:val="00052140"/>
    <w:rsid w:val="00053C2D"/>
    <w:rsid w:val="00054D94"/>
    <w:rsid w:val="00055D5B"/>
    <w:rsid w:val="00057EA5"/>
    <w:rsid w:val="000602C6"/>
    <w:rsid w:val="000605B0"/>
    <w:rsid w:val="000632A5"/>
    <w:rsid w:val="00063795"/>
    <w:rsid w:val="00064ECC"/>
    <w:rsid w:val="000663A1"/>
    <w:rsid w:val="000670D3"/>
    <w:rsid w:val="000711BA"/>
    <w:rsid w:val="000717C8"/>
    <w:rsid w:val="000727BD"/>
    <w:rsid w:val="0007338C"/>
    <w:rsid w:val="000733EA"/>
    <w:rsid w:val="00073F71"/>
    <w:rsid w:val="000764D0"/>
    <w:rsid w:val="00077953"/>
    <w:rsid w:val="00080117"/>
    <w:rsid w:val="0008788C"/>
    <w:rsid w:val="00087A01"/>
    <w:rsid w:val="00090747"/>
    <w:rsid w:val="00092A27"/>
    <w:rsid w:val="0009653C"/>
    <w:rsid w:val="00096B68"/>
    <w:rsid w:val="000976A6"/>
    <w:rsid w:val="000976E7"/>
    <w:rsid w:val="000978CF"/>
    <w:rsid w:val="00097C39"/>
    <w:rsid w:val="000A308D"/>
    <w:rsid w:val="000A44A3"/>
    <w:rsid w:val="000A4823"/>
    <w:rsid w:val="000A540E"/>
    <w:rsid w:val="000A5BBB"/>
    <w:rsid w:val="000A5E3D"/>
    <w:rsid w:val="000A6BCA"/>
    <w:rsid w:val="000A7B23"/>
    <w:rsid w:val="000B1218"/>
    <w:rsid w:val="000B1A8E"/>
    <w:rsid w:val="000B301C"/>
    <w:rsid w:val="000B3C91"/>
    <w:rsid w:val="000B660D"/>
    <w:rsid w:val="000B7C03"/>
    <w:rsid w:val="000C10EA"/>
    <w:rsid w:val="000C1381"/>
    <w:rsid w:val="000C1AD4"/>
    <w:rsid w:val="000C3038"/>
    <w:rsid w:val="000C34F3"/>
    <w:rsid w:val="000C3996"/>
    <w:rsid w:val="000C3B85"/>
    <w:rsid w:val="000C4AD4"/>
    <w:rsid w:val="000C4F57"/>
    <w:rsid w:val="000C5AF1"/>
    <w:rsid w:val="000C66B6"/>
    <w:rsid w:val="000D06ED"/>
    <w:rsid w:val="000D0E81"/>
    <w:rsid w:val="000D1A5F"/>
    <w:rsid w:val="000D1FA5"/>
    <w:rsid w:val="000D4A14"/>
    <w:rsid w:val="000D5369"/>
    <w:rsid w:val="000D656A"/>
    <w:rsid w:val="000D7B8F"/>
    <w:rsid w:val="000E01F4"/>
    <w:rsid w:val="000E08AD"/>
    <w:rsid w:val="000E1886"/>
    <w:rsid w:val="000E2BF9"/>
    <w:rsid w:val="000E2E39"/>
    <w:rsid w:val="000E2E89"/>
    <w:rsid w:val="000E30CD"/>
    <w:rsid w:val="000E51BE"/>
    <w:rsid w:val="000E5E0D"/>
    <w:rsid w:val="000E6819"/>
    <w:rsid w:val="000E72CC"/>
    <w:rsid w:val="000F0E10"/>
    <w:rsid w:val="000F1FF7"/>
    <w:rsid w:val="000F2AF4"/>
    <w:rsid w:val="000F2B2D"/>
    <w:rsid w:val="000F40BA"/>
    <w:rsid w:val="000F454F"/>
    <w:rsid w:val="000F62EA"/>
    <w:rsid w:val="000F6760"/>
    <w:rsid w:val="000F724F"/>
    <w:rsid w:val="000F7C5C"/>
    <w:rsid w:val="000F7EEF"/>
    <w:rsid w:val="00102B0C"/>
    <w:rsid w:val="00103420"/>
    <w:rsid w:val="00103D35"/>
    <w:rsid w:val="001048CC"/>
    <w:rsid w:val="00104EB0"/>
    <w:rsid w:val="0010609C"/>
    <w:rsid w:val="0010697D"/>
    <w:rsid w:val="001069D3"/>
    <w:rsid w:val="00110C5F"/>
    <w:rsid w:val="001118AE"/>
    <w:rsid w:val="00111C62"/>
    <w:rsid w:val="00115121"/>
    <w:rsid w:val="001152F9"/>
    <w:rsid w:val="00115A7C"/>
    <w:rsid w:val="00117ED8"/>
    <w:rsid w:val="00121D1A"/>
    <w:rsid w:val="001225AD"/>
    <w:rsid w:val="00124D23"/>
    <w:rsid w:val="00126151"/>
    <w:rsid w:val="00126519"/>
    <w:rsid w:val="00131C92"/>
    <w:rsid w:val="0013223F"/>
    <w:rsid w:val="0013264B"/>
    <w:rsid w:val="00132A31"/>
    <w:rsid w:val="00132D95"/>
    <w:rsid w:val="0013367A"/>
    <w:rsid w:val="00134C1A"/>
    <w:rsid w:val="00136117"/>
    <w:rsid w:val="001364F5"/>
    <w:rsid w:val="00137107"/>
    <w:rsid w:val="00141BCE"/>
    <w:rsid w:val="00141F7D"/>
    <w:rsid w:val="001421E2"/>
    <w:rsid w:val="001424E9"/>
    <w:rsid w:val="00142920"/>
    <w:rsid w:val="00142BF5"/>
    <w:rsid w:val="00144207"/>
    <w:rsid w:val="001469B3"/>
    <w:rsid w:val="00147F76"/>
    <w:rsid w:val="00150C03"/>
    <w:rsid w:val="00150D00"/>
    <w:rsid w:val="00152CC8"/>
    <w:rsid w:val="00152D76"/>
    <w:rsid w:val="00154D8F"/>
    <w:rsid w:val="001551C9"/>
    <w:rsid w:val="001600C2"/>
    <w:rsid w:val="00161181"/>
    <w:rsid w:val="001625DF"/>
    <w:rsid w:val="001627D9"/>
    <w:rsid w:val="001636DC"/>
    <w:rsid w:val="00163B9D"/>
    <w:rsid w:val="0016477A"/>
    <w:rsid w:val="00166F7C"/>
    <w:rsid w:val="0017022D"/>
    <w:rsid w:val="0017227A"/>
    <w:rsid w:val="00172C01"/>
    <w:rsid w:val="00172CD7"/>
    <w:rsid w:val="00172D6C"/>
    <w:rsid w:val="001738B9"/>
    <w:rsid w:val="00174E57"/>
    <w:rsid w:val="001756B4"/>
    <w:rsid w:val="00177885"/>
    <w:rsid w:val="001811F1"/>
    <w:rsid w:val="001815BD"/>
    <w:rsid w:val="00182194"/>
    <w:rsid w:val="00184452"/>
    <w:rsid w:val="00184476"/>
    <w:rsid w:val="00184B65"/>
    <w:rsid w:val="00184BD1"/>
    <w:rsid w:val="0018547A"/>
    <w:rsid w:val="00186934"/>
    <w:rsid w:val="00190A0C"/>
    <w:rsid w:val="00191607"/>
    <w:rsid w:val="001920DC"/>
    <w:rsid w:val="00192BA6"/>
    <w:rsid w:val="00192BAE"/>
    <w:rsid w:val="001960C7"/>
    <w:rsid w:val="00196A4D"/>
    <w:rsid w:val="001A028D"/>
    <w:rsid w:val="001A0C8E"/>
    <w:rsid w:val="001A1049"/>
    <w:rsid w:val="001A5091"/>
    <w:rsid w:val="001A6348"/>
    <w:rsid w:val="001A7CDA"/>
    <w:rsid w:val="001B0849"/>
    <w:rsid w:val="001B1ABB"/>
    <w:rsid w:val="001B20C5"/>
    <w:rsid w:val="001B25AC"/>
    <w:rsid w:val="001B4FAA"/>
    <w:rsid w:val="001C1816"/>
    <w:rsid w:val="001C1CF3"/>
    <w:rsid w:val="001C1EDB"/>
    <w:rsid w:val="001C37D5"/>
    <w:rsid w:val="001C417C"/>
    <w:rsid w:val="001C678A"/>
    <w:rsid w:val="001D0873"/>
    <w:rsid w:val="001D0CF6"/>
    <w:rsid w:val="001D1AD6"/>
    <w:rsid w:val="001D30FD"/>
    <w:rsid w:val="001D453C"/>
    <w:rsid w:val="001D7EAB"/>
    <w:rsid w:val="001E06F5"/>
    <w:rsid w:val="001E1622"/>
    <w:rsid w:val="001E30EB"/>
    <w:rsid w:val="001E4404"/>
    <w:rsid w:val="001E60C4"/>
    <w:rsid w:val="001F289D"/>
    <w:rsid w:val="001F3424"/>
    <w:rsid w:val="001F35ED"/>
    <w:rsid w:val="001F5056"/>
    <w:rsid w:val="001F5C76"/>
    <w:rsid w:val="001F6B53"/>
    <w:rsid w:val="002034A0"/>
    <w:rsid w:val="0020398A"/>
    <w:rsid w:val="0020401A"/>
    <w:rsid w:val="00204C1E"/>
    <w:rsid w:val="0020780F"/>
    <w:rsid w:val="002078FD"/>
    <w:rsid w:val="00207B82"/>
    <w:rsid w:val="00210268"/>
    <w:rsid w:val="002105B4"/>
    <w:rsid w:val="0021158F"/>
    <w:rsid w:val="00212D85"/>
    <w:rsid w:val="00213160"/>
    <w:rsid w:val="002131C5"/>
    <w:rsid w:val="00213D04"/>
    <w:rsid w:val="00214302"/>
    <w:rsid w:val="00214C0D"/>
    <w:rsid w:val="00215014"/>
    <w:rsid w:val="002159EF"/>
    <w:rsid w:val="00217B6D"/>
    <w:rsid w:val="00217D3E"/>
    <w:rsid w:val="00220DC9"/>
    <w:rsid w:val="002221B1"/>
    <w:rsid w:val="0022345A"/>
    <w:rsid w:val="0022349B"/>
    <w:rsid w:val="00224636"/>
    <w:rsid w:val="00224745"/>
    <w:rsid w:val="00224BE4"/>
    <w:rsid w:val="00225D96"/>
    <w:rsid w:val="002270BF"/>
    <w:rsid w:val="00230D29"/>
    <w:rsid w:val="00230D7E"/>
    <w:rsid w:val="00231DFB"/>
    <w:rsid w:val="00232386"/>
    <w:rsid w:val="00232BBB"/>
    <w:rsid w:val="0023342C"/>
    <w:rsid w:val="00235E42"/>
    <w:rsid w:val="0023700B"/>
    <w:rsid w:val="00243CD0"/>
    <w:rsid w:val="002454F1"/>
    <w:rsid w:val="00245DFD"/>
    <w:rsid w:val="00253271"/>
    <w:rsid w:val="002539C2"/>
    <w:rsid w:val="002567FB"/>
    <w:rsid w:val="0025716A"/>
    <w:rsid w:val="00260BC9"/>
    <w:rsid w:val="00260EDB"/>
    <w:rsid w:val="00261268"/>
    <w:rsid w:val="002627A9"/>
    <w:rsid w:val="00263457"/>
    <w:rsid w:val="0026627D"/>
    <w:rsid w:val="00267273"/>
    <w:rsid w:val="00270101"/>
    <w:rsid w:val="0027045B"/>
    <w:rsid w:val="0027184A"/>
    <w:rsid w:val="00271ACC"/>
    <w:rsid w:val="00271BAD"/>
    <w:rsid w:val="00273135"/>
    <w:rsid w:val="00273983"/>
    <w:rsid w:val="00274356"/>
    <w:rsid w:val="00274EA1"/>
    <w:rsid w:val="00277486"/>
    <w:rsid w:val="002775AC"/>
    <w:rsid w:val="00281EFB"/>
    <w:rsid w:val="002827D9"/>
    <w:rsid w:val="00282888"/>
    <w:rsid w:val="002853D5"/>
    <w:rsid w:val="00285980"/>
    <w:rsid w:val="00285F6B"/>
    <w:rsid w:val="00286EEF"/>
    <w:rsid w:val="00290B64"/>
    <w:rsid w:val="00292BFF"/>
    <w:rsid w:val="00293D30"/>
    <w:rsid w:val="002948B5"/>
    <w:rsid w:val="00296508"/>
    <w:rsid w:val="00296DF7"/>
    <w:rsid w:val="00297542"/>
    <w:rsid w:val="002A3763"/>
    <w:rsid w:val="002A4342"/>
    <w:rsid w:val="002A49B4"/>
    <w:rsid w:val="002B14D6"/>
    <w:rsid w:val="002B1A6B"/>
    <w:rsid w:val="002B1AD6"/>
    <w:rsid w:val="002B2B87"/>
    <w:rsid w:val="002B4D9B"/>
    <w:rsid w:val="002B4E1C"/>
    <w:rsid w:val="002B51B3"/>
    <w:rsid w:val="002B61DB"/>
    <w:rsid w:val="002B77C0"/>
    <w:rsid w:val="002C0140"/>
    <w:rsid w:val="002C120B"/>
    <w:rsid w:val="002C27B4"/>
    <w:rsid w:val="002C3111"/>
    <w:rsid w:val="002C316B"/>
    <w:rsid w:val="002C3A06"/>
    <w:rsid w:val="002C4AF3"/>
    <w:rsid w:val="002C583A"/>
    <w:rsid w:val="002C71D4"/>
    <w:rsid w:val="002D098E"/>
    <w:rsid w:val="002D2EE6"/>
    <w:rsid w:val="002D40C6"/>
    <w:rsid w:val="002D550E"/>
    <w:rsid w:val="002E08EF"/>
    <w:rsid w:val="002E0C3F"/>
    <w:rsid w:val="002E2FE0"/>
    <w:rsid w:val="002E4C2A"/>
    <w:rsid w:val="002E7C62"/>
    <w:rsid w:val="002F02DD"/>
    <w:rsid w:val="002F27A5"/>
    <w:rsid w:val="002F28AD"/>
    <w:rsid w:val="002F451B"/>
    <w:rsid w:val="002F4562"/>
    <w:rsid w:val="002F627F"/>
    <w:rsid w:val="003009AE"/>
    <w:rsid w:val="00300EE5"/>
    <w:rsid w:val="00301733"/>
    <w:rsid w:val="00302BA0"/>
    <w:rsid w:val="00303AC4"/>
    <w:rsid w:val="00303CF2"/>
    <w:rsid w:val="00304643"/>
    <w:rsid w:val="003056E3"/>
    <w:rsid w:val="00306BC4"/>
    <w:rsid w:val="003075F9"/>
    <w:rsid w:val="00310AC0"/>
    <w:rsid w:val="00312F86"/>
    <w:rsid w:val="00313BFD"/>
    <w:rsid w:val="00315334"/>
    <w:rsid w:val="003160DC"/>
    <w:rsid w:val="00316D4A"/>
    <w:rsid w:val="00317463"/>
    <w:rsid w:val="0032072D"/>
    <w:rsid w:val="00320E98"/>
    <w:rsid w:val="003214E4"/>
    <w:rsid w:val="00322780"/>
    <w:rsid w:val="003244A6"/>
    <w:rsid w:val="00330D5B"/>
    <w:rsid w:val="00332639"/>
    <w:rsid w:val="00332B30"/>
    <w:rsid w:val="00334AA2"/>
    <w:rsid w:val="00334B23"/>
    <w:rsid w:val="00334E02"/>
    <w:rsid w:val="00336846"/>
    <w:rsid w:val="00340C63"/>
    <w:rsid w:val="003413ED"/>
    <w:rsid w:val="0034350E"/>
    <w:rsid w:val="003448C8"/>
    <w:rsid w:val="00344B40"/>
    <w:rsid w:val="00344DD4"/>
    <w:rsid w:val="003454D3"/>
    <w:rsid w:val="00345DE2"/>
    <w:rsid w:val="00347FD5"/>
    <w:rsid w:val="003514F9"/>
    <w:rsid w:val="00351E2C"/>
    <w:rsid w:val="00352D79"/>
    <w:rsid w:val="00354985"/>
    <w:rsid w:val="00354C85"/>
    <w:rsid w:val="003557FE"/>
    <w:rsid w:val="00355F3D"/>
    <w:rsid w:val="00357BDA"/>
    <w:rsid w:val="0036020A"/>
    <w:rsid w:val="0036042E"/>
    <w:rsid w:val="00361555"/>
    <w:rsid w:val="00362F2C"/>
    <w:rsid w:val="00363F9F"/>
    <w:rsid w:val="00364D9A"/>
    <w:rsid w:val="003717EC"/>
    <w:rsid w:val="00371E9B"/>
    <w:rsid w:val="0037284B"/>
    <w:rsid w:val="00374412"/>
    <w:rsid w:val="00375FAC"/>
    <w:rsid w:val="00376898"/>
    <w:rsid w:val="00380193"/>
    <w:rsid w:val="00380434"/>
    <w:rsid w:val="003806F7"/>
    <w:rsid w:val="003807DC"/>
    <w:rsid w:val="00380CA5"/>
    <w:rsid w:val="00380CCB"/>
    <w:rsid w:val="00381AC3"/>
    <w:rsid w:val="003825A1"/>
    <w:rsid w:val="0038335F"/>
    <w:rsid w:val="003837B8"/>
    <w:rsid w:val="00384303"/>
    <w:rsid w:val="00385F56"/>
    <w:rsid w:val="003863C4"/>
    <w:rsid w:val="0038688B"/>
    <w:rsid w:val="00386A48"/>
    <w:rsid w:val="00386BAB"/>
    <w:rsid w:val="00392F63"/>
    <w:rsid w:val="00394122"/>
    <w:rsid w:val="00394B9D"/>
    <w:rsid w:val="003957EE"/>
    <w:rsid w:val="00397DD1"/>
    <w:rsid w:val="003A5E2F"/>
    <w:rsid w:val="003A641F"/>
    <w:rsid w:val="003B3336"/>
    <w:rsid w:val="003B4B43"/>
    <w:rsid w:val="003B6E97"/>
    <w:rsid w:val="003B7C49"/>
    <w:rsid w:val="003C02FD"/>
    <w:rsid w:val="003C063A"/>
    <w:rsid w:val="003C0A0E"/>
    <w:rsid w:val="003C0CA3"/>
    <w:rsid w:val="003C4FEA"/>
    <w:rsid w:val="003C6073"/>
    <w:rsid w:val="003C62C3"/>
    <w:rsid w:val="003C6BCF"/>
    <w:rsid w:val="003C6FC1"/>
    <w:rsid w:val="003C7DBB"/>
    <w:rsid w:val="003D03D5"/>
    <w:rsid w:val="003D068E"/>
    <w:rsid w:val="003D4BE1"/>
    <w:rsid w:val="003D556A"/>
    <w:rsid w:val="003D572B"/>
    <w:rsid w:val="003D7671"/>
    <w:rsid w:val="003D79A1"/>
    <w:rsid w:val="003E033A"/>
    <w:rsid w:val="003E1150"/>
    <w:rsid w:val="003E170B"/>
    <w:rsid w:val="003E319C"/>
    <w:rsid w:val="003E3D79"/>
    <w:rsid w:val="003E4081"/>
    <w:rsid w:val="003E40C4"/>
    <w:rsid w:val="003E4978"/>
    <w:rsid w:val="003F092B"/>
    <w:rsid w:val="003F1A86"/>
    <w:rsid w:val="003F2AA5"/>
    <w:rsid w:val="003F3636"/>
    <w:rsid w:val="003F4212"/>
    <w:rsid w:val="003F701A"/>
    <w:rsid w:val="003F7A9B"/>
    <w:rsid w:val="003F7FAD"/>
    <w:rsid w:val="0040232F"/>
    <w:rsid w:val="004032AB"/>
    <w:rsid w:val="00404220"/>
    <w:rsid w:val="0040430A"/>
    <w:rsid w:val="0040460B"/>
    <w:rsid w:val="004047CA"/>
    <w:rsid w:val="00405AE2"/>
    <w:rsid w:val="0040602E"/>
    <w:rsid w:val="004144EE"/>
    <w:rsid w:val="00417384"/>
    <w:rsid w:val="00420F0D"/>
    <w:rsid w:val="00422974"/>
    <w:rsid w:val="00422D64"/>
    <w:rsid w:val="00423318"/>
    <w:rsid w:val="00424392"/>
    <w:rsid w:val="00424856"/>
    <w:rsid w:val="00425F4F"/>
    <w:rsid w:val="00427025"/>
    <w:rsid w:val="004270E5"/>
    <w:rsid w:val="00432672"/>
    <w:rsid w:val="00433E5F"/>
    <w:rsid w:val="004362C2"/>
    <w:rsid w:val="00440242"/>
    <w:rsid w:val="00440BAB"/>
    <w:rsid w:val="00444370"/>
    <w:rsid w:val="00446709"/>
    <w:rsid w:val="00450C5F"/>
    <w:rsid w:val="004517D2"/>
    <w:rsid w:val="00452832"/>
    <w:rsid w:val="004543C4"/>
    <w:rsid w:val="00457157"/>
    <w:rsid w:val="00457365"/>
    <w:rsid w:val="00457D42"/>
    <w:rsid w:val="00461888"/>
    <w:rsid w:val="00461F3A"/>
    <w:rsid w:val="00463211"/>
    <w:rsid w:val="00464491"/>
    <w:rsid w:val="00464F5E"/>
    <w:rsid w:val="004659CC"/>
    <w:rsid w:val="00470E2C"/>
    <w:rsid w:val="00473143"/>
    <w:rsid w:val="0047564A"/>
    <w:rsid w:val="00475672"/>
    <w:rsid w:val="00477454"/>
    <w:rsid w:val="00477728"/>
    <w:rsid w:val="00477B50"/>
    <w:rsid w:val="004800E0"/>
    <w:rsid w:val="00481068"/>
    <w:rsid w:val="0048138F"/>
    <w:rsid w:val="0048229C"/>
    <w:rsid w:val="00482DCB"/>
    <w:rsid w:val="00482E3F"/>
    <w:rsid w:val="00482FD1"/>
    <w:rsid w:val="00483646"/>
    <w:rsid w:val="00484A33"/>
    <w:rsid w:val="004853CB"/>
    <w:rsid w:val="004855BF"/>
    <w:rsid w:val="00485D8C"/>
    <w:rsid w:val="004900E2"/>
    <w:rsid w:val="00491463"/>
    <w:rsid w:val="0049184F"/>
    <w:rsid w:val="00491E07"/>
    <w:rsid w:val="0049288F"/>
    <w:rsid w:val="0049354F"/>
    <w:rsid w:val="00495081"/>
    <w:rsid w:val="0049539A"/>
    <w:rsid w:val="004960EB"/>
    <w:rsid w:val="00496602"/>
    <w:rsid w:val="00496F61"/>
    <w:rsid w:val="00497E2C"/>
    <w:rsid w:val="004A48D4"/>
    <w:rsid w:val="004A4B43"/>
    <w:rsid w:val="004A5A86"/>
    <w:rsid w:val="004B20F2"/>
    <w:rsid w:val="004B21E4"/>
    <w:rsid w:val="004B2281"/>
    <w:rsid w:val="004B2E0A"/>
    <w:rsid w:val="004B3155"/>
    <w:rsid w:val="004B372B"/>
    <w:rsid w:val="004B62DA"/>
    <w:rsid w:val="004B7FD8"/>
    <w:rsid w:val="004C120B"/>
    <w:rsid w:val="004C174B"/>
    <w:rsid w:val="004C22E6"/>
    <w:rsid w:val="004C2EBB"/>
    <w:rsid w:val="004C5F9A"/>
    <w:rsid w:val="004C608D"/>
    <w:rsid w:val="004C69FC"/>
    <w:rsid w:val="004D0E26"/>
    <w:rsid w:val="004D1E02"/>
    <w:rsid w:val="004D45D4"/>
    <w:rsid w:val="004D53A1"/>
    <w:rsid w:val="004D5924"/>
    <w:rsid w:val="004D5A62"/>
    <w:rsid w:val="004D5B1C"/>
    <w:rsid w:val="004D5D25"/>
    <w:rsid w:val="004D66DA"/>
    <w:rsid w:val="004D688A"/>
    <w:rsid w:val="004E0CA6"/>
    <w:rsid w:val="004E17BF"/>
    <w:rsid w:val="004E1AE8"/>
    <w:rsid w:val="004E1BBA"/>
    <w:rsid w:val="004E1DDC"/>
    <w:rsid w:val="004E26E0"/>
    <w:rsid w:val="004E416C"/>
    <w:rsid w:val="004E65E7"/>
    <w:rsid w:val="004E6C2B"/>
    <w:rsid w:val="004E6EDD"/>
    <w:rsid w:val="004F05E7"/>
    <w:rsid w:val="004F0F0B"/>
    <w:rsid w:val="004F1C4B"/>
    <w:rsid w:val="004F214A"/>
    <w:rsid w:val="004F21CE"/>
    <w:rsid w:val="004F4CB4"/>
    <w:rsid w:val="004F650E"/>
    <w:rsid w:val="004F67BD"/>
    <w:rsid w:val="00503A80"/>
    <w:rsid w:val="005047EA"/>
    <w:rsid w:val="00505A08"/>
    <w:rsid w:val="00511509"/>
    <w:rsid w:val="00511721"/>
    <w:rsid w:val="005127D2"/>
    <w:rsid w:val="00514DCB"/>
    <w:rsid w:val="005152E7"/>
    <w:rsid w:val="00515D03"/>
    <w:rsid w:val="00521AB9"/>
    <w:rsid w:val="00522341"/>
    <w:rsid w:val="00524176"/>
    <w:rsid w:val="00525334"/>
    <w:rsid w:val="00525AE7"/>
    <w:rsid w:val="00525F98"/>
    <w:rsid w:val="00526D17"/>
    <w:rsid w:val="0052792B"/>
    <w:rsid w:val="00527BA5"/>
    <w:rsid w:val="00531CA2"/>
    <w:rsid w:val="00531E77"/>
    <w:rsid w:val="005346FF"/>
    <w:rsid w:val="00535A0C"/>
    <w:rsid w:val="00540977"/>
    <w:rsid w:val="00544052"/>
    <w:rsid w:val="00544880"/>
    <w:rsid w:val="005450E3"/>
    <w:rsid w:val="0054760F"/>
    <w:rsid w:val="00551A2A"/>
    <w:rsid w:val="00552306"/>
    <w:rsid w:val="00552BE1"/>
    <w:rsid w:val="00553858"/>
    <w:rsid w:val="00553907"/>
    <w:rsid w:val="005572A6"/>
    <w:rsid w:val="00557363"/>
    <w:rsid w:val="00557F51"/>
    <w:rsid w:val="00560FDB"/>
    <w:rsid w:val="00561304"/>
    <w:rsid w:val="00561AD3"/>
    <w:rsid w:val="00561F92"/>
    <w:rsid w:val="00563C43"/>
    <w:rsid w:val="00564F82"/>
    <w:rsid w:val="00565A2A"/>
    <w:rsid w:val="005665C9"/>
    <w:rsid w:val="00567070"/>
    <w:rsid w:val="005677A2"/>
    <w:rsid w:val="005700E0"/>
    <w:rsid w:val="005710BE"/>
    <w:rsid w:val="0057223B"/>
    <w:rsid w:val="005727ED"/>
    <w:rsid w:val="00573780"/>
    <w:rsid w:val="00573CA3"/>
    <w:rsid w:val="00574269"/>
    <w:rsid w:val="00574925"/>
    <w:rsid w:val="00575106"/>
    <w:rsid w:val="005771A3"/>
    <w:rsid w:val="00582B9E"/>
    <w:rsid w:val="0058339D"/>
    <w:rsid w:val="00583B62"/>
    <w:rsid w:val="00583DC0"/>
    <w:rsid w:val="0058414E"/>
    <w:rsid w:val="005841DE"/>
    <w:rsid w:val="005855E8"/>
    <w:rsid w:val="00585E16"/>
    <w:rsid w:val="00590827"/>
    <w:rsid w:val="00591712"/>
    <w:rsid w:val="00591F96"/>
    <w:rsid w:val="00592141"/>
    <w:rsid w:val="00593CCE"/>
    <w:rsid w:val="00593D01"/>
    <w:rsid w:val="00593FF4"/>
    <w:rsid w:val="005942A5"/>
    <w:rsid w:val="0059469D"/>
    <w:rsid w:val="00596CF4"/>
    <w:rsid w:val="005A1771"/>
    <w:rsid w:val="005A3078"/>
    <w:rsid w:val="005A367D"/>
    <w:rsid w:val="005A6156"/>
    <w:rsid w:val="005B11D8"/>
    <w:rsid w:val="005B2CC3"/>
    <w:rsid w:val="005B5258"/>
    <w:rsid w:val="005B5609"/>
    <w:rsid w:val="005B5684"/>
    <w:rsid w:val="005C00F9"/>
    <w:rsid w:val="005C0998"/>
    <w:rsid w:val="005C1F74"/>
    <w:rsid w:val="005C22CE"/>
    <w:rsid w:val="005C2C4B"/>
    <w:rsid w:val="005C65EB"/>
    <w:rsid w:val="005C71BF"/>
    <w:rsid w:val="005C764A"/>
    <w:rsid w:val="005C781F"/>
    <w:rsid w:val="005C7E8E"/>
    <w:rsid w:val="005D0220"/>
    <w:rsid w:val="005D259F"/>
    <w:rsid w:val="005D3414"/>
    <w:rsid w:val="005D3539"/>
    <w:rsid w:val="005D43A6"/>
    <w:rsid w:val="005D5944"/>
    <w:rsid w:val="005D59DC"/>
    <w:rsid w:val="005D6666"/>
    <w:rsid w:val="005E09FD"/>
    <w:rsid w:val="005E1155"/>
    <w:rsid w:val="005E449B"/>
    <w:rsid w:val="005E5738"/>
    <w:rsid w:val="005E578B"/>
    <w:rsid w:val="005E63B5"/>
    <w:rsid w:val="005E68D5"/>
    <w:rsid w:val="005E752A"/>
    <w:rsid w:val="005F037D"/>
    <w:rsid w:val="005F09EB"/>
    <w:rsid w:val="005F0E01"/>
    <w:rsid w:val="005F152D"/>
    <w:rsid w:val="005F1615"/>
    <w:rsid w:val="005F1897"/>
    <w:rsid w:val="005F1918"/>
    <w:rsid w:val="005F1AB8"/>
    <w:rsid w:val="005F299F"/>
    <w:rsid w:val="005F3AC4"/>
    <w:rsid w:val="005F4122"/>
    <w:rsid w:val="005F5464"/>
    <w:rsid w:val="005F5816"/>
    <w:rsid w:val="005F6082"/>
    <w:rsid w:val="005F670B"/>
    <w:rsid w:val="005F72B9"/>
    <w:rsid w:val="00600E3C"/>
    <w:rsid w:val="006016EF"/>
    <w:rsid w:val="00602BF8"/>
    <w:rsid w:val="00603618"/>
    <w:rsid w:val="00605852"/>
    <w:rsid w:val="006060DB"/>
    <w:rsid w:val="00607750"/>
    <w:rsid w:val="00610050"/>
    <w:rsid w:val="00610169"/>
    <w:rsid w:val="00612549"/>
    <w:rsid w:val="006128B4"/>
    <w:rsid w:val="006146A7"/>
    <w:rsid w:val="00614A97"/>
    <w:rsid w:val="00614D47"/>
    <w:rsid w:val="006153FF"/>
    <w:rsid w:val="00615B20"/>
    <w:rsid w:val="006174F8"/>
    <w:rsid w:val="00621602"/>
    <w:rsid w:val="00621D1A"/>
    <w:rsid w:val="00621D41"/>
    <w:rsid w:val="00621D96"/>
    <w:rsid w:val="006241CD"/>
    <w:rsid w:val="0062429D"/>
    <w:rsid w:val="006242B1"/>
    <w:rsid w:val="00624ECA"/>
    <w:rsid w:val="00625453"/>
    <w:rsid w:val="00625EE4"/>
    <w:rsid w:val="00626184"/>
    <w:rsid w:val="00626DDE"/>
    <w:rsid w:val="00627AAE"/>
    <w:rsid w:val="00630346"/>
    <w:rsid w:val="0063073D"/>
    <w:rsid w:val="0063090F"/>
    <w:rsid w:val="00633AD3"/>
    <w:rsid w:val="00637517"/>
    <w:rsid w:val="006414E2"/>
    <w:rsid w:val="006429AD"/>
    <w:rsid w:val="00642A3F"/>
    <w:rsid w:val="00642EA5"/>
    <w:rsid w:val="00646322"/>
    <w:rsid w:val="00646FBD"/>
    <w:rsid w:val="0065036D"/>
    <w:rsid w:val="0065104C"/>
    <w:rsid w:val="00652DCD"/>
    <w:rsid w:val="00655612"/>
    <w:rsid w:val="00657258"/>
    <w:rsid w:val="006622FC"/>
    <w:rsid w:val="00663D3B"/>
    <w:rsid w:val="0066430E"/>
    <w:rsid w:val="00664917"/>
    <w:rsid w:val="00665071"/>
    <w:rsid w:val="00666473"/>
    <w:rsid w:val="00667A05"/>
    <w:rsid w:val="00667E20"/>
    <w:rsid w:val="00670170"/>
    <w:rsid w:val="0067156C"/>
    <w:rsid w:val="00671B84"/>
    <w:rsid w:val="0067255F"/>
    <w:rsid w:val="006737F1"/>
    <w:rsid w:val="00675B1B"/>
    <w:rsid w:val="00675F9D"/>
    <w:rsid w:val="0068029B"/>
    <w:rsid w:val="00685B32"/>
    <w:rsid w:val="00685D3F"/>
    <w:rsid w:val="00686186"/>
    <w:rsid w:val="0068681E"/>
    <w:rsid w:val="00687C99"/>
    <w:rsid w:val="00690B81"/>
    <w:rsid w:val="006923C1"/>
    <w:rsid w:val="00693401"/>
    <w:rsid w:val="00693AF8"/>
    <w:rsid w:val="00694198"/>
    <w:rsid w:val="0069558B"/>
    <w:rsid w:val="00695724"/>
    <w:rsid w:val="006A1090"/>
    <w:rsid w:val="006A19DB"/>
    <w:rsid w:val="006A276E"/>
    <w:rsid w:val="006A3618"/>
    <w:rsid w:val="006A4C65"/>
    <w:rsid w:val="006A5721"/>
    <w:rsid w:val="006A64F9"/>
    <w:rsid w:val="006A763B"/>
    <w:rsid w:val="006B09C8"/>
    <w:rsid w:val="006B0F04"/>
    <w:rsid w:val="006B0F3F"/>
    <w:rsid w:val="006B2560"/>
    <w:rsid w:val="006B449B"/>
    <w:rsid w:val="006B4F3E"/>
    <w:rsid w:val="006B5FB4"/>
    <w:rsid w:val="006B6492"/>
    <w:rsid w:val="006B6AE0"/>
    <w:rsid w:val="006B6F30"/>
    <w:rsid w:val="006B7D8D"/>
    <w:rsid w:val="006C0130"/>
    <w:rsid w:val="006C01E4"/>
    <w:rsid w:val="006C0D17"/>
    <w:rsid w:val="006C140D"/>
    <w:rsid w:val="006C1989"/>
    <w:rsid w:val="006C1B0D"/>
    <w:rsid w:val="006C1D43"/>
    <w:rsid w:val="006C4B4A"/>
    <w:rsid w:val="006C5ACA"/>
    <w:rsid w:val="006C5D85"/>
    <w:rsid w:val="006C6F88"/>
    <w:rsid w:val="006C7B21"/>
    <w:rsid w:val="006C7CA8"/>
    <w:rsid w:val="006D1B5E"/>
    <w:rsid w:val="006D6C58"/>
    <w:rsid w:val="006D71DA"/>
    <w:rsid w:val="006D7353"/>
    <w:rsid w:val="006E215F"/>
    <w:rsid w:val="006E2D52"/>
    <w:rsid w:val="006E522B"/>
    <w:rsid w:val="006E5271"/>
    <w:rsid w:val="006E5F4C"/>
    <w:rsid w:val="006E62E5"/>
    <w:rsid w:val="006E6413"/>
    <w:rsid w:val="006F034F"/>
    <w:rsid w:val="006F089F"/>
    <w:rsid w:val="006F0CAE"/>
    <w:rsid w:val="006F12B2"/>
    <w:rsid w:val="006F1902"/>
    <w:rsid w:val="006F2564"/>
    <w:rsid w:val="006F26B4"/>
    <w:rsid w:val="006F3305"/>
    <w:rsid w:val="006F3332"/>
    <w:rsid w:val="006F3860"/>
    <w:rsid w:val="006F43F5"/>
    <w:rsid w:val="006F49A4"/>
    <w:rsid w:val="006F4CF2"/>
    <w:rsid w:val="006F5682"/>
    <w:rsid w:val="006F5B71"/>
    <w:rsid w:val="006F76DA"/>
    <w:rsid w:val="006F7B08"/>
    <w:rsid w:val="007000F6"/>
    <w:rsid w:val="00700560"/>
    <w:rsid w:val="00701CBB"/>
    <w:rsid w:val="0070203A"/>
    <w:rsid w:val="007040EE"/>
    <w:rsid w:val="00706036"/>
    <w:rsid w:val="00706286"/>
    <w:rsid w:val="00707474"/>
    <w:rsid w:val="0071058D"/>
    <w:rsid w:val="0071129E"/>
    <w:rsid w:val="0071198A"/>
    <w:rsid w:val="007130A9"/>
    <w:rsid w:val="0071316E"/>
    <w:rsid w:val="007135E5"/>
    <w:rsid w:val="007143C8"/>
    <w:rsid w:val="00714F67"/>
    <w:rsid w:val="0071528F"/>
    <w:rsid w:val="00715AA7"/>
    <w:rsid w:val="0072078C"/>
    <w:rsid w:val="007212AC"/>
    <w:rsid w:val="007249D3"/>
    <w:rsid w:val="00724FBF"/>
    <w:rsid w:val="00725850"/>
    <w:rsid w:val="00731A10"/>
    <w:rsid w:val="007325A4"/>
    <w:rsid w:val="00732C3E"/>
    <w:rsid w:val="00734DF0"/>
    <w:rsid w:val="0073657E"/>
    <w:rsid w:val="00737032"/>
    <w:rsid w:val="00740423"/>
    <w:rsid w:val="00740C0D"/>
    <w:rsid w:val="0074453C"/>
    <w:rsid w:val="00747FA6"/>
    <w:rsid w:val="007532A6"/>
    <w:rsid w:val="00753FBF"/>
    <w:rsid w:val="00755977"/>
    <w:rsid w:val="00756DBD"/>
    <w:rsid w:val="00756E36"/>
    <w:rsid w:val="00760DD0"/>
    <w:rsid w:val="0076252A"/>
    <w:rsid w:val="007628EE"/>
    <w:rsid w:val="00764FB2"/>
    <w:rsid w:val="00765318"/>
    <w:rsid w:val="007654CF"/>
    <w:rsid w:val="00765E7F"/>
    <w:rsid w:val="007661D4"/>
    <w:rsid w:val="00766885"/>
    <w:rsid w:val="00767E8A"/>
    <w:rsid w:val="00770C24"/>
    <w:rsid w:val="00771387"/>
    <w:rsid w:val="0077336E"/>
    <w:rsid w:val="0077401B"/>
    <w:rsid w:val="00774F5C"/>
    <w:rsid w:val="007771D5"/>
    <w:rsid w:val="0077732D"/>
    <w:rsid w:val="00777B6A"/>
    <w:rsid w:val="00782C23"/>
    <w:rsid w:val="0078329A"/>
    <w:rsid w:val="00784430"/>
    <w:rsid w:val="007860D8"/>
    <w:rsid w:val="007873CA"/>
    <w:rsid w:val="00787EA1"/>
    <w:rsid w:val="0079011C"/>
    <w:rsid w:val="00790B64"/>
    <w:rsid w:val="00791431"/>
    <w:rsid w:val="007918BE"/>
    <w:rsid w:val="00792650"/>
    <w:rsid w:val="00792A3C"/>
    <w:rsid w:val="00793831"/>
    <w:rsid w:val="00794993"/>
    <w:rsid w:val="00797266"/>
    <w:rsid w:val="0079741B"/>
    <w:rsid w:val="007A1316"/>
    <w:rsid w:val="007A131F"/>
    <w:rsid w:val="007A1B51"/>
    <w:rsid w:val="007A3416"/>
    <w:rsid w:val="007A3841"/>
    <w:rsid w:val="007A5579"/>
    <w:rsid w:val="007A6056"/>
    <w:rsid w:val="007A76F6"/>
    <w:rsid w:val="007A7C32"/>
    <w:rsid w:val="007B0515"/>
    <w:rsid w:val="007B1F3A"/>
    <w:rsid w:val="007B2C47"/>
    <w:rsid w:val="007B382B"/>
    <w:rsid w:val="007B4A95"/>
    <w:rsid w:val="007B5FF7"/>
    <w:rsid w:val="007B62CD"/>
    <w:rsid w:val="007B6534"/>
    <w:rsid w:val="007B7B6A"/>
    <w:rsid w:val="007B7CEB"/>
    <w:rsid w:val="007C104B"/>
    <w:rsid w:val="007C105B"/>
    <w:rsid w:val="007C2135"/>
    <w:rsid w:val="007C2B1A"/>
    <w:rsid w:val="007C33C4"/>
    <w:rsid w:val="007C40AC"/>
    <w:rsid w:val="007C4BB9"/>
    <w:rsid w:val="007C566A"/>
    <w:rsid w:val="007C5B0F"/>
    <w:rsid w:val="007C75D3"/>
    <w:rsid w:val="007D0B5A"/>
    <w:rsid w:val="007D369A"/>
    <w:rsid w:val="007D660E"/>
    <w:rsid w:val="007D70CE"/>
    <w:rsid w:val="007D771A"/>
    <w:rsid w:val="007E0E61"/>
    <w:rsid w:val="007E1147"/>
    <w:rsid w:val="007E11D6"/>
    <w:rsid w:val="007E156B"/>
    <w:rsid w:val="007E2BA2"/>
    <w:rsid w:val="007E304A"/>
    <w:rsid w:val="007E31B2"/>
    <w:rsid w:val="007E46E6"/>
    <w:rsid w:val="007E6FFC"/>
    <w:rsid w:val="007E7914"/>
    <w:rsid w:val="007E7DD1"/>
    <w:rsid w:val="007F03D4"/>
    <w:rsid w:val="007F36BA"/>
    <w:rsid w:val="007F3F63"/>
    <w:rsid w:val="007F52B9"/>
    <w:rsid w:val="007F6178"/>
    <w:rsid w:val="007F6B8B"/>
    <w:rsid w:val="007F6CD1"/>
    <w:rsid w:val="007F6CDE"/>
    <w:rsid w:val="007F6D03"/>
    <w:rsid w:val="007F7A48"/>
    <w:rsid w:val="008008BD"/>
    <w:rsid w:val="00803BDB"/>
    <w:rsid w:val="00803D94"/>
    <w:rsid w:val="0080611A"/>
    <w:rsid w:val="008070D1"/>
    <w:rsid w:val="008102F2"/>
    <w:rsid w:val="00810CFD"/>
    <w:rsid w:val="00815328"/>
    <w:rsid w:val="00815EC9"/>
    <w:rsid w:val="00816A00"/>
    <w:rsid w:val="008217D6"/>
    <w:rsid w:val="00822E1F"/>
    <w:rsid w:val="00823F65"/>
    <w:rsid w:val="0082414B"/>
    <w:rsid w:val="00826B7E"/>
    <w:rsid w:val="00831722"/>
    <w:rsid w:val="00832115"/>
    <w:rsid w:val="00832626"/>
    <w:rsid w:val="0083318C"/>
    <w:rsid w:val="008335A6"/>
    <w:rsid w:val="008345D6"/>
    <w:rsid w:val="0083610C"/>
    <w:rsid w:val="0083648B"/>
    <w:rsid w:val="00836A9C"/>
    <w:rsid w:val="00836E43"/>
    <w:rsid w:val="00837049"/>
    <w:rsid w:val="00841A8C"/>
    <w:rsid w:val="00842D7A"/>
    <w:rsid w:val="00843640"/>
    <w:rsid w:val="00844EB1"/>
    <w:rsid w:val="008458D8"/>
    <w:rsid w:val="008467B8"/>
    <w:rsid w:val="008468BC"/>
    <w:rsid w:val="00846EB4"/>
    <w:rsid w:val="00847854"/>
    <w:rsid w:val="00847BDB"/>
    <w:rsid w:val="0085123C"/>
    <w:rsid w:val="008531FC"/>
    <w:rsid w:val="00853E12"/>
    <w:rsid w:val="008545F7"/>
    <w:rsid w:val="00855349"/>
    <w:rsid w:val="0085613F"/>
    <w:rsid w:val="0086222C"/>
    <w:rsid w:val="008635F1"/>
    <w:rsid w:val="00863D11"/>
    <w:rsid w:val="00864A4E"/>
    <w:rsid w:val="00865CE8"/>
    <w:rsid w:val="00866AC7"/>
    <w:rsid w:val="00866B8B"/>
    <w:rsid w:val="008674B3"/>
    <w:rsid w:val="0087037B"/>
    <w:rsid w:val="00870921"/>
    <w:rsid w:val="00871167"/>
    <w:rsid w:val="00871349"/>
    <w:rsid w:val="00871949"/>
    <w:rsid w:val="008734A6"/>
    <w:rsid w:val="00873A16"/>
    <w:rsid w:val="0087405D"/>
    <w:rsid w:val="00874166"/>
    <w:rsid w:val="00875AD6"/>
    <w:rsid w:val="008764CC"/>
    <w:rsid w:val="0087675A"/>
    <w:rsid w:val="00876C38"/>
    <w:rsid w:val="00876DEA"/>
    <w:rsid w:val="00876FF4"/>
    <w:rsid w:val="00877912"/>
    <w:rsid w:val="00880E29"/>
    <w:rsid w:val="00881DFE"/>
    <w:rsid w:val="00882577"/>
    <w:rsid w:val="0088258A"/>
    <w:rsid w:val="00882C14"/>
    <w:rsid w:val="008831CC"/>
    <w:rsid w:val="008836F9"/>
    <w:rsid w:val="008841FD"/>
    <w:rsid w:val="0088652E"/>
    <w:rsid w:val="00891DAA"/>
    <w:rsid w:val="008925AB"/>
    <w:rsid w:val="008931E9"/>
    <w:rsid w:val="00893846"/>
    <w:rsid w:val="0089492E"/>
    <w:rsid w:val="00895DBB"/>
    <w:rsid w:val="00896A0C"/>
    <w:rsid w:val="00897A01"/>
    <w:rsid w:val="008A16A2"/>
    <w:rsid w:val="008A41B9"/>
    <w:rsid w:val="008A4684"/>
    <w:rsid w:val="008A4F40"/>
    <w:rsid w:val="008A521C"/>
    <w:rsid w:val="008A7203"/>
    <w:rsid w:val="008A76E6"/>
    <w:rsid w:val="008A7E0D"/>
    <w:rsid w:val="008B2CD3"/>
    <w:rsid w:val="008B2F3F"/>
    <w:rsid w:val="008B3A0D"/>
    <w:rsid w:val="008B4D06"/>
    <w:rsid w:val="008B4F69"/>
    <w:rsid w:val="008B5586"/>
    <w:rsid w:val="008B6C85"/>
    <w:rsid w:val="008B7598"/>
    <w:rsid w:val="008B7A80"/>
    <w:rsid w:val="008B7C79"/>
    <w:rsid w:val="008B7DA2"/>
    <w:rsid w:val="008C1AFD"/>
    <w:rsid w:val="008C208C"/>
    <w:rsid w:val="008C2637"/>
    <w:rsid w:val="008C4F76"/>
    <w:rsid w:val="008C575C"/>
    <w:rsid w:val="008D0BB7"/>
    <w:rsid w:val="008D49F2"/>
    <w:rsid w:val="008D52A8"/>
    <w:rsid w:val="008E12E5"/>
    <w:rsid w:val="008E1CBA"/>
    <w:rsid w:val="008E2F1A"/>
    <w:rsid w:val="008E3121"/>
    <w:rsid w:val="008E3275"/>
    <w:rsid w:val="008E52BF"/>
    <w:rsid w:val="008E64B1"/>
    <w:rsid w:val="008F0290"/>
    <w:rsid w:val="008F0422"/>
    <w:rsid w:val="008F0575"/>
    <w:rsid w:val="008F07FF"/>
    <w:rsid w:val="008F17F1"/>
    <w:rsid w:val="008F2F06"/>
    <w:rsid w:val="008F326C"/>
    <w:rsid w:val="008F35D1"/>
    <w:rsid w:val="008F51F2"/>
    <w:rsid w:val="008F7D17"/>
    <w:rsid w:val="009004A9"/>
    <w:rsid w:val="009011DD"/>
    <w:rsid w:val="00901891"/>
    <w:rsid w:val="0090278F"/>
    <w:rsid w:val="00902BCB"/>
    <w:rsid w:val="00902D7B"/>
    <w:rsid w:val="0090382B"/>
    <w:rsid w:val="009039C6"/>
    <w:rsid w:val="00904F48"/>
    <w:rsid w:val="00905A36"/>
    <w:rsid w:val="00905FE5"/>
    <w:rsid w:val="0090780B"/>
    <w:rsid w:val="009079DA"/>
    <w:rsid w:val="00907BC7"/>
    <w:rsid w:val="00912690"/>
    <w:rsid w:val="009146DE"/>
    <w:rsid w:val="0091488F"/>
    <w:rsid w:val="00915417"/>
    <w:rsid w:val="0091683A"/>
    <w:rsid w:val="00917329"/>
    <w:rsid w:val="00920672"/>
    <w:rsid w:val="00921180"/>
    <w:rsid w:val="0092242D"/>
    <w:rsid w:val="00922D62"/>
    <w:rsid w:val="0092312F"/>
    <w:rsid w:val="00923624"/>
    <w:rsid w:val="00923DD0"/>
    <w:rsid w:val="00925037"/>
    <w:rsid w:val="00927BDB"/>
    <w:rsid w:val="00932D0B"/>
    <w:rsid w:val="00934A48"/>
    <w:rsid w:val="00934AC2"/>
    <w:rsid w:val="00934EE2"/>
    <w:rsid w:val="0094057F"/>
    <w:rsid w:val="009407C4"/>
    <w:rsid w:val="00941904"/>
    <w:rsid w:val="009423E7"/>
    <w:rsid w:val="00943293"/>
    <w:rsid w:val="009432A2"/>
    <w:rsid w:val="009433D2"/>
    <w:rsid w:val="00943EE5"/>
    <w:rsid w:val="009454BC"/>
    <w:rsid w:val="00945AAE"/>
    <w:rsid w:val="00945DAA"/>
    <w:rsid w:val="009466DE"/>
    <w:rsid w:val="00946813"/>
    <w:rsid w:val="009468BF"/>
    <w:rsid w:val="009471A7"/>
    <w:rsid w:val="00947423"/>
    <w:rsid w:val="00951442"/>
    <w:rsid w:val="00952E19"/>
    <w:rsid w:val="00952F01"/>
    <w:rsid w:val="009534EB"/>
    <w:rsid w:val="00957BE4"/>
    <w:rsid w:val="00960919"/>
    <w:rsid w:val="00960A44"/>
    <w:rsid w:val="00962028"/>
    <w:rsid w:val="00962D7F"/>
    <w:rsid w:val="009647D4"/>
    <w:rsid w:val="009648FC"/>
    <w:rsid w:val="00966BEE"/>
    <w:rsid w:val="0096746B"/>
    <w:rsid w:val="00973B48"/>
    <w:rsid w:val="00973B50"/>
    <w:rsid w:val="0097651C"/>
    <w:rsid w:val="00976882"/>
    <w:rsid w:val="0097714E"/>
    <w:rsid w:val="009815C2"/>
    <w:rsid w:val="009833CD"/>
    <w:rsid w:val="009836FB"/>
    <w:rsid w:val="0098568D"/>
    <w:rsid w:val="009923A8"/>
    <w:rsid w:val="009930B3"/>
    <w:rsid w:val="00994AFE"/>
    <w:rsid w:val="00995B62"/>
    <w:rsid w:val="00995CA5"/>
    <w:rsid w:val="00997102"/>
    <w:rsid w:val="009977CC"/>
    <w:rsid w:val="009977F5"/>
    <w:rsid w:val="009A29D1"/>
    <w:rsid w:val="009A3016"/>
    <w:rsid w:val="009A3130"/>
    <w:rsid w:val="009A3190"/>
    <w:rsid w:val="009A4C15"/>
    <w:rsid w:val="009A5220"/>
    <w:rsid w:val="009A69C0"/>
    <w:rsid w:val="009A6D31"/>
    <w:rsid w:val="009B0797"/>
    <w:rsid w:val="009B1A45"/>
    <w:rsid w:val="009B26E0"/>
    <w:rsid w:val="009B5C7D"/>
    <w:rsid w:val="009B630C"/>
    <w:rsid w:val="009C056E"/>
    <w:rsid w:val="009C2662"/>
    <w:rsid w:val="009C27A8"/>
    <w:rsid w:val="009C4197"/>
    <w:rsid w:val="009C4322"/>
    <w:rsid w:val="009C4A8E"/>
    <w:rsid w:val="009C550C"/>
    <w:rsid w:val="009C77A2"/>
    <w:rsid w:val="009D2557"/>
    <w:rsid w:val="009D2EAA"/>
    <w:rsid w:val="009D3925"/>
    <w:rsid w:val="009D4457"/>
    <w:rsid w:val="009D579B"/>
    <w:rsid w:val="009D7BA2"/>
    <w:rsid w:val="009E0992"/>
    <w:rsid w:val="009E1A19"/>
    <w:rsid w:val="009E2AC7"/>
    <w:rsid w:val="009E3119"/>
    <w:rsid w:val="009E45FA"/>
    <w:rsid w:val="009E5AA2"/>
    <w:rsid w:val="009E5CF6"/>
    <w:rsid w:val="009E6865"/>
    <w:rsid w:val="009E6CC5"/>
    <w:rsid w:val="009E7563"/>
    <w:rsid w:val="009F062D"/>
    <w:rsid w:val="009F0E10"/>
    <w:rsid w:val="009F294A"/>
    <w:rsid w:val="009F2EE0"/>
    <w:rsid w:val="009F341C"/>
    <w:rsid w:val="009F4584"/>
    <w:rsid w:val="00A00B3B"/>
    <w:rsid w:val="00A01A7A"/>
    <w:rsid w:val="00A033C9"/>
    <w:rsid w:val="00A0687B"/>
    <w:rsid w:val="00A06CF1"/>
    <w:rsid w:val="00A073D7"/>
    <w:rsid w:val="00A0789C"/>
    <w:rsid w:val="00A0798A"/>
    <w:rsid w:val="00A07C5E"/>
    <w:rsid w:val="00A10D8A"/>
    <w:rsid w:val="00A11174"/>
    <w:rsid w:val="00A116D5"/>
    <w:rsid w:val="00A11750"/>
    <w:rsid w:val="00A12BF1"/>
    <w:rsid w:val="00A137F6"/>
    <w:rsid w:val="00A139D3"/>
    <w:rsid w:val="00A1622F"/>
    <w:rsid w:val="00A17357"/>
    <w:rsid w:val="00A2298A"/>
    <w:rsid w:val="00A2466D"/>
    <w:rsid w:val="00A25503"/>
    <w:rsid w:val="00A259E0"/>
    <w:rsid w:val="00A262C2"/>
    <w:rsid w:val="00A267C5"/>
    <w:rsid w:val="00A267FC"/>
    <w:rsid w:val="00A26A5D"/>
    <w:rsid w:val="00A27E9D"/>
    <w:rsid w:val="00A309FF"/>
    <w:rsid w:val="00A31417"/>
    <w:rsid w:val="00A32B34"/>
    <w:rsid w:val="00A33B72"/>
    <w:rsid w:val="00A344D4"/>
    <w:rsid w:val="00A364F5"/>
    <w:rsid w:val="00A430CD"/>
    <w:rsid w:val="00A45055"/>
    <w:rsid w:val="00A4576F"/>
    <w:rsid w:val="00A45CF7"/>
    <w:rsid w:val="00A46673"/>
    <w:rsid w:val="00A46865"/>
    <w:rsid w:val="00A475B1"/>
    <w:rsid w:val="00A477DB"/>
    <w:rsid w:val="00A47A72"/>
    <w:rsid w:val="00A50D1C"/>
    <w:rsid w:val="00A5157F"/>
    <w:rsid w:val="00A52146"/>
    <w:rsid w:val="00A54131"/>
    <w:rsid w:val="00A616E8"/>
    <w:rsid w:val="00A6172D"/>
    <w:rsid w:val="00A6222F"/>
    <w:rsid w:val="00A62367"/>
    <w:rsid w:val="00A62DF2"/>
    <w:rsid w:val="00A63917"/>
    <w:rsid w:val="00A642F0"/>
    <w:rsid w:val="00A64847"/>
    <w:rsid w:val="00A65072"/>
    <w:rsid w:val="00A655CB"/>
    <w:rsid w:val="00A70D4F"/>
    <w:rsid w:val="00A715EC"/>
    <w:rsid w:val="00A7221D"/>
    <w:rsid w:val="00A72BBE"/>
    <w:rsid w:val="00A73051"/>
    <w:rsid w:val="00A74952"/>
    <w:rsid w:val="00A76638"/>
    <w:rsid w:val="00A76697"/>
    <w:rsid w:val="00A7690E"/>
    <w:rsid w:val="00A76993"/>
    <w:rsid w:val="00A76C1D"/>
    <w:rsid w:val="00A778C9"/>
    <w:rsid w:val="00A80F16"/>
    <w:rsid w:val="00A81123"/>
    <w:rsid w:val="00A82505"/>
    <w:rsid w:val="00A85314"/>
    <w:rsid w:val="00A86108"/>
    <w:rsid w:val="00A86128"/>
    <w:rsid w:val="00A86FBA"/>
    <w:rsid w:val="00A90D2C"/>
    <w:rsid w:val="00A92639"/>
    <w:rsid w:val="00A92819"/>
    <w:rsid w:val="00A92FE0"/>
    <w:rsid w:val="00A93680"/>
    <w:rsid w:val="00A94A6C"/>
    <w:rsid w:val="00A96977"/>
    <w:rsid w:val="00A97D5B"/>
    <w:rsid w:val="00AA0039"/>
    <w:rsid w:val="00AA11EC"/>
    <w:rsid w:val="00AA1ECE"/>
    <w:rsid w:val="00AA2AF8"/>
    <w:rsid w:val="00AA33CE"/>
    <w:rsid w:val="00AA4A08"/>
    <w:rsid w:val="00AA4A6B"/>
    <w:rsid w:val="00AB0757"/>
    <w:rsid w:val="00AB17EA"/>
    <w:rsid w:val="00AB2689"/>
    <w:rsid w:val="00AB3737"/>
    <w:rsid w:val="00AB3896"/>
    <w:rsid w:val="00AB487D"/>
    <w:rsid w:val="00AC0E7B"/>
    <w:rsid w:val="00AC118B"/>
    <w:rsid w:val="00AC266B"/>
    <w:rsid w:val="00AC27CB"/>
    <w:rsid w:val="00AC3431"/>
    <w:rsid w:val="00AC3D51"/>
    <w:rsid w:val="00AC4667"/>
    <w:rsid w:val="00AC5FDA"/>
    <w:rsid w:val="00AC7E61"/>
    <w:rsid w:val="00AD0A1F"/>
    <w:rsid w:val="00AD134A"/>
    <w:rsid w:val="00AD27EA"/>
    <w:rsid w:val="00AD298F"/>
    <w:rsid w:val="00AD4288"/>
    <w:rsid w:val="00AD4711"/>
    <w:rsid w:val="00AD66CD"/>
    <w:rsid w:val="00AD6F0B"/>
    <w:rsid w:val="00AD72FC"/>
    <w:rsid w:val="00AE0913"/>
    <w:rsid w:val="00AE0A35"/>
    <w:rsid w:val="00AE0DB0"/>
    <w:rsid w:val="00AE3652"/>
    <w:rsid w:val="00AE3FBA"/>
    <w:rsid w:val="00AE46D9"/>
    <w:rsid w:val="00AE52F3"/>
    <w:rsid w:val="00AE53BE"/>
    <w:rsid w:val="00AE620A"/>
    <w:rsid w:val="00AE667D"/>
    <w:rsid w:val="00AE7938"/>
    <w:rsid w:val="00AF0685"/>
    <w:rsid w:val="00AF23EF"/>
    <w:rsid w:val="00AF3BF0"/>
    <w:rsid w:val="00AF5862"/>
    <w:rsid w:val="00B0394D"/>
    <w:rsid w:val="00B03BFC"/>
    <w:rsid w:val="00B04E48"/>
    <w:rsid w:val="00B05308"/>
    <w:rsid w:val="00B05A51"/>
    <w:rsid w:val="00B05D86"/>
    <w:rsid w:val="00B06896"/>
    <w:rsid w:val="00B1014A"/>
    <w:rsid w:val="00B10420"/>
    <w:rsid w:val="00B10EB2"/>
    <w:rsid w:val="00B129CE"/>
    <w:rsid w:val="00B12DB9"/>
    <w:rsid w:val="00B13239"/>
    <w:rsid w:val="00B16476"/>
    <w:rsid w:val="00B1781D"/>
    <w:rsid w:val="00B178A9"/>
    <w:rsid w:val="00B17BD4"/>
    <w:rsid w:val="00B2162B"/>
    <w:rsid w:val="00B21F56"/>
    <w:rsid w:val="00B221F9"/>
    <w:rsid w:val="00B2318D"/>
    <w:rsid w:val="00B2385D"/>
    <w:rsid w:val="00B23976"/>
    <w:rsid w:val="00B24270"/>
    <w:rsid w:val="00B25D21"/>
    <w:rsid w:val="00B27294"/>
    <w:rsid w:val="00B2748B"/>
    <w:rsid w:val="00B276C6"/>
    <w:rsid w:val="00B316B3"/>
    <w:rsid w:val="00B32B59"/>
    <w:rsid w:val="00B32FE1"/>
    <w:rsid w:val="00B338DA"/>
    <w:rsid w:val="00B33F00"/>
    <w:rsid w:val="00B4067D"/>
    <w:rsid w:val="00B41339"/>
    <w:rsid w:val="00B42CA2"/>
    <w:rsid w:val="00B43F8F"/>
    <w:rsid w:val="00B44481"/>
    <w:rsid w:val="00B458EB"/>
    <w:rsid w:val="00B464F8"/>
    <w:rsid w:val="00B46989"/>
    <w:rsid w:val="00B4776E"/>
    <w:rsid w:val="00B47BBD"/>
    <w:rsid w:val="00B51BC8"/>
    <w:rsid w:val="00B51C8A"/>
    <w:rsid w:val="00B52104"/>
    <w:rsid w:val="00B53F5F"/>
    <w:rsid w:val="00B54BCA"/>
    <w:rsid w:val="00B57109"/>
    <w:rsid w:val="00B57C23"/>
    <w:rsid w:val="00B57EC4"/>
    <w:rsid w:val="00B601E6"/>
    <w:rsid w:val="00B602E9"/>
    <w:rsid w:val="00B60C50"/>
    <w:rsid w:val="00B616AF"/>
    <w:rsid w:val="00B61B00"/>
    <w:rsid w:val="00B6427C"/>
    <w:rsid w:val="00B64C0F"/>
    <w:rsid w:val="00B675E7"/>
    <w:rsid w:val="00B67F85"/>
    <w:rsid w:val="00B709C3"/>
    <w:rsid w:val="00B73194"/>
    <w:rsid w:val="00B73BC0"/>
    <w:rsid w:val="00B741FA"/>
    <w:rsid w:val="00B74300"/>
    <w:rsid w:val="00B761C2"/>
    <w:rsid w:val="00B761CF"/>
    <w:rsid w:val="00B76216"/>
    <w:rsid w:val="00B80EC4"/>
    <w:rsid w:val="00B8266E"/>
    <w:rsid w:val="00B848D9"/>
    <w:rsid w:val="00B84A87"/>
    <w:rsid w:val="00B858B4"/>
    <w:rsid w:val="00B87F39"/>
    <w:rsid w:val="00B9061D"/>
    <w:rsid w:val="00B91823"/>
    <w:rsid w:val="00B91D2A"/>
    <w:rsid w:val="00B935B1"/>
    <w:rsid w:val="00B950CB"/>
    <w:rsid w:val="00B953A0"/>
    <w:rsid w:val="00B95D6C"/>
    <w:rsid w:val="00B9761E"/>
    <w:rsid w:val="00BA4B7F"/>
    <w:rsid w:val="00BA5B7D"/>
    <w:rsid w:val="00BA7B3C"/>
    <w:rsid w:val="00BB230F"/>
    <w:rsid w:val="00BB291F"/>
    <w:rsid w:val="00BB29E7"/>
    <w:rsid w:val="00BB511E"/>
    <w:rsid w:val="00BB570C"/>
    <w:rsid w:val="00BB5929"/>
    <w:rsid w:val="00BB7F67"/>
    <w:rsid w:val="00BC227D"/>
    <w:rsid w:val="00BC31FB"/>
    <w:rsid w:val="00BC5E21"/>
    <w:rsid w:val="00BD049F"/>
    <w:rsid w:val="00BD09F9"/>
    <w:rsid w:val="00BD2B8A"/>
    <w:rsid w:val="00BD3599"/>
    <w:rsid w:val="00BD43E8"/>
    <w:rsid w:val="00BD49ED"/>
    <w:rsid w:val="00BD4AFE"/>
    <w:rsid w:val="00BD73BC"/>
    <w:rsid w:val="00BD7A6B"/>
    <w:rsid w:val="00BE39EF"/>
    <w:rsid w:val="00BE6849"/>
    <w:rsid w:val="00BE7162"/>
    <w:rsid w:val="00BF091A"/>
    <w:rsid w:val="00BF3479"/>
    <w:rsid w:val="00BF4368"/>
    <w:rsid w:val="00BF548E"/>
    <w:rsid w:val="00BF71E7"/>
    <w:rsid w:val="00BF784D"/>
    <w:rsid w:val="00C052D1"/>
    <w:rsid w:val="00C06C0A"/>
    <w:rsid w:val="00C07DE4"/>
    <w:rsid w:val="00C10CEE"/>
    <w:rsid w:val="00C118B2"/>
    <w:rsid w:val="00C11C20"/>
    <w:rsid w:val="00C12E84"/>
    <w:rsid w:val="00C1499D"/>
    <w:rsid w:val="00C14D1A"/>
    <w:rsid w:val="00C14D20"/>
    <w:rsid w:val="00C15C06"/>
    <w:rsid w:val="00C163C7"/>
    <w:rsid w:val="00C16AC5"/>
    <w:rsid w:val="00C22709"/>
    <w:rsid w:val="00C23CD7"/>
    <w:rsid w:val="00C25934"/>
    <w:rsid w:val="00C26C9F"/>
    <w:rsid w:val="00C27B9D"/>
    <w:rsid w:val="00C30E3F"/>
    <w:rsid w:val="00C315F2"/>
    <w:rsid w:val="00C31816"/>
    <w:rsid w:val="00C31ECF"/>
    <w:rsid w:val="00C32239"/>
    <w:rsid w:val="00C3511C"/>
    <w:rsid w:val="00C373DC"/>
    <w:rsid w:val="00C40404"/>
    <w:rsid w:val="00C411D7"/>
    <w:rsid w:val="00C41539"/>
    <w:rsid w:val="00C42CE6"/>
    <w:rsid w:val="00C42F81"/>
    <w:rsid w:val="00C44139"/>
    <w:rsid w:val="00C44F0F"/>
    <w:rsid w:val="00C47475"/>
    <w:rsid w:val="00C47EB3"/>
    <w:rsid w:val="00C5112A"/>
    <w:rsid w:val="00C528BE"/>
    <w:rsid w:val="00C54CB5"/>
    <w:rsid w:val="00C5573C"/>
    <w:rsid w:val="00C56509"/>
    <w:rsid w:val="00C56859"/>
    <w:rsid w:val="00C60398"/>
    <w:rsid w:val="00C623BC"/>
    <w:rsid w:val="00C63B8F"/>
    <w:rsid w:val="00C661BD"/>
    <w:rsid w:val="00C66ABF"/>
    <w:rsid w:val="00C728B9"/>
    <w:rsid w:val="00C7412E"/>
    <w:rsid w:val="00C75DB6"/>
    <w:rsid w:val="00C8167C"/>
    <w:rsid w:val="00C842F8"/>
    <w:rsid w:val="00C845BB"/>
    <w:rsid w:val="00C84CB5"/>
    <w:rsid w:val="00C84CF4"/>
    <w:rsid w:val="00C8623D"/>
    <w:rsid w:val="00C8647A"/>
    <w:rsid w:val="00C8676C"/>
    <w:rsid w:val="00C90FB6"/>
    <w:rsid w:val="00C9114F"/>
    <w:rsid w:val="00C91ADA"/>
    <w:rsid w:val="00C91E4D"/>
    <w:rsid w:val="00C92C57"/>
    <w:rsid w:val="00C93A9B"/>
    <w:rsid w:val="00C93CBE"/>
    <w:rsid w:val="00C952F6"/>
    <w:rsid w:val="00C95F84"/>
    <w:rsid w:val="00C95F96"/>
    <w:rsid w:val="00C972AA"/>
    <w:rsid w:val="00C97F34"/>
    <w:rsid w:val="00CA0F5C"/>
    <w:rsid w:val="00CA190A"/>
    <w:rsid w:val="00CA22C3"/>
    <w:rsid w:val="00CA2A1D"/>
    <w:rsid w:val="00CA3EB4"/>
    <w:rsid w:val="00CA5C02"/>
    <w:rsid w:val="00CA5C7F"/>
    <w:rsid w:val="00CA5F8E"/>
    <w:rsid w:val="00CA7F85"/>
    <w:rsid w:val="00CB037E"/>
    <w:rsid w:val="00CB073E"/>
    <w:rsid w:val="00CB23E5"/>
    <w:rsid w:val="00CB4264"/>
    <w:rsid w:val="00CB534A"/>
    <w:rsid w:val="00CB6FB8"/>
    <w:rsid w:val="00CC1902"/>
    <w:rsid w:val="00CC20BE"/>
    <w:rsid w:val="00CC22F1"/>
    <w:rsid w:val="00CC2E3E"/>
    <w:rsid w:val="00CC309F"/>
    <w:rsid w:val="00CC407B"/>
    <w:rsid w:val="00CC4AC6"/>
    <w:rsid w:val="00CC52A3"/>
    <w:rsid w:val="00CC5C29"/>
    <w:rsid w:val="00CC5F0D"/>
    <w:rsid w:val="00CC6637"/>
    <w:rsid w:val="00CD0B8A"/>
    <w:rsid w:val="00CD1D6E"/>
    <w:rsid w:val="00CD254F"/>
    <w:rsid w:val="00CD4D2F"/>
    <w:rsid w:val="00CD599D"/>
    <w:rsid w:val="00CD5F19"/>
    <w:rsid w:val="00CE0690"/>
    <w:rsid w:val="00CE1085"/>
    <w:rsid w:val="00CE338D"/>
    <w:rsid w:val="00CE5C67"/>
    <w:rsid w:val="00CE79D4"/>
    <w:rsid w:val="00CF00FC"/>
    <w:rsid w:val="00CF11B9"/>
    <w:rsid w:val="00CF1855"/>
    <w:rsid w:val="00CF4048"/>
    <w:rsid w:val="00CF4DBF"/>
    <w:rsid w:val="00CF5D02"/>
    <w:rsid w:val="00CF6B07"/>
    <w:rsid w:val="00D00265"/>
    <w:rsid w:val="00D00539"/>
    <w:rsid w:val="00D02D17"/>
    <w:rsid w:val="00D02EDF"/>
    <w:rsid w:val="00D034C9"/>
    <w:rsid w:val="00D048CC"/>
    <w:rsid w:val="00D0490D"/>
    <w:rsid w:val="00D05657"/>
    <w:rsid w:val="00D071D7"/>
    <w:rsid w:val="00D10881"/>
    <w:rsid w:val="00D109BB"/>
    <w:rsid w:val="00D10CD6"/>
    <w:rsid w:val="00D12820"/>
    <w:rsid w:val="00D13C3E"/>
    <w:rsid w:val="00D13D07"/>
    <w:rsid w:val="00D140C8"/>
    <w:rsid w:val="00D1505B"/>
    <w:rsid w:val="00D160A3"/>
    <w:rsid w:val="00D17B3A"/>
    <w:rsid w:val="00D206D0"/>
    <w:rsid w:val="00D2311A"/>
    <w:rsid w:val="00D241E8"/>
    <w:rsid w:val="00D24F6E"/>
    <w:rsid w:val="00D25CD5"/>
    <w:rsid w:val="00D2641B"/>
    <w:rsid w:val="00D275C9"/>
    <w:rsid w:val="00D300B3"/>
    <w:rsid w:val="00D31133"/>
    <w:rsid w:val="00D31A85"/>
    <w:rsid w:val="00D31CA0"/>
    <w:rsid w:val="00D3484B"/>
    <w:rsid w:val="00D4059F"/>
    <w:rsid w:val="00D40A4A"/>
    <w:rsid w:val="00D40FDB"/>
    <w:rsid w:val="00D4127E"/>
    <w:rsid w:val="00D417AD"/>
    <w:rsid w:val="00D4301F"/>
    <w:rsid w:val="00D43D4B"/>
    <w:rsid w:val="00D4408B"/>
    <w:rsid w:val="00D46DCD"/>
    <w:rsid w:val="00D4724F"/>
    <w:rsid w:val="00D475AB"/>
    <w:rsid w:val="00D479C0"/>
    <w:rsid w:val="00D5044E"/>
    <w:rsid w:val="00D51594"/>
    <w:rsid w:val="00D52A72"/>
    <w:rsid w:val="00D53B5E"/>
    <w:rsid w:val="00D559F5"/>
    <w:rsid w:val="00D56372"/>
    <w:rsid w:val="00D5684D"/>
    <w:rsid w:val="00D56A41"/>
    <w:rsid w:val="00D5746E"/>
    <w:rsid w:val="00D6084C"/>
    <w:rsid w:val="00D62212"/>
    <w:rsid w:val="00D638EB"/>
    <w:rsid w:val="00D65C77"/>
    <w:rsid w:val="00D662B0"/>
    <w:rsid w:val="00D662D5"/>
    <w:rsid w:val="00D674EF"/>
    <w:rsid w:val="00D67900"/>
    <w:rsid w:val="00D67977"/>
    <w:rsid w:val="00D70592"/>
    <w:rsid w:val="00D71A7B"/>
    <w:rsid w:val="00D726B8"/>
    <w:rsid w:val="00D72A9A"/>
    <w:rsid w:val="00D72BBD"/>
    <w:rsid w:val="00D72BD5"/>
    <w:rsid w:val="00D7452F"/>
    <w:rsid w:val="00D74669"/>
    <w:rsid w:val="00D7481D"/>
    <w:rsid w:val="00D75302"/>
    <w:rsid w:val="00D77CE6"/>
    <w:rsid w:val="00D8121E"/>
    <w:rsid w:val="00D83B27"/>
    <w:rsid w:val="00D861B3"/>
    <w:rsid w:val="00D86643"/>
    <w:rsid w:val="00D876E7"/>
    <w:rsid w:val="00D87B29"/>
    <w:rsid w:val="00D87D41"/>
    <w:rsid w:val="00D91043"/>
    <w:rsid w:val="00D914FE"/>
    <w:rsid w:val="00D9153E"/>
    <w:rsid w:val="00D93F41"/>
    <w:rsid w:val="00D94E4B"/>
    <w:rsid w:val="00D9626C"/>
    <w:rsid w:val="00DA138A"/>
    <w:rsid w:val="00DA173F"/>
    <w:rsid w:val="00DA297D"/>
    <w:rsid w:val="00DA2F73"/>
    <w:rsid w:val="00DA52D0"/>
    <w:rsid w:val="00DA54B2"/>
    <w:rsid w:val="00DA61A3"/>
    <w:rsid w:val="00DA635E"/>
    <w:rsid w:val="00DA661A"/>
    <w:rsid w:val="00DA7D72"/>
    <w:rsid w:val="00DB70E1"/>
    <w:rsid w:val="00DB7B53"/>
    <w:rsid w:val="00DC0B83"/>
    <w:rsid w:val="00DC0BF7"/>
    <w:rsid w:val="00DC10DA"/>
    <w:rsid w:val="00DC2304"/>
    <w:rsid w:val="00DC250C"/>
    <w:rsid w:val="00DC2550"/>
    <w:rsid w:val="00DC259F"/>
    <w:rsid w:val="00DC29CA"/>
    <w:rsid w:val="00DC56CC"/>
    <w:rsid w:val="00DD2B07"/>
    <w:rsid w:val="00DD309D"/>
    <w:rsid w:val="00DD37DC"/>
    <w:rsid w:val="00DD4A21"/>
    <w:rsid w:val="00DD4B0D"/>
    <w:rsid w:val="00DD4C54"/>
    <w:rsid w:val="00DD4D84"/>
    <w:rsid w:val="00DD5BF8"/>
    <w:rsid w:val="00DD621E"/>
    <w:rsid w:val="00DD730F"/>
    <w:rsid w:val="00DD7A36"/>
    <w:rsid w:val="00DE0201"/>
    <w:rsid w:val="00DE0637"/>
    <w:rsid w:val="00DE0C07"/>
    <w:rsid w:val="00DE401C"/>
    <w:rsid w:val="00DE4E06"/>
    <w:rsid w:val="00DE52BB"/>
    <w:rsid w:val="00DE6293"/>
    <w:rsid w:val="00DE6567"/>
    <w:rsid w:val="00DE6AB4"/>
    <w:rsid w:val="00DE6F14"/>
    <w:rsid w:val="00DE71B6"/>
    <w:rsid w:val="00DF14A9"/>
    <w:rsid w:val="00DF1EFD"/>
    <w:rsid w:val="00DF3051"/>
    <w:rsid w:val="00DF3229"/>
    <w:rsid w:val="00DF45F1"/>
    <w:rsid w:val="00DF4EBC"/>
    <w:rsid w:val="00DF5010"/>
    <w:rsid w:val="00DF5DF2"/>
    <w:rsid w:val="00DF6C67"/>
    <w:rsid w:val="00DF7CC9"/>
    <w:rsid w:val="00E00457"/>
    <w:rsid w:val="00E018BF"/>
    <w:rsid w:val="00E046BE"/>
    <w:rsid w:val="00E04B7A"/>
    <w:rsid w:val="00E04B8E"/>
    <w:rsid w:val="00E05B10"/>
    <w:rsid w:val="00E06425"/>
    <w:rsid w:val="00E105AC"/>
    <w:rsid w:val="00E12EAE"/>
    <w:rsid w:val="00E134A7"/>
    <w:rsid w:val="00E1584B"/>
    <w:rsid w:val="00E15E7F"/>
    <w:rsid w:val="00E21478"/>
    <w:rsid w:val="00E23485"/>
    <w:rsid w:val="00E2702C"/>
    <w:rsid w:val="00E272A6"/>
    <w:rsid w:val="00E27318"/>
    <w:rsid w:val="00E3162F"/>
    <w:rsid w:val="00E330D6"/>
    <w:rsid w:val="00E3373E"/>
    <w:rsid w:val="00E339BE"/>
    <w:rsid w:val="00E34296"/>
    <w:rsid w:val="00E35C62"/>
    <w:rsid w:val="00E35E52"/>
    <w:rsid w:val="00E36B22"/>
    <w:rsid w:val="00E37C72"/>
    <w:rsid w:val="00E43C70"/>
    <w:rsid w:val="00E44214"/>
    <w:rsid w:val="00E455D9"/>
    <w:rsid w:val="00E46C53"/>
    <w:rsid w:val="00E535AC"/>
    <w:rsid w:val="00E53CDA"/>
    <w:rsid w:val="00E54198"/>
    <w:rsid w:val="00E542E9"/>
    <w:rsid w:val="00E54C1C"/>
    <w:rsid w:val="00E55103"/>
    <w:rsid w:val="00E553ED"/>
    <w:rsid w:val="00E573E1"/>
    <w:rsid w:val="00E57B5B"/>
    <w:rsid w:val="00E62772"/>
    <w:rsid w:val="00E62B3D"/>
    <w:rsid w:val="00E62B40"/>
    <w:rsid w:val="00E62DEA"/>
    <w:rsid w:val="00E65A19"/>
    <w:rsid w:val="00E669B6"/>
    <w:rsid w:val="00E678D8"/>
    <w:rsid w:val="00E71627"/>
    <w:rsid w:val="00E726FD"/>
    <w:rsid w:val="00E73AAB"/>
    <w:rsid w:val="00E74FA4"/>
    <w:rsid w:val="00E75664"/>
    <w:rsid w:val="00E775C9"/>
    <w:rsid w:val="00E8050B"/>
    <w:rsid w:val="00E83408"/>
    <w:rsid w:val="00E8599F"/>
    <w:rsid w:val="00E8714F"/>
    <w:rsid w:val="00E87C71"/>
    <w:rsid w:val="00E9010E"/>
    <w:rsid w:val="00E90D7E"/>
    <w:rsid w:val="00E92C74"/>
    <w:rsid w:val="00E92D20"/>
    <w:rsid w:val="00E93988"/>
    <w:rsid w:val="00E956A8"/>
    <w:rsid w:val="00E95A77"/>
    <w:rsid w:val="00E96AF4"/>
    <w:rsid w:val="00E96E45"/>
    <w:rsid w:val="00EA2762"/>
    <w:rsid w:val="00EA3887"/>
    <w:rsid w:val="00EA5BC6"/>
    <w:rsid w:val="00EA6E58"/>
    <w:rsid w:val="00EB1F6F"/>
    <w:rsid w:val="00EB1FA2"/>
    <w:rsid w:val="00EB262E"/>
    <w:rsid w:val="00EB56CC"/>
    <w:rsid w:val="00EB5992"/>
    <w:rsid w:val="00EB61A8"/>
    <w:rsid w:val="00EB719A"/>
    <w:rsid w:val="00EB7F04"/>
    <w:rsid w:val="00EC044D"/>
    <w:rsid w:val="00EC05D7"/>
    <w:rsid w:val="00EC0E37"/>
    <w:rsid w:val="00EC128D"/>
    <w:rsid w:val="00EC2EED"/>
    <w:rsid w:val="00EC7A14"/>
    <w:rsid w:val="00EC7A99"/>
    <w:rsid w:val="00ED19F4"/>
    <w:rsid w:val="00ED2022"/>
    <w:rsid w:val="00ED3148"/>
    <w:rsid w:val="00ED34CC"/>
    <w:rsid w:val="00ED3DB3"/>
    <w:rsid w:val="00ED41B4"/>
    <w:rsid w:val="00ED4833"/>
    <w:rsid w:val="00EE020C"/>
    <w:rsid w:val="00EE0B82"/>
    <w:rsid w:val="00EE0F06"/>
    <w:rsid w:val="00EE2F6D"/>
    <w:rsid w:val="00EE304F"/>
    <w:rsid w:val="00EE3D28"/>
    <w:rsid w:val="00EE4628"/>
    <w:rsid w:val="00EE5AEC"/>
    <w:rsid w:val="00EE66A6"/>
    <w:rsid w:val="00EF39FF"/>
    <w:rsid w:val="00EF4F26"/>
    <w:rsid w:val="00EF5013"/>
    <w:rsid w:val="00EF53D6"/>
    <w:rsid w:val="00EF56BA"/>
    <w:rsid w:val="00EF5E1F"/>
    <w:rsid w:val="00EF62BF"/>
    <w:rsid w:val="00EF7954"/>
    <w:rsid w:val="00F00093"/>
    <w:rsid w:val="00F00BC1"/>
    <w:rsid w:val="00F01151"/>
    <w:rsid w:val="00F04291"/>
    <w:rsid w:val="00F07724"/>
    <w:rsid w:val="00F1185D"/>
    <w:rsid w:val="00F118EF"/>
    <w:rsid w:val="00F11989"/>
    <w:rsid w:val="00F12BE1"/>
    <w:rsid w:val="00F13965"/>
    <w:rsid w:val="00F141D9"/>
    <w:rsid w:val="00F14EC9"/>
    <w:rsid w:val="00F154DE"/>
    <w:rsid w:val="00F15E78"/>
    <w:rsid w:val="00F168F1"/>
    <w:rsid w:val="00F16ECC"/>
    <w:rsid w:val="00F2113E"/>
    <w:rsid w:val="00F22F27"/>
    <w:rsid w:val="00F23E98"/>
    <w:rsid w:val="00F25808"/>
    <w:rsid w:val="00F26DA9"/>
    <w:rsid w:val="00F30DF8"/>
    <w:rsid w:val="00F31907"/>
    <w:rsid w:val="00F3399D"/>
    <w:rsid w:val="00F33C14"/>
    <w:rsid w:val="00F34547"/>
    <w:rsid w:val="00F35C70"/>
    <w:rsid w:val="00F36062"/>
    <w:rsid w:val="00F365E4"/>
    <w:rsid w:val="00F369F4"/>
    <w:rsid w:val="00F377D0"/>
    <w:rsid w:val="00F37BBA"/>
    <w:rsid w:val="00F40116"/>
    <w:rsid w:val="00F423A9"/>
    <w:rsid w:val="00F438A2"/>
    <w:rsid w:val="00F44C7B"/>
    <w:rsid w:val="00F47C49"/>
    <w:rsid w:val="00F51AF6"/>
    <w:rsid w:val="00F5236F"/>
    <w:rsid w:val="00F54392"/>
    <w:rsid w:val="00F578C0"/>
    <w:rsid w:val="00F605E7"/>
    <w:rsid w:val="00F6551D"/>
    <w:rsid w:val="00F664C2"/>
    <w:rsid w:val="00F66EB7"/>
    <w:rsid w:val="00F67009"/>
    <w:rsid w:val="00F724CB"/>
    <w:rsid w:val="00F7387F"/>
    <w:rsid w:val="00F74EC5"/>
    <w:rsid w:val="00F75153"/>
    <w:rsid w:val="00F80F2F"/>
    <w:rsid w:val="00F81162"/>
    <w:rsid w:val="00F818A3"/>
    <w:rsid w:val="00F835D0"/>
    <w:rsid w:val="00F849CB"/>
    <w:rsid w:val="00F84C46"/>
    <w:rsid w:val="00F85241"/>
    <w:rsid w:val="00F857EA"/>
    <w:rsid w:val="00F87298"/>
    <w:rsid w:val="00F904A3"/>
    <w:rsid w:val="00F906E6"/>
    <w:rsid w:val="00F9092B"/>
    <w:rsid w:val="00F910F8"/>
    <w:rsid w:val="00F93575"/>
    <w:rsid w:val="00F936C7"/>
    <w:rsid w:val="00F95901"/>
    <w:rsid w:val="00F95AE5"/>
    <w:rsid w:val="00F97864"/>
    <w:rsid w:val="00FA1DD4"/>
    <w:rsid w:val="00FA24C2"/>
    <w:rsid w:val="00FA25FF"/>
    <w:rsid w:val="00FA2C9F"/>
    <w:rsid w:val="00FA657A"/>
    <w:rsid w:val="00FB2326"/>
    <w:rsid w:val="00FB2659"/>
    <w:rsid w:val="00FB3C70"/>
    <w:rsid w:val="00FB4753"/>
    <w:rsid w:val="00FB5604"/>
    <w:rsid w:val="00FB5E8D"/>
    <w:rsid w:val="00FB65CC"/>
    <w:rsid w:val="00FB7CFC"/>
    <w:rsid w:val="00FC5E5D"/>
    <w:rsid w:val="00FC5F08"/>
    <w:rsid w:val="00FC72A2"/>
    <w:rsid w:val="00FD04C5"/>
    <w:rsid w:val="00FD1549"/>
    <w:rsid w:val="00FD1CF6"/>
    <w:rsid w:val="00FD2C86"/>
    <w:rsid w:val="00FD323D"/>
    <w:rsid w:val="00FD39C6"/>
    <w:rsid w:val="00FD470B"/>
    <w:rsid w:val="00FD499D"/>
    <w:rsid w:val="00FD49F4"/>
    <w:rsid w:val="00FD632D"/>
    <w:rsid w:val="00FD69E2"/>
    <w:rsid w:val="00FD6FBF"/>
    <w:rsid w:val="00FD72F8"/>
    <w:rsid w:val="00FD7D00"/>
    <w:rsid w:val="00FE0537"/>
    <w:rsid w:val="00FE1216"/>
    <w:rsid w:val="00FE1249"/>
    <w:rsid w:val="00FE240D"/>
    <w:rsid w:val="00FE3FE1"/>
    <w:rsid w:val="00FE551B"/>
    <w:rsid w:val="00FE66B8"/>
    <w:rsid w:val="00FE727C"/>
    <w:rsid w:val="00FE79E6"/>
    <w:rsid w:val="00FF191B"/>
    <w:rsid w:val="00FF3328"/>
    <w:rsid w:val="00FF4B8A"/>
    <w:rsid w:val="00FF5808"/>
    <w:rsid w:val="00FF6729"/>
    <w:rsid w:val="00FF746A"/>
    <w:rsid w:val="00FF7E0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04B"/>
    <w:pPr>
      <w:spacing w:line="360" w:lineRule="auto"/>
    </w:pPr>
    <w:rPr>
      <w:rFonts w:ascii="Calibri" w:hAnsi="Calibri"/>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E004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02BA0"/>
    <w:pPr>
      <w:keepLines/>
      <w:spacing w:before="480" w:after="0" w:line="276" w:lineRule="auto"/>
      <w:outlineLvl w:val="9"/>
    </w:pPr>
    <w:rPr>
      <w:rFonts w:ascii="Calibri" w:hAnsi="Calibri" w:cs="Times New Roman"/>
      <w:kern w:val="0"/>
      <w:sz w:val="24"/>
      <w:szCs w:val="28"/>
    </w:rPr>
  </w:style>
  <w:style w:type="paragraph" w:customStyle="1" w:styleId="ESETOCHeading">
    <w:name w:val="ESE TOC Heading"/>
    <w:basedOn w:val="TOCHeading"/>
    <w:semiHidden/>
    <w:qFormat/>
    <w:rsid w:val="00AA2AF8"/>
    <w:pPr>
      <w:pBdr>
        <w:bottom w:val="single" w:sz="6" w:space="1" w:color="auto"/>
      </w:pBdr>
    </w:p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character" w:customStyle="1" w:styleId="HeaderChar">
    <w:name w:val="Header Char"/>
    <w:basedOn w:val="DefaultParagraphFont"/>
    <w:link w:val="Header"/>
    <w:uiPriority w:val="99"/>
    <w:rsid w:val="004D5924"/>
    <w:rPr>
      <w:sz w:val="24"/>
      <w:szCs w:val="24"/>
    </w:rPr>
  </w:style>
  <w:style w:type="paragraph" w:styleId="ListParagraph">
    <w:name w:val="List Paragraph"/>
    <w:basedOn w:val="Normal"/>
    <w:uiPriority w:val="34"/>
    <w:qFormat/>
    <w:rsid w:val="00A0789C"/>
    <w:pPr>
      <w:ind w:left="720"/>
      <w:contextualSpacing/>
    </w:pPr>
  </w:style>
  <w:style w:type="paragraph" w:styleId="FootnoteText">
    <w:name w:val="footnote text"/>
    <w:basedOn w:val="Normal"/>
    <w:link w:val="FootnoteTextChar"/>
    <w:rsid w:val="00853E12"/>
    <w:rPr>
      <w:sz w:val="20"/>
      <w:szCs w:val="20"/>
    </w:rPr>
  </w:style>
  <w:style w:type="character" w:customStyle="1" w:styleId="FootnoteTextChar">
    <w:name w:val="Footnote Text Char"/>
    <w:basedOn w:val="DefaultParagraphFont"/>
    <w:link w:val="FootnoteText"/>
    <w:rsid w:val="00853E12"/>
  </w:style>
  <w:style w:type="character" w:styleId="FootnoteReference">
    <w:name w:val="footnote reference"/>
    <w:basedOn w:val="DefaultParagraphFont"/>
    <w:rsid w:val="007F6B8B"/>
    <w:rPr>
      <w:vertAlign w:val="superscript"/>
    </w:rPr>
  </w:style>
  <w:style w:type="paragraph" w:customStyle="1" w:styleId="Sources">
    <w:name w:val="Sources"/>
    <w:basedOn w:val="Normal"/>
    <w:next w:val="Normal"/>
    <w:link w:val="SourcesChar"/>
    <w:qFormat/>
    <w:rsid w:val="009C27A8"/>
    <w:pPr>
      <w:autoSpaceDE w:val="0"/>
      <w:autoSpaceDN w:val="0"/>
      <w:adjustRightInd w:val="0"/>
    </w:pPr>
    <w:rPr>
      <w:rFonts w:eastAsia="Calibri" w:cs="TTFF565820t00"/>
      <w:sz w:val="20"/>
      <w:szCs w:val="20"/>
    </w:rPr>
  </w:style>
  <w:style w:type="table" w:styleId="TableGrid">
    <w:name w:val="Table Grid"/>
    <w:basedOn w:val="TableNormal"/>
    <w:rsid w:val="001F5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ourcesChar">
    <w:name w:val="Sources Char"/>
    <w:basedOn w:val="DefaultParagraphFont"/>
    <w:link w:val="Sources"/>
    <w:rsid w:val="009C27A8"/>
    <w:rPr>
      <w:rFonts w:ascii="Calibri" w:eastAsia="Calibri" w:hAnsi="Calibri" w:cs="TTFF565820t00"/>
    </w:rPr>
  </w:style>
  <w:style w:type="paragraph" w:styleId="NoSpacing">
    <w:name w:val="No Spacing"/>
    <w:uiPriority w:val="1"/>
    <w:qFormat/>
    <w:rsid w:val="005C65EB"/>
    <w:rPr>
      <w:rFonts w:ascii="Calibri" w:hAnsi="Calibri"/>
      <w:sz w:val="24"/>
      <w:szCs w:val="24"/>
    </w:rPr>
  </w:style>
  <w:style w:type="paragraph" w:styleId="NormalWeb">
    <w:name w:val="Normal (Web)"/>
    <w:basedOn w:val="Normal"/>
    <w:uiPriority w:val="99"/>
    <w:unhideWhenUsed/>
    <w:rsid w:val="008F07FF"/>
    <w:pPr>
      <w:spacing w:before="100" w:beforeAutospacing="1" w:after="100" w:afterAutospacing="1" w:line="240" w:lineRule="auto"/>
    </w:pPr>
    <w:rPr>
      <w:rFonts w:ascii="Times" w:hAnsi="Times"/>
      <w:sz w:val="20"/>
      <w:szCs w:val="20"/>
    </w:rPr>
  </w:style>
  <w:style w:type="character" w:styleId="CommentReference">
    <w:name w:val="annotation reference"/>
    <w:basedOn w:val="DefaultParagraphFont"/>
    <w:rsid w:val="001225AD"/>
    <w:rPr>
      <w:sz w:val="16"/>
      <w:szCs w:val="16"/>
    </w:rPr>
  </w:style>
  <w:style w:type="paragraph" w:styleId="CommentText">
    <w:name w:val="annotation text"/>
    <w:basedOn w:val="Normal"/>
    <w:link w:val="CommentTextChar"/>
    <w:rsid w:val="001225AD"/>
    <w:pPr>
      <w:spacing w:line="240" w:lineRule="auto"/>
    </w:pPr>
    <w:rPr>
      <w:sz w:val="20"/>
      <w:szCs w:val="20"/>
    </w:rPr>
  </w:style>
  <w:style w:type="character" w:customStyle="1" w:styleId="CommentTextChar">
    <w:name w:val="Comment Text Char"/>
    <w:basedOn w:val="DefaultParagraphFont"/>
    <w:link w:val="CommentText"/>
    <w:rsid w:val="001225AD"/>
    <w:rPr>
      <w:rFonts w:ascii="Calibri" w:hAnsi="Calibri"/>
    </w:rPr>
  </w:style>
  <w:style w:type="paragraph" w:styleId="CommentSubject">
    <w:name w:val="annotation subject"/>
    <w:basedOn w:val="CommentText"/>
    <w:next w:val="CommentText"/>
    <w:link w:val="CommentSubjectChar"/>
    <w:rsid w:val="001225AD"/>
    <w:rPr>
      <w:b/>
      <w:bCs/>
    </w:rPr>
  </w:style>
  <w:style w:type="character" w:customStyle="1" w:styleId="CommentSubjectChar">
    <w:name w:val="Comment Subject Char"/>
    <w:basedOn w:val="CommentTextChar"/>
    <w:link w:val="CommentSubject"/>
    <w:rsid w:val="001225AD"/>
    <w:rPr>
      <w:rFonts w:ascii="Calibri" w:hAnsi="Calibri"/>
      <w:b/>
      <w:bCs/>
    </w:rPr>
  </w:style>
  <w:style w:type="character" w:styleId="FollowedHyperlink">
    <w:name w:val="FollowedHyperlink"/>
    <w:basedOn w:val="DefaultParagraphFont"/>
    <w:rsid w:val="005C781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2223691">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298847826">
      <w:bodyDiv w:val="1"/>
      <w:marLeft w:val="0"/>
      <w:marRight w:val="0"/>
      <w:marTop w:val="0"/>
      <w:marBottom w:val="0"/>
      <w:divBdr>
        <w:top w:val="none" w:sz="0" w:space="0" w:color="auto"/>
        <w:left w:val="none" w:sz="0" w:space="0" w:color="auto"/>
        <w:bottom w:val="none" w:sz="0" w:space="0" w:color="auto"/>
        <w:right w:val="none" w:sz="0" w:space="0" w:color="auto"/>
      </w:divBdr>
    </w:div>
    <w:div w:id="584916616">
      <w:bodyDiv w:val="1"/>
      <w:marLeft w:val="0"/>
      <w:marRight w:val="0"/>
      <w:marTop w:val="0"/>
      <w:marBottom w:val="0"/>
      <w:divBdr>
        <w:top w:val="none" w:sz="0" w:space="0" w:color="auto"/>
        <w:left w:val="none" w:sz="0" w:space="0" w:color="auto"/>
        <w:bottom w:val="none" w:sz="0" w:space="0" w:color="auto"/>
        <w:right w:val="none" w:sz="0" w:space="0" w:color="auto"/>
      </w:divBdr>
    </w:div>
    <w:div w:id="594442999">
      <w:bodyDiv w:val="1"/>
      <w:marLeft w:val="0"/>
      <w:marRight w:val="0"/>
      <w:marTop w:val="0"/>
      <w:marBottom w:val="0"/>
      <w:divBdr>
        <w:top w:val="none" w:sz="0" w:space="0" w:color="auto"/>
        <w:left w:val="none" w:sz="0" w:space="0" w:color="auto"/>
        <w:bottom w:val="none" w:sz="0" w:space="0" w:color="auto"/>
        <w:right w:val="none" w:sz="0" w:space="0" w:color="auto"/>
      </w:divBdr>
    </w:div>
    <w:div w:id="748119710">
      <w:bodyDiv w:val="1"/>
      <w:marLeft w:val="0"/>
      <w:marRight w:val="0"/>
      <w:marTop w:val="0"/>
      <w:marBottom w:val="0"/>
      <w:divBdr>
        <w:top w:val="none" w:sz="0" w:space="0" w:color="auto"/>
        <w:left w:val="none" w:sz="0" w:space="0" w:color="auto"/>
        <w:bottom w:val="none" w:sz="0" w:space="0" w:color="auto"/>
        <w:right w:val="none" w:sz="0" w:space="0" w:color="auto"/>
      </w:divBdr>
    </w:div>
    <w:div w:id="750080109">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372878981">
      <w:bodyDiv w:val="1"/>
      <w:marLeft w:val="0"/>
      <w:marRight w:val="0"/>
      <w:marTop w:val="0"/>
      <w:marBottom w:val="0"/>
      <w:divBdr>
        <w:top w:val="none" w:sz="0" w:space="0" w:color="auto"/>
        <w:left w:val="none" w:sz="0" w:space="0" w:color="auto"/>
        <w:bottom w:val="none" w:sz="0" w:space="0" w:color="auto"/>
        <w:right w:val="none" w:sz="0" w:space="0" w:color="auto"/>
      </w:divBdr>
    </w:div>
    <w:div w:id="1590626330">
      <w:bodyDiv w:val="1"/>
      <w:marLeft w:val="0"/>
      <w:marRight w:val="0"/>
      <w:marTop w:val="0"/>
      <w:marBottom w:val="0"/>
      <w:divBdr>
        <w:top w:val="none" w:sz="0" w:space="0" w:color="auto"/>
        <w:left w:val="none" w:sz="0" w:space="0" w:color="auto"/>
        <w:bottom w:val="none" w:sz="0" w:space="0" w:color="auto"/>
        <w:right w:val="none" w:sz="0" w:space="0" w:color="auto"/>
      </w:divBdr>
    </w:div>
    <w:div w:id="1877960957">
      <w:bodyDiv w:val="1"/>
      <w:marLeft w:val="0"/>
      <w:marRight w:val="0"/>
      <w:marTop w:val="0"/>
      <w:marBottom w:val="0"/>
      <w:divBdr>
        <w:top w:val="none" w:sz="0" w:space="0" w:color="auto"/>
        <w:left w:val="none" w:sz="0" w:space="0" w:color="auto"/>
        <w:bottom w:val="none" w:sz="0" w:space="0" w:color="auto"/>
        <w:right w:val="none" w:sz="0" w:space="0" w:color="auto"/>
      </w:divBdr>
    </w:div>
    <w:div w:id="1896088831">
      <w:bodyDiv w:val="1"/>
      <w:marLeft w:val="0"/>
      <w:marRight w:val="0"/>
      <w:marTop w:val="0"/>
      <w:marBottom w:val="0"/>
      <w:divBdr>
        <w:top w:val="none" w:sz="0" w:space="0" w:color="auto"/>
        <w:left w:val="none" w:sz="0" w:space="0" w:color="auto"/>
        <w:bottom w:val="none" w:sz="0" w:space="0" w:color="auto"/>
        <w:right w:val="none" w:sz="0" w:space="0" w:color="auto"/>
      </w:divBdr>
    </w:div>
    <w:div w:id="2021010346">
      <w:bodyDiv w:val="1"/>
      <w:marLeft w:val="0"/>
      <w:marRight w:val="0"/>
      <w:marTop w:val="0"/>
      <w:marBottom w:val="0"/>
      <w:divBdr>
        <w:top w:val="none" w:sz="0" w:space="0" w:color="auto"/>
        <w:left w:val="none" w:sz="0" w:space="0" w:color="auto"/>
        <w:bottom w:val="none" w:sz="0" w:space="0" w:color="auto"/>
        <w:right w:val="none" w:sz="0" w:space="0" w:color="auto"/>
      </w:divBdr>
    </w:div>
    <w:div w:id="2091807046">
      <w:bodyDiv w:val="1"/>
      <w:marLeft w:val="0"/>
      <w:marRight w:val="0"/>
      <w:marTop w:val="0"/>
      <w:marBottom w:val="0"/>
      <w:divBdr>
        <w:top w:val="none" w:sz="0" w:space="0" w:color="auto"/>
        <w:left w:val="none" w:sz="0" w:space="0" w:color="auto"/>
        <w:bottom w:val="none" w:sz="0" w:space="0" w:color="auto"/>
        <w:right w:val="none" w:sz="0" w:space="0" w:color="auto"/>
      </w:divBdr>
    </w:div>
    <w:div w:id="2097823987">
      <w:bodyDiv w:val="1"/>
      <w:marLeft w:val="0"/>
      <w:marRight w:val="0"/>
      <w:marTop w:val="0"/>
      <w:marBottom w:val="0"/>
      <w:divBdr>
        <w:top w:val="none" w:sz="0" w:space="0" w:color="auto"/>
        <w:left w:val="none" w:sz="0" w:space="0" w:color="auto"/>
        <w:bottom w:val="none" w:sz="0" w:space="0" w:color="auto"/>
        <w:right w:val="none" w:sz="0" w:space="0" w:color="auto"/>
      </w:divBdr>
    </w:div>
    <w:div w:id="21006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chart" Target="charts/chart29.xml"/><Relationship Id="rId3" Type="http://schemas.openxmlformats.org/officeDocument/2006/relationships/numbering" Target="numbering.xml"/><Relationship Id="rId21" Type="http://schemas.openxmlformats.org/officeDocument/2006/relationships/chart" Target="charts/chart11.xml"/><Relationship Id="rId34" Type="http://schemas.openxmlformats.org/officeDocument/2006/relationships/chart" Target="charts/chart24.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chart" Target="charts/chart28.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image" Target="media/image2.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news/news.aspx?id=6596" TargetMode="External"/><Relationship Id="rId2" Type="http://schemas.openxmlformats.org/officeDocument/2006/relationships/hyperlink" Target="http://profiles.doe.mass.edu/state_report/accountability.aspx" TargetMode="External"/><Relationship Id="rId1" Type="http://schemas.openxmlformats.org/officeDocument/2006/relationships/hyperlink" Target="http://www.doe.mass.edu/infoservices/data/epims/" TargetMode="External"/><Relationship Id="rId6" Type="http://schemas.openxmlformats.org/officeDocument/2006/relationships/hyperlink" Target="http://www.doe.mass.edu/mcas/growth/InterpretiveGuide.pdf" TargetMode="External"/><Relationship Id="rId5" Type="http://schemas.openxmlformats.org/officeDocument/2006/relationships/hyperlink" Target="http://profiles.doe.mass.edu/state_report/epppprogramcompleters.aspx" TargetMode="External"/><Relationship Id="rId4" Type="http://schemas.openxmlformats.org/officeDocument/2006/relationships/hyperlink" Target="https://title2.ed.gov/Public/Report/StateHome.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ILE1\SHARED\Omega%20Drive\Dropbox\Seema\SOEW%20Part%20I%20Descriptives%20S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exd\Desktop\MA%20DESE%20Files\Workforce%20Report\SOEW%202013\TeacherSGP\SGP%20by%20Experienc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1\SHARED\Omega%20Drive\Dropbox\Erin\Status%20Report\New%20Teacher%20Hiring.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exd\Desktop\MA%20DESE%20Files\Workforce%20Report\SOEW%202013\Teacher%20Placement%20Results_SOEW_noProfLic.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ILE1\SHARED\Omega%20Drive\Dropbox\Erin\Status%20Report\NewTeacherRetention_Va_11%2019%201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ILE1\SHARED\Omega%20Drive\Dropbox\Erin\Status%20Report\NewTeacherRetention_Va_11%2019%2013.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ILE1\SHARED\Omega%20Drive\Dropbox\Erin\Status%20Report\NewTeacherRetention_Va_11%2019%2013.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ILE1\SHARED\Omega%20Drive\Dropbox\Erin\Status%20Report\NewTeacherRetention_Va_11%2019%2013.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ILE1\SHARED\Omega%20Drive\Dropbox\Erin\Status%20Report\NewTeacherRetention_Va_11%2019%201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ILE1\SHARED\Omega%20Drive\Dropbox\Erin\Status%20Report\NewTeacherRetention_Va_11%2019%2013.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ILE1\SHARED\Omega%20Drive\Dropbox\Erin\Status%20Report\NewTeacherRetention_Va_11%2019%2013.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ILE1\SHARED\Omega%20Drive\Dropbox\Erin\Status%20Report\NewTeacherRetention_Va_11%2019%2013.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ILE1\SHARED\Omega%20Drive\Dropbox\Erin\Status%20Report\NewTeacherRetention_Va_11%2019%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1\SHARED\Omega%20Drive\Dropbox\Seema\SOEW%20Part%20I%20Descriptives%20S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xd\Desktop\MA%20DESE%20Files\Workforce%20Report\Data_2013\Waivers\Copy%20of%20Waiver%20snapsho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xd\Desktop\MA%20DESE%20Files\Workforce%20Report\SOEW%202013\Waivers\WaiverCountByDistrictField%202011_2013%2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ILE1\SHARED\Omega%20Drive\Dropbox\Erin\Status%20Report\Final%20SOEW%20Data%20and%20Charts_Er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3"/>
  <c:chart>
    <c:autoTitleDeleted val="1"/>
    <c:plotArea>
      <c:layout/>
      <c:barChart>
        <c:barDir val="col"/>
        <c:grouping val="clustered"/>
        <c:ser>
          <c:idx val="0"/>
          <c:order val="0"/>
          <c:tx>
            <c:strRef>
              <c:f>'12.2.13 Analysis'!$K$32</c:f>
              <c:strCache>
                <c:ptCount val="1"/>
                <c:pt idx="0">
                  <c:v>Teacher</c:v>
                </c:pt>
              </c:strCache>
            </c:strRef>
          </c:tx>
          <c:cat>
            <c:strRef>
              <c:f>'12.2.13 Analysis'!$J$33:$J$39</c:f>
              <c:strCache>
                <c:ptCount val="7"/>
                <c:pt idx="0">
                  <c:v>25 and younger</c:v>
                </c:pt>
                <c:pt idx="1">
                  <c:v>26 - 32</c:v>
                </c:pt>
                <c:pt idx="2">
                  <c:v>33 - 40</c:v>
                </c:pt>
                <c:pt idx="3">
                  <c:v>41 - 48</c:v>
                </c:pt>
                <c:pt idx="4">
                  <c:v>49 - 56</c:v>
                </c:pt>
                <c:pt idx="5">
                  <c:v>57 - 64</c:v>
                </c:pt>
                <c:pt idx="6">
                  <c:v>65 and older</c:v>
                </c:pt>
              </c:strCache>
            </c:strRef>
          </c:cat>
          <c:val>
            <c:numRef>
              <c:f>'12.2.13 Analysis'!$K$33:$K$39</c:f>
              <c:numCache>
                <c:formatCode>0.0%</c:formatCode>
                <c:ptCount val="7"/>
                <c:pt idx="0">
                  <c:v>3.761064936820064E-2</c:v>
                </c:pt>
                <c:pt idx="1">
                  <c:v>0.18712075140212259</c:v>
                </c:pt>
                <c:pt idx="2">
                  <c:v>0.2099060747347794</c:v>
                </c:pt>
                <c:pt idx="3">
                  <c:v>0.20544631394013227</c:v>
                </c:pt>
                <c:pt idx="4">
                  <c:v>0.18629637137644581</c:v>
                </c:pt>
                <c:pt idx="5">
                  <c:v>0.15226704507061375</c:v>
                </c:pt>
                <c:pt idx="6">
                  <c:v>2.1352794107709992E-2</c:v>
                </c:pt>
              </c:numCache>
            </c:numRef>
          </c:val>
        </c:ser>
        <c:ser>
          <c:idx val="1"/>
          <c:order val="1"/>
          <c:tx>
            <c:strRef>
              <c:f>'12.2.13 Analysis'!$L$32</c:f>
              <c:strCache>
                <c:ptCount val="1"/>
                <c:pt idx="0">
                  <c:v>Principal</c:v>
                </c:pt>
              </c:strCache>
            </c:strRef>
          </c:tx>
          <c:cat>
            <c:strRef>
              <c:f>'12.2.13 Analysis'!$J$33:$J$39</c:f>
              <c:strCache>
                <c:ptCount val="7"/>
                <c:pt idx="0">
                  <c:v>25 and younger</c:v>
                </c:pt>
                <c:pt idx="1">
                  <c:v>26 - 32</c:v>
                </c:pt>
                <c:pt idx="2">
                  <c:v>33 - 40</c:v>
                </c:pt>
                <c:pt idx="3">
                  <c:v>41 - 48</c:v>
                </c:pt>
                <c:pt idx="4">
                  <c:v>49 - 56</c:v>
                </c:pt>
                <c:pt idx="5">
                  <c:v>57 - 64</c:v>
                </c:pt>
                <c:pt idx="6">
                  <c:v>65 and older</c:v>
                </c:pt>
              </c:strCache>
            </c:strRef>
          </c:cat>
          <c:val>
            <c:numRef>
              <c:f>'12.2.13 Analysis'!$L$33:$L$39</c:f>
              <c:numCache>
                <c:formatCode>0.0%</c:formatCode>
                <c:ptCount val="7"/>
                <c:pt idx="0">
                  <c:v>0</c:v>
                </c:pt>
                <c:pt idx="1">
                  <c:v>2.0597322348094752E-2</c:v>
                </c:pt>
                <c:pt idx="2">
                  <c:v>0.18074150360453142</c:v>
                </c:pt>
                <c:pt idx="3">
                  <c:v>0.28321318228630277</c:v>
                </c:pt>
                <c:pt idx="4">
                  <c:v>0.25180226570546094</c:v>
                </c:pt>
                <c:pt idx="5">
                  <c:v>0.22708547888774536</c:v>
                </c:pt>
                <c:pt idx="6">
                  <c:v>3.6560247167868321E-2</c:v>
                </c:pt>
              </c:numCache>
            </c:numRef>
          </c:val>
        </c:ser>
        <c:ser>
          <c:idx val="2"/>
          <c:order val="2"/>
          <c:tx>
            <c:strRef>
              <c:f>'12.2.13 Analysis'!$M$32</c:f>
              <c:strCache>
                <c:ptCount val="1"/>
                <c:pt idx="0">
                  <c:v>Superintendent</c:v>
                </c:pt>
              </c:strCache>
            </c:strRef>
          </c:tx>
          <c:cat>
            <c:strRef>
              <c:f>'12.2.13 Analysis'!$J$33:$J$39</c:f>
              <c:strCache>
                <c:ptCount val="7"/>
                <c:pt idx="0">
                  <c:v>25 and younger</c:v>
                </c:pt>
                <c:pt idx="1">
                  <c:v>26 - 32</c:v>
                </c:pt>
                <c:pt idx="2">
                  <c:v>33 - 40</c:v>
                </c:pt>
                <c:pt idx="3">
                  <c:v>41 - 48</c:v>
                </c:pt>
                <c:pt idx="4">
                  <c:v>49 - 56</c:v>
                </c:pt>
                <c:pt idx="5">
                  <c:v>57 - 64</c:v>
                </c:pt>
                <c:pt idx="6">
                  <c:v>65 and older</c:v>
                </c:pt>
              </c:strCache>
            </c:strRef>
          </c:cat>
          <c:val>
            <c:numRef>
              <c:f>'12.2.13 Analysis'!$M$33:$M$39</c:f>
              <c:numCache>
                <c:formatCode>0.0%</c:formatCode>
                <c:ptCount val="7"/>
                <c:pt idx="0">
                  <c:v>0</c:v>
                </c:pt>
                <c:pt idx="1">
                  <c:v>6.0606060606060719E-3</c:v>
                </c:pt>
                <c:pt idx="2">
                  <c:v>6.363636363636363E-2</c:v>
                </c:pt>
                <c:pt idx="3">
                  <c:v>0.16666666666666671</c:v>
                </c:pt>
                <c:pt idx="4">
                  <c:v>0.22727272727272729</c:v>
                </c:pt>
                <c:pt idx="5">
                  <c:v>0.4</c:v>
                </c:pt>
                <c:pt idx="6">
                  <c:v>0.13636363636363638</c:v>
                </c:pt>
              </c:numCache>
            </c:numRef>
          </c:val>
        </c:ser>
        <c:dLbls/>
        <c:overlap val="-25"/>
        <c:axId val="100995072"/>
        <c:axId val="100996608"/>
      </c:barChart>
      <c:catAx>
        <c:axId val="100995072"/>
        <c:scaling>
          <c:orientation val="minMax"/>
        </c:scaling>
        <c:axPos val="b"/>
        <c:numFmt formatCode="General" sourceLinked="0"/>
        <c:majorTickMark val="none"/>
        <c:tickLblPos val="nextTo"/>
        <c:crossAx val="100996608"/>
        <c:crosses val="autoZero"/>
        <c:auto val="1"/>
        <c:lblAlgn val="ctr"/>
        <c:lblOffset val="100"/>
      </c:catAx>
      <c:valAx>
        <c:axId val="100996608"/>
        <c:scaling>
          <c:orientation val="minMax"/>
          <c:max val="0.45"/>
        </c:scaling>
        <c:axPos val="l"/>
        <c:majorGridlines>
          <c:spPr>
            <a:ln>
              <a:solidFill>
                <a:schemeClr val="bg1">
                  <a:lumMod val="85000"/>
                </a:schemeClr>
              </a:solidFill>
            </a:ln>
          </c:spPr>
        </c:majorGridlines>
        <c:numFmt formatCode="0%" sourceLinked="0"/>
        <c:tickLblPos val="nextTo"/>
        <c:crossAx val="100995072"/>
        <c:crosses val="autoZero"/>
        <c:crossBetween val="between"/>
      </c:valAx>
    </c:plotArea>
    <c:legend>
      <c:legendPos val="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7.1523826862682632E-2"/>
          <c:y val="4.3709036370453688E-2"/>
          <c:w val="0.90728156812768346"/>
          <c:h val="0.77069841269843042"/>
        </c:manualLayout>
      </c:layout>
      <c:barChart>
        <c:barDir val="col"/>
        <c:grouping val="clustered"/>
        <c:ser>
          <c:idx val="1"/>
          <c:order val="0"/>
          <c:tx>
            <c:strRef>
              <c:f>II_PrepProgEmployment!$A$32</c:f>
              <c:strCache>
                <c:ptCount val="1"/>
                <c:pt idx="0">
                  <c:v>State University</c:v>
                </c:pt>
              </c:strCache>
            </c:strRef>
          </c:tx>
          <c:cat>
            <c:strRef>
              <c:f>II_PrepProgEmployment!$B$30:$L$30</c:f>
              <c:strCache>
                <c:ptCount val="11"/>
                <c:pt idx="0">
                  <c:v>0-10</c:v>
                </c:pt>
                <c:pt idx="1">
                  <c:v>10-20</c:v>
                </c:pt>
                <c:pt idx="2">
                  <c:v>20-30</c:v>
                </c:pt>
                <c:pt idx="3">
                  <c:v>30-40</c:v>
                </c:pt>
                <c:pt idx="4">
                  <c:v>40-50</c:v>
                </c:pt>
                <c:pt idx="5">
                  <c:v>50-60</c:v>
                </c:pt>
                <c:pt idx="6">
                  <c:v>60-70</c:v>
                </c:pt>
                <c:pt idx="7">
                  <c:v>70-80</c:v>
                </c:pt>
                <c:pt idx="8">
                  <c:v>80-90</c:v>
                </c:pt>
                <c:pt idx="9">
                  <c:v>90-100</c:v>
                </c:pt>
                <c:pt idx="10">
                  <c:v>More than 100</c:v>
                </c:pt>
              </c:strCache>
            </c:strRef>
          </c:cat>
          <c:val>
            <c:numRef>
              <c:f>II_PrepProgEmployment!$B$32:$L$32</c:f>
              <c:numCache>
                <c:formatCode>0%</c:formatCode>
                <c:ptCount val="11"/>
                <c:pt idx="0">
                  <c:v>0.35410044500953591</c:v>
                </c:pt>
                <c:pt idx="1">
                  <c:v>0.32040686586141698</c:v>
                </c:pt>
                <c:pt idx="2">
                  <c:v>0.15702479338843098</c:v>
                </c:pt>
                <c:pt idx="3">
                  <c:v>6.675143038779402E-2</c:v>
                </c:pt>
                <c:pt idx="4">
                  <c:v>3.8143674507310876E-2</c:v>
                </c:pt>
                <c:pt idx="5">
                  <c:v>1.9707565162110842E-2</c:v>
                </c:pt>
                <c:pt idx="6">
                  <c:v>6.3572790845518971E-3</c:v>
                </c:pt>
                <c:pt idx="7">
                  <c:v>8.9001907183725547E-3</c:v>
                </c:pt>
                <c:pt idx="8">
                  <c:v>8.2644628099173747E-3</c:v>
                </c:pt>
                <c:pt idx="9">
                  <c:v>1.5257469802924348E-2</c:v>
                </c:pt>
                <c:pt idx="10">
                  <c:v>5.0858232676414495E-3</c:v>
                </c:pt>
              </c:numCache>
            </c:numRef>
          </c:val>
        </c:ser>
        <c:ser>
          <c:idx val="2"/>
          <c:order val="1"/>
          <c:tx>
            <c:strRef>
              <c:f>II_PrepProgEmployment!$A$33</c:f>
              <c:strCache>
                <c:ptCount val="1"/>
                <c:pt idx="0">
                  <c:v>University of Massachusetts</c:v>
                </c:pt>
              </c:strCache>
            </c:strRef>
          </c:tx>
          <c:cat>
            <c:strRef>
              <c:f>II_PrepProgEmployment!$B$30:$L$30</c:f>
              <c:strCache>
                <c:ptCount val="11"/>
                <c:pt idx="0">
                  <c:v>0-10</c:v>
                </c:pt>
                <c:pt idx="1">
                  <c:v>10-20</c:v>
                </c:pt>
                <c:pt idx="2">
                  <c:v>20-30</c:v>
                </c:pt>
                <c:pt idx="3">
                  <c:v>30-40</c:v>
                </c:pt>
                <c:pt idx="4">
                  <c:v>40-50</c:v>
                </c:pt>
                <c:pt idx="5">
                  <c:v>50-60</c:v>
                </c:pt>
                <c:pt idx="6">
                  <c:v>60-70</c:v>
                </c:pt>
                <c:pt idx="7">
                  <c:v>70-80</c:v>
                </c:pt>
                <c:pt idx="8">
                  <c:v>80-90</c:v>
                </c:pt>
                <c:pt idx="9">
                  <c:v>90-100</c:v>
                </c:pt>
                <c:pt idx="10">
                  <c:v>More than 100</c:v>
                </c:pt>
              </c:strCache>
            </c:strRef>
          </c:cat>
          <c:val>
            <c:numRef>
              <c:f>II_PrepProgEmployment!$B$33:$L$33</c:f>
              <c:numCache>
                <c:formatCode>0%</c:formatCode>
                <c:ptCount val="11"/>
                <c:pt idx="0">
                  <c:v>0.41690140845070428</c:v>
                </c:pt>
                <c:pt idx="1">
                  <c:v>0.26478873239436851</c:v>
                </c:pt>
                <c:pt idx="2">
                  <c:v>0.10281690140845072</c:v>
                </c:pt>
                <c:pt idx="3">
                  <c:v>5.9154929577464786E-2</c:v>
                </c:pt>
                <c:pt idx="4">
                  <c:v>3.5211267605634144E-2</c:v>
                </c:pt>
                <c:pt idx="5">
                  <c:v>2.3943661971830978E-2</c:v>
                </c:pt>
                <c:pt idx="6">
                  <c:v>2.1126760563380278E-2</c:v>
                </c:pt>
                <c:pt idx="7">
                  <c:v>4.6478873239436634E-2</c:v>
                </c:pt>
                <c:pt idx="8">
                  <c:v>1.6901408450704241E-2</c:v>
                </c:pt>
                <c:pt idx="9">
                  <c:v>2.8169014084507044E-3</c:v>
                </c:pt>
                <c:pt idx="10">
                  <c:v>9.8591549295775731E-3</c:v>
                </c:pt>
              </c:numCache>
            </c:numRef>
          </c:val>
        </c:ser>
        <c:ser>
          <c:idx val="3"/>
          <c:order val="2"/>
          <c:tx>
            <c:strRef>
              <c:f>II_PrepProgEmployment!$A$34</c:f>
              <c:strCache>
                <c:ptCount val="1"/>
                <c:pt idx="0">
                  <c:v>Private College or University</c:v>
                </c:pt>
              </c:strCache>
            </c:strRef>
          </c:tx>
          <c:cat>
            <c:strRef>
              <c:f>II_PrepProgEmployment!$B$30:$L$30</c:f>
              <c:strCache>
                <c:ptCount val="11"/>
                <c:pt idx="0">
                  <c:v>0-10</c:v>
                </c:pt>
                <c:pt idx="1">
                  <c:v>10-20</c:v>
                </c:pt>
                <c:pt idx="2">
                  <c:v>20-30</c:v>
                </c:pt>
                <c:pt idx="3">
                  <c:v>30-40</c:v>
                </c:pt>
                <c:pt idx="4">
                  <c:v>40-50</c:v>
                </c:pt>
                <c:pt idx="5">
                  <c:v>50-60</c:v>
                </c:pt>
                <c:pt idx="6">
                  <c:v>60-70</c:v>
                </c:pt>
                <c:pt idx="7">
                  <c:v>70-80</c:v>
                </c:pt>
                <c:pt idx="8">
                  <c:v>80-90</c:v>
                </c:pt>
                <c:pt idx="9">
                  <c:v>90-100</c:v>
                </c:pt>
                <c:pt idx="10">
                  <c:v>More than 100</c:v>
                </c:pt>
              </c:strCache>
            </c:strRef>
          </c:cat>
          <c:val>
            <c:numRef>
              <c:f>II_PrepProgEmployment!$B$34:$L$34</c:f>
              <c:numCache>
                <c:formatCode>0%</c:formatCode>
                <c:ptCount val="11"/>
                <c:pt idx="0">
                  <c:v>0.44701986754967254</c:v>
                </c:pt>
                <c:pt idx="1">
                  <c:v>0.19720382634289921</c:v>
                </c:pt>
                <c:pt idx="2">
                  <c:v>0.11515820456217807</c:v>
                </c:pt>
                <c:pt idx="3">
                  <c:v>7.0640176600441501E-2</c:v>
                </c:pt>
                <c:pt idx="4">
                  <c:v>4.1206769683590855E-2</c:v>
                </c:pt>
                <c:pt idx="5">
                  <c:v>2.0235467255334805E-2</c:v>
                </c:pt>
                <c:pt idx="6">
                  <c:v>1.6188373804267978E-2</c:v>
                </c:pt>
                <c:pt idx="7">
                  <c:v>4.9668874172185427E-2</c:v>
                </c:pt>
                <c:pt idx="8">
                  <c:v>2.3914643119941136E-2</c:v>
                </c:pt>
                <c:pt idx="9">
                  <c:v>1.0301692420897714E-2</c:v>
                </c:pt>
                <c:pt idx="10">
                  <c:v>8.4621044885945726E-3</c:v>
                </c:pt>
              </c:numCache>
            </c:numRef>
          </c:val>
        </c:ser>
        <c:ser>
          <c:idx val="4"/>
          <c:order val="3"/>
          <c:tx>
            <c:strRef>
              <c:f>II_PrepProgEmployment!$A$35</c:f>
              <c:strCache>
                <c:ptCount val="1"/>
                <c:pt idx="0">
                  <c:v>Non-Higher Ed Organization</c:v>
                </c:pt>
              </c:strCache>
            </c:strRef>
          </c:tx>
          <c:cat>
            <c:strRef>
              <c:f>II_PrepProgEmployment!$B$30:$L$30</c:f>
              <c:strCache>
                <c:ptCount val="11"/>
                <c:pt idx="0">
                  <c:v>0-10</c:v>
                </c:pt>
                <c:pt idx="1">
                  <c:v>10-20</c:v>
                </c:pt>
                <c:pt idx="2">
                  <c:v>20-30</c:v>
                </c:pt>
                <c:pt idx="3">
                  <c:v>30-40</c:v>
                </c:pt>
                <c:pt idx="4">
                  <c:v>40-50</c:v>
                </c:pt>
                <c:pt idx="5">
                  <c:v>50-60</c:v>
                </c:pt>
                <c:pt idx="6">
                  <c:v>60-70</c:v>
                </c:pt>
                <c:pt idx="7">
                  <c:v>70-80</c:v>
                </c:pt>
                <c:pt idx="8">
                  <c:v>80-90</c:v>
                </c:pt>
                <c:pt idx="9">
                  <c:v>90-100</c:v>
                </c:pt>
                <c:pt idx="10">
                  <c:v>More than 100</c:v>
                </c:pt>
              </c:strCache>
            </c:strRef>
          </c:cat>
          <c:val>
            <c:numRef>
              <c:f>II_PrepProgEmployment!$B$35:$L$35</c:f>
              <c:numCache>
                <c:formatCode>0%</c:formatCode>
                <c:ptCount val="11"/>
                <c:pt idx="0">
                  <c:v>0.58864027538726338</c:v>
                </c:pt>
                <c:pt idx="1">
                  <c:v>0.20481927710843495</c:v>
                </c:pt>
                <c:pt idx="2">
                  <c:v>7.4010327022375894E-2</c:v>
                </c:pt>
                <c:pt idx="3">
                  <c:v>3.2702237521515111E-2</c:v>
                </c:pt>
                <c:pt idx="4">
                  <c:v>4.6471600688468145E-2</c:v>
                </c:pt>
                <c:pt idx="5">
                  <c:v>1.0327022375215161E-2</c:v>
                </c:pt>
                <c:pt idx="6">
                  <c:v>1.3769363166953531E-2</c:v>
                </c:pt>
                <c:pt idx="7">
                  <c:v>2.237521514629982E-2</c:v>
                </c:pt>
                <c:pt idx="8">
                  <c:v>6.8846815834767714E-3</c:v>
                </c:pt>
                <c:pt idx="9">
                  <c:v>0</c:v>
                </c:pt>
                <c:pt idx="10">
                  <c:v>0</c:v>
                </c:pt>
              </c:numCache>
            </c:numRef>
          </c:val>
        </c:ser>
        <c:dLbls/>
        <c:axId val="102092160"/>
        <c:axId val="102110720"/>
      </c:barChart>
      <c:catAx>
        <c:axId val="102092160"/>
        <c:scaling>
          <c:orientation val="minMax"/>
        </c:scaling>
        <c:axPos val="b"/>
        <c:title>
          <c:tx>
            <c:rich>
              <a:bodyPr/>
              <a:lstStyle/>
              <a:p>
                <a:pPr>
                  <a:defRPr b="0"/>
                </a:pPr>
                <a:r>
                  <a:rPr lang="en-US" b="0"/>
                  <a:t>Miles to First Employing Massachusetts Public</a:t>
                </a:r>
                <a:r>
                  <a:rPr lang="en-US" b="0" baseline="0"/>
                  <a:t> School</a:t>
                </a:r>
                <a:endParaRPr lang="en-US" b="0"/>
              </a:p>
            </c:rich>
          </c:tx>
        </c:title>
        <c:numFmt formatCode="General" sourceLinked="0"/>
        <c:tickLblPos val="nextTo"/>
        <c:crossAx val="102110720"/>
        <c:crosses val="autoZero"/>
        <c:auto val="1"/>
        <c:lblAlgn val="ctr"/>
        <c:lblOffset val="100"/>
      </c:catAx>
      <c:valAx>
        <c:axId val="102110720"/>
        <c:scaling>
          <c:orientation val="minMax"/>
        </c:scaling>
        <c:axPos val="l"/>
        <c:majorGridlines>
          <c:spPr>
            <a:ln>
              <a:solidFill>
                <a:schemeClr val="bg1">
                  <a:lumMod val="85000"/>
                </a:schemeClr>
              </a:solidFill>
            </a:ln>
          </c:spPr>
        </c:majorGridlines>
        <c:numFmt formatCode="0%" sourceLinked="0"/>
        <c:tickLblPos val="nextTo"/>
        <c:crossAx val="102092160"/>
        <c:crosses val="autoZero"/>
        <c:crossBetween val="between"/>
      </c:valAx>
    </c:plotArea>
    <c:legend>
      <c:legendPos val="t"/>
      <c:layout>
        <c:manualLayout>
          <c:xMode val="edge"/>
          <c:yMode val="edge"/>
          <c:x val="0.17903257285147173"/>
          <c:y val="5.0793707994739437E-2"/>
          <c:w val="0.74050928730062593"/>
          <c:h val="0.10889149769850318"/>
        </c:manualLayout>
      </c:layout>
      <c:spPr>
        <a:ln>
          <a:solidFill>
            <a:schemeClr val="bg1">
              <a:lumMod val="50000"/>
            </a:schemeClr>
          </a:solidFill>
        </a:ln>
      </c:spPr>
    </c:legend>
    <c:plotVisOnly val="1"/>
    <c:dispBlanksAs val="gap"/>
  </c:chart>
  <c:spPr>
    <a:ln>
      <a:solidFill>
        <a:schemeClr val="bg1">
          <a:lumMod val="50000"/>
        </a:schemeClr>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0875208780720592"/>
          <c:y val="4.1350166424727636E-2"/>
          <c:w val="0.86347013441501663"/>
          <c:h val="0.69120749571108053"/>
        </c:manualLayout>
      </c:layout>
      <c:barChart>
        <c:barDir val="col"/>
        <c:grouping val="clustered"/>
        <c:ser>
          <c:idx val="0"/>
          <c:order val="0"/>
          <c:dPt>
            <c:idx val="0"/>
            <c:spPr>
              <a:solidFill>
                <a:schemeClr val="tx2"/>
              </a:solidFill>
              <a:ln>
                <a:solidFill>
                  <a:schemeClr val="tx2"/>
                </a:solidFill>
              </a:ln>
            </c:spPr>
          </c:dPt>
          <c:cat>
            <c:multiLvlStrRef>
              <c:f>II_PriorWork!$B$15:$F$16</c:f>
              <c:multiLvlStrCache>
                <c:ptCount val="5"/>
                <c:lvl>
                  <c:pt idx="1">
                    <c:v>White</c:v>
                  </c:pt>
                  <c:pt idx="2">
                    <c:v>Teachers of Color</c:v>
                  </c:pt>
                  <c:pt idx="3">
                    <c:v>Female</c:v>
                  </c:pt>
                  <c:pt idx="4">
                    <c:v>Male</c:v>
                  </c:pt>
                </c:lvl>
                <c:lvl>
                  <c:pt idx="0">
                    <c:v>All New Teachers</c:v>
                  </c:pt>
                  <c:pt idx="1">
                    <c:v>Race</c:v>
                  </c:pt>
                  <c:pt idx="3">
                    <c:v>Gender</c:v>
                  </c:pt>
                </c:lvl>
              </c:multiLvlStrCache>
            </c:multiLvlStrRef>
          </c:cat>
          <c:val>
            <c:numRef>
              <c:f>II_PriorWork!$B$17:$F$17</c:f>
              <c:numCache>
                <c:formatCode>0%</c:formatCode>
                <c:ptCount val="5"/>
                <c:pt idx="0">
                  <c:v>0.31500000000000206</c:v>
                </c:pt>
                <c:pt idx="1">
                  <c:v>0.32000000000000234</c:v>
                </c:pt>
                <c:pt idx="2">
                  <c:v>0.27200000000000002</c:v>
                </c:pt>
                <c:pt idx="3">
                  <c:v>0.34900000000000031</c:v>
                </c:pt>
                <c:pt idx="4">
                  <c:v>0.223</c:v>
                </c:pt>
              </c:numCache>
            </c:numRef>
          </c:val>
        </c:ser>
        <c:dLbls/>
        <c:axId val="102143488"/>
        <c:axId val="102145024"/>
      </c:barChart>
      <c:catAx>
        <c:axId val="102143488"/>
        <c:scaling>
          <c:orientation val="minMax"/>
        </c:scaling>
        <c:axPos val="b"/>
        <c:numFmt formatCode="General" sourceLinked="0"/>
        <c:tickLblPos val="nextTo"/>
        <c:crossAx val="102145024"/>
        <c:crosses val="autoZero"/>
        <c:auto val="1"/>
        <c:lblAlgn val="ctr"/>
        <c:lblOffset val="100"/>
      </c:catAx>
      <c:valAx>
        <c:axId val="102145024"/>
        <c:scaling>
          <c:orientation val="minMax"/>
        </c:scaling>
        <c:axPos val="l"/>
        <c:majorGridlines>
          <c:spPr>
            <a:ln>
              <a:solidFill>
                <a:schemeClr val="bg1">
                  <a:lumMod val="85000"/>
                </a:schemeClr>
              </a:solidFill>
            </a:ln>
          </c:spPr>
        </c:majorGridlines>
        <c:numFmt formatCode="0%" sourceLinked="1"/>
        <c:tickLblPos val="nextTo"/>
        <c:crossAx val="102143488"/>
        <c:crosses val="autoZero"/>
        <c:crossBetween val="between"/>
      </c:valAx>
    </c:plotArea>
    <c:plotVisOnly val="1"/>
    <c:dispBlanksAs val="gap"/>
  </c:chart>
  <c:spPr>
    <a:ln>
      <a:solidFill>
        <a:schemeClr val="bg1">
          <a:lumMod val="50000"/>
        </a:schemeClr>
      </a:solid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dPt>
            <c:idx val="0"/>
            <c:spPr>
              <a:solidFill>
                <a:schemeClr val="tx2"/>
              </a:solidFill>
              <a:ln>
                <a:solidFill>
                  <a:schemeClr val="tx2"/>
                </a:solidFill>
              </a:ln>
            </c:spPr>
          </c:dPt>
          <c:cat>
            <c:multiLvlStrRef>
              <c:f>(II_PriorWork!$B$15:$B$16,II_PriorWork!$G$15:$L$16)</c:f>
              <c:multiLvlStrCache>
                <c:ptCount val="7"/>
                <c:lvl>
                  <c:pt idx="1">
                    <c:v>Level 1</c:v>
                  </c:pt>
                  <c:pt idx="2">
                    <c:v>Level 2</c:v>
                  </c:pt>
                  <c:pt idx="3">
                    <c:v>Level 3</c:v>
                  </c:pt>
                  <c:pt idx="4">
                    <c:v>Level 4</c:v>
                  </c:pt>
                  <c:pt idx="5">
                    <c:v>Low Poverty</c:v>
                  </c:pt>
                  <c:pt idx="6">
                    <c:v>High Poverty</c:v>
                  </c:pt>
                </c:lvl>
                <c:lvl>
                  <c:pt idx="0">
                    <c:v>All New Teachers</c:v>
                  </c:pt>
                  <c:pt idx="1">
                    <c:v>School Level Status</c:v>
                  </c:pt>
                  <c:pt idx="5">
                    <c:v>School Low-Income Enrollment</c:v>
                  </c:pt>
                </c:lvl>
              </c:multiLvlStrCache>
            </c:multiLvlStrRef>
          </c:cat>
          <c:val>
            <c:numRef>
              <c:f>(II_PriorWork!$B$17,II_PriorWork!$G$17:$L$17)</c:f>
              <c:numCache>
                <c:formatCode>0%</c:formatCode>
                <c:ptCount val="7"/>
                <c:pt idx="0">
                  <c:v>0.31500000000000206</c:v>
                </c:pt>
                <c:pt idx="1">
                  <c:v>0.30700000000000038</c:v>
                </c:pt>
                <c:pt idx="2">
                  <c:v>0.33900000000000263</c:v>
                </c:pt>
                <c:pt idx="3">
                  <c:v>0.28800000000000031</c:v>
                </c:pt>
                <c:pt idx="4">
                  <c:v>0.20800000000000021</c:v>
                </c:pt>
                <c:pt idx="5">
                  <c:v>0.36200000000000032</c:v>
                </c:pt>
                <c:pt idx="6">
                  <c:v>0.29500000000000032</c:v>
                </c:pt>
              </c:numCache>
            </c:numRef>
          </c:val>
        </c:ser>
        <c:dLbls/>
        <c:axId val="102435456"/>
        <c:axId val="102437248"/>
      </c:barChart>
      <c:catAx>
        <c:axId val="102435456"/>
        <c:scaling>
          <c:orientation val="minMax"/>
        </c:scaling>
        <c:axPos val="b"/>
        <c:numFmt formatCode="General" sourceLinked="0"/>
        <c:tickLblPos val="nextTo"/>
        <c:crossAx val="102437248"/>
        <c:crosses val="autoZero"/>
        <c:auto val="1"/>
        <c:lblAlgn val="ctr"/>
        <c:lblOffset val="100"/>
      </c:catAx>
      <c:valAx>
        <c:axId val="102437248"/>
        <c:scaling>
          <c:orientation val="minMax"/>
          <c:max val="0.4"/>
        </c:scaling>
        <c:axPos val="l"/>
        <c:majorGridlines>
          <c:spPr>
            <a:ln>
              <a:solidFill>
                <a:schemeClr val="bg1">
                  <a:lumMod val="85000"/>
                </a:schemeClr>
              </a:solidFill>
            </a:ln>
          </c:spPr>
        </c:majorGridlines>
        <c:numFmt formatCode="0%" sourceLinked="1"/>
        <c:tickLblPos val="nextTo"/>
        <c:crossAx val="102435456"/>
        <c:crosses val="autoZero"/>
        <c:crossBetween val="between"/>
      </c:valAx>
    </c:plotArea>
    <c:plotVisOnly val="1"/>
    <c:dispBlanksAs val="gap"/>
  </c:chart>
  <c:spPr>
    <a:ln>
      <a:solidFill>
        <a:schemeClr val="bg1">
          <a:lumMod val="50000"/>
        </a:schemeClr>
      </a:solid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7.9883720417301463E-2"/>
          <c:y val="4.1350166424727636E-2"/>
          <c:w val="0.90416180330399964"/>
          <c:h val="0.38750769974891597"/>
        </c:manualLayout>
      </c:layout>
      <c:barChart>
        <c:barDir val="col"/>
        <c:grouping val="clustered"/>
        <c:ser>
          <c:idx val="0"/>
          <c:order val="0"/>
          <c:dPt>
            <c:idx val="0"/>
            <c:spPr>
              <a:solidFill>
                <a:schemeClr val="tx2"/>
              </a:solidFill>
              <a:ln>
                <a:solidFill>
                  <a:schemeClr val="tx2"/>
                </a:solidFill>
              </a:ln>
            </c:spPr>
          </c:dPt>
          <c:cat>
            <c:multiLvlStrRef>
              <c:f>(II_PriorWork!$B$15:$B$16,II_PriorWork!$M$15:$V$16)</c:f>
              <c:multiLvlStrCache>
                <c:ptCount val="11"/>
                <c:lvl>
                  <c:pt idx="1">
                    <c:v>English Language Arts</c:v>
                  </c:pt>
                  <c:pt idx="2">
                    <c:v>Math</c:v>
                  </c:pt>
                  <c:pt idx="3">
                    <c:v>Science</c:v>
                  </c:pt>
                  <c:pt idx="4">
                    <c:v>Foreign Language</c:v>
                  </c:pt>
                  <c:pt idx="5">
                    <c:v>Early Childhood Grades</c:v>
                  </c:pt>
                  <c:pt idx="6">
                    <c:v>Special Education Students</c:v>
                  </c:pt>
                  <c:pt idx="7">
                    <c:v>English Language Learners</c:v>
                  </c:pt>
                  <c:pt idx="8">
                    <c:v>Elementary</c:v>
                  </c:pt>
                  <c:pt idx="9">
                    <c:v>Middle</c:v>
                  </c:pt>
                  <c:pt idx="10">
                    <c:v>High School</c:v>
                  </c:pt>
                </c:lvl>
                <c:lvl>
                  <c:pt idx="0">
                    <c:v>All New Teachers</c:v>
                  </c:pt>
                  <c:pt idx="1">
                    <c:v>Subject Taught</c:v>
                  </c:pt>
                  <c:pt idx="8">
                    <c:v>Grade Level Taught</c:v>
                  </c:pt>
                </c:lvl>
              </c:multiLvlStrCache>
            </c:multiLvlStrRef>
          </c:cat>
          <c:val>
            <c:numRef>
              <c:f>(II_PriorWork!$B$17,II_PriorWork!$M$17:$V$17)</c:f>
              <c:numCache>
                <c:formatCode>0%</c:formatCode>
                <c:ptCount val="11"/>
                <c:pt idx="0">
                  <c:v>0.31500000000000206</c:v>
                </c:pt>
                <c:pt idx="1">
                  <c:v>0.34200000000000008</c:v>
                </c:pt>
                <c:pt idx="2">
                  <c:v>0.34900000000000031</c:v>
                </c:pt>
                <c:pt idx="3">
                  <c:v>0.33300000000000263</c:v>
                </c:pt>
                <c:pt idx="4">
                  <c:v>0.125</c:v>
                </c:pt>
                <c:pt idx="5">
                  <c:v>0.41800000000000032</c:v>
                </c:pt>
                <c:pt idx="6">
                  <c:v>0.45200000000000001</c:v>
                </c:pt>
                <c:pt idx="7">
                  <c:v>0.27800000000000002</c:v>
                </c:pt>
                <c:pt idx="8">
                  <c:v>0.37100000000000088</c:v>
                </c:pt>
                <c:pt idx="9">
                  <c:v>0.24200000000000021</c:v>
                </c:pt>
                <c:pt idx="10">
                  <c:v>0.27700000000000002</c:v>
                </c:pt>
              </c:numCache>
            </c:numRef>
          </c:val>
        </c:ser>
        <c:dLbls/>
        <c:axId val="102473728"/>
        <c:axId val="102475264"/>
      </c:barChart>
      <c:catAx>
        <c:axId val="102473728"/>
        <c:scaling>
          <c:orientation val="minMax"/>
        </c:scaling>
        <c:axPos val="b"/>
        <c:numFmt formatCode="General" sourceLinked="0"/>
        <c:tickLblPos val="nextTo"/>
        <c:crossAx val="102475264"/>
        <c:crosses val="autoZero"/>
        <c:auto val="1"/>
        <c:lblAlgn val="ctr"/>
        <c:lblOffset val="100"/>
      </c:catAx>
      <c:valAx>
        <c:axId val="102475264"/>
        <c:scaling>
          <c:orientation val="minMax"/>
          <c:max val="0.5"/>
        </c:scaling>
        <c:axPos val="l"/>
        <c:majorGridlines>
          <c:spPr>
            <a:ln>
              <a:solidFill>
                <a:schemeClr val="bg1">
                  <a:lumMod val="85000"/>
                </a:schemeClr>
              </a:solidFill>
            </a:ln>
          </c:spPr>
        </c:majorGridlines>
        <c:numFmt formatCode="0%" sourceLinked="1"/>
        <c:tickLblPos val="nextTo"/>
        <c:crossAx val="102473728"/>
        <c:crosses val="autoZero"/>
        <c:crossBetween val="between"/>
      </c:valAx>
    </c:plotArea>
    <c:plotVisOnly val="1"/>
    <c:dispBlanksAs val="gap"/>
  </c:chart>
  <c:spPr>
    <a:ln>
      <a:solidFill>
        <a:schemeClr val="bg1">
          <a:lumMod val="50000"/>
        </a:schemeClr>
      </a:solid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style val="3"/>
  <c:chart>
    <c:plotArea>
      <c:layout/>
      <c:lineChart>
        <c:grouping val="standard"/>
        <c:ser>
          <c:idx val="0"/>
          <c:order val="0"/>
          <c:tx>
            <c:strRef>
              <c:f>'SGP Data'!$B$3</c:f>
              <c:strCache>
                <c:ptCount val="1"/>
                <c:pt idx="0">
                  <c:v>ELA SGP</c:v>
                </c:pt>
              </c:strCache>
            </c:strRef>
          </c:tx>
          <c:spPr>
            <a:ln>
              <a:solidFill>
                <a:schemeClr val="tx2">
                  <a:lumMod val="75000"/>
                </a:schemeClr>
              </a:solidFill>
            </a:ln>
          </c:spPr>
          <c:marker>
            <c:symbol val="circle"/>
            <c:size val="9"/>
            <c:spPr>
              <a:solidFill>
                <a:schemeClr val="tx2">
                  <a:lumMod val="75000"/>
                </a:schemeClr>
              </a:solidFill>
              <a:ln>
                <a:noFill/>
              </a:ln>
            </c:spPr>
          </c:marker>
          <c:dLbls>
            <c:spPr>
              <a:noFill/>
              <a:ln>
                <a:noFill/>
              </a:ln>
              <a:effectLst/>
            </c:spPr>
            <c:dLblPos val="b"/>
            <c:showVal val="1"/>
            <c:extLst>
              <c:ext xmlns:c15="http://schemas.microsoft.com/office/drawing/2012/chart" uri="{CE6537A1-D6FC-4f65-9D91-7224C49458BB}">
                <c15:layout/>
                <c15:showLeaderLines val="0"/>
              </c:ext>
            </c:extLst>
          </c:dLbls>
          <c:cat>
            <c:strRef>
              <c:f>'SGP Data'!$A$4:$A$7</c:f>
              <c:strCache>
                <c:ptCount val="4"/>
                <c:pt idx="0">
                  <c:v>First Year</c:v>
                </c:pt>
                <c:pt idx="1">
                  <c:v>Second Year</c:v>
                </c:pt>
                <c:pt idx="2">
                  <c:v>Third Year</c:v>
                </c:pt>
                <c:pt idx="3">
                  <c:v>Fourth Year or Higher</c:v>
                </c:pt>
              </c:strCache>
            </c:strRef>
          </c:cat>
          <c:val>
            <c:numRef>
              <c:f>'SGP Data'!$B$4:$B$7</c:f>
              <c:numCache>
                <c:formatCode>General</c:formatCode>
                <c:ptCount val="4"/>
                <c:pt idx="0">
                  <c:v>48</c:v>
                </c:pt>
                <c:pt idx="1">
                  <c:v>50</c:v>
                </c:pt>
                <c:pt idx="2">
                  <c:v>51</c:v>
                </c:pt>
                <c:pt idx="3">
                  <c:v>51</c:v>
                </c:pt>
              </c:numCache>
            </c:numRef>
          </c:val>
        </c:ser>
        <c:ser>
          <c:idx val="1"/>
          <c:order val="1"/>
          <c:tx>
            <c:strRef>
              <c:f>'SGP Data'!$C$3</c:f>
              <c:strCache>
                <c:ptCount val="1"/>
                <c:pt idx="0">
                  <c:v>Math SGP</c:v>
                </c:pt>
              </c:strCache>
            </c:strRef>
          </c:tx>
          <c:spPr>
            <a:ln>
              <a:solidFill>
                <a:schemeClr val="accent1">
                  <a:lumMod val="75000"/>
                </a:schemeClr>
              </a:solidFill>
              <a:prstDash val="sysDash"/>
            </a:ln>
          </c:spPr>
          <c:marker>
            <c:spPr>
              <a:solidFill>
                <a:schemeClr val="accent1">
                  <a:lumMod val="75000"/>
                </a:schemeClr>
              </a:solidFill>
              <a:ln>
                <a:noFill/>
              </a:ln>
            </c:spPr>
          </c:marker>
          <c:dLbls>
            <c:spPr>
              <a:noFill/>
              <a:ln>
                <a:noFill/>
              </a:ln>
              <a:effectLst/>
            </c:spPr>
            <c:dLblPos val="t"/>
            <c:showVal val="1"/>
            <c:extLst>
              <c:ext xmlns:c15="http://schemas.microsoft.com/office/drawing/2012/chart" uri="{CE6537A1-D6FC-4f65-9D91-7224C49458BB}">
                <c15:layout/>
                <c15:showLeaderLines val="0"/>
              </c:ext>
            </c:extLst>
          </c:dLbls>
          <c:cat>
            <c:strRef>
              <c:f>'SGP Data'!$A$4:$A$7</c:f>
              <c:strCache>
                <c:ptCount val="4"/>
                <c:pt idx="0">
                  <c:v>First Year</c:v>
                </c:pt>
                <c:pt idx="1">
                  <c:v>Second Year</c:v>
                </c:pt>
                <c:pt idx="2">
                  <c:v>Third Year</c:v>
                </c:pt>
                <c:pt idx="3">
                  <c:v>Fourth Year or Higher</c:v>
                </c:pt>
              </c:strCache>
            </c:strRef>
          </c:cat>
          <c:val>
            <c:numRef>
              <c:f>'SGP Data'!$C$4:$C$7</c:f>
              <c:numCache>
                <c:formatCode>General</c:formatCode>
                <c:ptCount val="4"/>
                <c:pt idx="0">
                  <c:v>48.5</c:v>
                </c:pt>
                <c:pt idx="1">
                  <c:v>50</c:v>
                </c:pt>
                <c:pt idx="2">
                  <c:v>52.5</c:v>
                </c:pt>
                <c:pt idx="3">
                  <c:v>52</c:v>
                </c:pt>
              </c:numCache>
            </c:numRef>
          </c:val>
        </c:ser>
        <c:dLbls/>
        <c:marker val="1"/>
        <c:axId val="102500992"/>
        <c:axId val="102544128"/>
      </c:lineChart>
      <c:catAx>
        <c:axId val="102500992"/>
        <c:scaling>
          <c:orientation val="minMax"/>
        </c:scaling>
        <c:axPos val="b"/>
        <c:title>
          <c:tx>
            <c:rich>
              <a:bodyPr/>
              <a:lstStyle/>
              <a:p>
                <a:pPr>
                  <a:defRPr b="0"/>
                </a:pPr>
                <a:r>
                  <a:rPr lang="en-US" b="0"/>
                  <a:t>Years of Teaching Experience</a:t>
                </a:r>
              </a:p>
            </c:rich>
          </c:tx>
        </c:title>
        <c:numFmt formatCode="General" sourceLinked="0"/>
        <c:tickLblPos val="nextTo"/>
        <c:crossAx val="102544128"/>
        <c:crosses val="autoZero"/>
        <c:auto val="1"/>
        <c:lblAlgn val="ctr"/>
        <c:lblOffset val="100"/>
      </c:catAx>
      <c:valAx>
        <c:axId val="102544128"/>
        <c:scaling>
          <c:orientation val="minMax"/>
          <c:max val="60"/>
          <c:min val="0"/>
        </c:scaling>
        <c:axPos val="l"/>
        <c:majorGridlines>
          <c:spPr>
            <a:ln>
              <a:solidFill>
                <a:schemeClr val="bg1">
                  <a:lumMod val="85000"/>
                </a:schemeClr>
              </a:solidFill>
            </a:ln>
          </c:spPr>
        </c:majorGridlines>
        <c:title>
          <c:tx>
            <c:rich>
              <a:bodyPr rot="-5400000" vert="horz"/>
              <a:lstStyle/>
              <a:p>
                <a:pPr>
                  <a:defRPr b="0"/>
                </a:pPr>
                <a:r>
                  <a:rPr lang="en-US" b="0"/>
                  <a:t>Median Student Growth Percentile</a:t>
                </a:r>
              </a:p>
            </c:rich>
          </c:tx>
        </c:title>
        <c:numFmt formatCode="General" sourceLinked="1"/>
        <c:tickLblPos val="nextTo"/>
        <c:crossAx val="102500992"/>
        <c:crosses val="autoZero"/>
        <c:crossBetween val="between"/>
      </c:valAx>
    </c:plotArea>
    <c:legend>
      <c:legendPos val="t"/>
    </c:legend>
    <c:plotVisOnly val="1"/>
    <c:dispBlanksAs val="gap"/>
  </c:chart>
  <c:spPr>
    <a:ln>
      <a:solidFill>
        <a:schemeClr val="bg1">
          <a:lumMod val="50000"/>
        </a:schemeClr>
      </a:solid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0.11688992328175021"/>
          <c:y val="7.0992965761707799E-2"/>
          <c:w val="0.88311007671824959"/>
          <c:h val="0.78073454374537299"/>
        </c:manualLayout>
      </c:layout>
      <c:lineChart>
        <c:grouping val="standard"/>
        <c:ser>
          <c:idx val="0"/>
          <c:order val="0"/>
          <c:tx>
            <c:strRef>
              <c:f>III_Growth!$B$16:$B$17</c:f>
              <c:strCache>
                <c:ptCount val="1"/>
                <c:pt idx="0">
                  <c:v>Math SGP, Charter School</c:v>
                </c:pt>
              </c:strCache>
            </c:strRef>
          </c:tx>
          <c:spPr>
            <a:ln>
              <a:solidFill>
                <a:schemeClr val="tx2"/>
              </a:solidFill>
              <a:prstDash val="sysDash"/>
            </a:ln>
          </c:spPr>
          <c:marker>
            <c:symbol val="circle"/>
            <c:size val="9"/>
            <c:spPr>
              <a:solidFill>
                <a:schemeClr val="tx2"/>
              </a:solidFill>
              <a:ln>
                <a:solidFill>
                  <a:schemeClr val="tx2"/>
                </a:solidFill>
              </a:ln>
            </c:spPr>
          </c:marker>
          <c:cat>
            <c:strRef>
              <c:f>III_Growth!$A$18:$A$21</c:f>
              <c:strCache>
                <c:ptCount val="4"/>
                <c:pt idx="0">
                  <c:v>First Year</c:v>
                </c:pt>
                <c:pt idx="1">
                  <c:v>Second Year</c:v>
                </c:pt>
                <c:pt idx="2">
                  <c:v>Third Year</c:v>
                </c:pt>
                <c:pt idx="3">
                  <c:v>Fourth Year or Higher</c:v>
                </c:pt>
              </c:strCache>
            </c:strRef>
          </c:cat>
          <c:val>
            <c:numRef>
              <c:f>III_Growth!$B$18:$B$21</c:f>
              <c:numCache>
                <c:formatCode>General</c:formatCode>
                <c:ptCount val="4"/>
                <c:pt idx="0">
                  <c:v>54</c:v>
                </c:pt>
                <c:pt idx="1">
                  <c:v>58</c:v>
                </c:pt>
                <c:pt idx="2">
                  <c:v>57.5</c:v>
                </c:pt>
                <c:pt idx="3">
                  <c:v>55.5</c:v>
                </c:pt>
              </c:numCache>
            </c:numRef>
          </c:val>
        </c:ser>
        <c:ser>
          <c:idx val="1"/>
          <c:order val="1"/>
          <c:tx>
            <c:strRef>
              <c:f>III_Growth!$C$16:$C$17</c:f>
              <c:strCache>
                <c:ptCount val="1"/>
                <c:pt idx="0">
                  <c:v>Math SGP, Non-Charter School</c:v>
                </c:pt>
              </c:strCache>
            </c:strRef>
          </c:tx>
          <c:spPr>
            <a:ln>
              <a:solidFill>
                <a:schemeClr val="accent1">
                  <a:lumMod val="75000"/>
                </a:schemeClr>
              </a:solidFill>
              <a:prstDash val="sysDash"/>
            </a:ln>
          </c:spPr>
          <c:marker>
            <c:symbol val="square"/>
            <c:size val="9"/>
            <c:spPr>
              <a:solidFill>
                <a:schemeClr val="accent1">
                  <a:lumMod val="75000"/>
                </a:schemeClr>
              </a:solidFill>
              <a:ln>
                <a:noFill/>
              </a:ln>
            </c:spPr>
          </c:marker>
          <c:cat>
            <c:strRef>
              <c:f>III_Growth!$A$18:$A$21</c:f>
              <c:strCache>
                <c:ptCount val="4"/>
                <c:pt idx="0">
                  <c:v>First Year</c:v>
                </c:pt>
                <c:pt idx="1">
                  <c:v>Second Year</c:v>
                </c:pt>
                <c:pt idx="2">
                  <c:v>Third Year</c:v>
                </c:pt>
                <c:pt idx="3">
                  <c:v>Fourth Year or Higher</c:v>
                </c:pt>
              </c:strCache>
            </c:strRef>
          </c:cat>
          <c:val>
            <c:numRef>
              <c:f>III_Growth!$C$18:$C$21</c:f>
              <c:numCache>
                <c:formatCode>General</c:formatCode>
                <c:ptCount val="4"/>
                <c:pt idx="0">
                  <c:v>48</c:v>
                </c:pt>
                <c:pt idx="1">
                  <c:v>50</c:v>
                </c:pt>
                <c:pt idx="2">
                  <c:v>52</c:v>
                </c:pt>
                <c:pt idx="3">
                  <c:v>52</c:v>
                </c:pt>
              </c:numCache>
            </c:numRef>
          </c:val>
        </c:ser>
        <c:ser>
          <c:idx val="2"/>
          <c:order val="2"/>
          <c:tx>
            <c:strRef>
              <c:f>III_Growth!$D$16:$D$17</c:f>
              <c:strCache>
                <c:ptCount val="1"/>
                <c:pt idx="0">
                  <c:v>ELA SGP, Charter School</c:v>
                </c:pt>
              </c:strCache>
            </c:strRef>
          </c:tx>
          <c:spPr>
            <a:ln>
              <a:solidFill>
                <a:schemeClr val="tx2"/>
              </a:solidFill>
            </a:ln>
          </c:spPr>
          <c:marker>
            <c:symbol val="circle"/>
            <c:size val="9"/>
            <c:spPr>
              <a:solidFill>
                <a:schemeClr val="tx2"/>
              </a:solidFill>
              <a:ln>
                <a:solidFill>
                  <a:schemeClr val="tx2"/>
                </a:solidFill>
              </a:ln>
            </c:spPr>
          </c:marker>
          <c:cat>
            <c:strRef>
              <c:f>III_Growth!$A$18:$A$21</c:f>
              <c:strCache>
                <c:ptCount val="4"/>
                <c:pt idx="0">
                  <c:v>First Year</c:v>
                </c:pt>
                <c:pt idx="1">
                  <c:v>Second Year</c:v>
                </c:pt>
                <c:pt idx="2">
                  <c:v>Third Year</c:v>
                </c:pt>
                <c:pt idx="3">
                  <c:v>Fourth Year or Higher</c:v>
                </c:pt>
              </c:strCache>
            </c:strRef>
          </c:cat>
          <c:val>
            <c:numRef>
              <c:f>III_Growth!$D$18:$D$21</c:f>
              <c:numCache>
                <c:formatCode>General</c:formatCode>
                <c:ptCount val="4"/>
                <c:pt idx="0">
                  <c:v>56</c:v>
                </c:pt>
                <c:pt idx="1">
                  <c:v>59.25</c:v>
                </c:pt>
                <c:pt idx="2">
                  <c:v>55.75</c:v>
                </c:pt>
                <c:pt idx="3">
                  <c:v>50.75</c:v>
                </c:pt>
              </c:numCache>
            </c:numRef>
          </c:val>
        </c:ser>
        <c:ser>
          <c:idx val="3"/>
          <c:order val="3"/>
          <c:tx>
            <c:strRef>
              <c:f>III_Growth!$E$16:$E$17</c:f>
              <c:strCache>
                <c:ptCount val="1"/>
                <c:pt idx="0">
                  <c:v>ELA SGP, Non-Charter School</c:v>
                </c:pt>
              </c:strCache>
            </c:strRef>
          </c:tx>
          <c:spPr>
            <a:ln>
              <a:solidFill>
                <a:schemeClr val="accent1">
                  <a:lumMod val="75000"/>
                </a:schemeClr>
              </a:solidFill>
            </a:ln>
          </c:spPr>
          <c:marker>
            <c:symbol val="square"/>
            <c:size val="9"/>
            <c:spPr>
              <a:solidFill>
                <a:schemeClr val="accent1">
                  <a:lumMod val="75000"/>
                </a:schemeClr>
              </a:solidFill>
              <a:ln>
                <a:noFill/>
              </a:ln>
            </c:spPr>
          </c:marker>
          <c:cat>
            <c:strRef>
              <c:f>III_Growth!$A$18:$A$21</c:f>
              <c:strCache>
                <c:ptCount val="4"/>
                <c:pt idx="0">
                  <c:v>First Year</c:v>
                </c:pt>
                <c:pt idx="1">
                  <c:v>Second Year</c:v>
                </c:pt>
                <c:pt idx="2">
                  <c:v>Third Year</c:v>
                </c:pt>
                <c:pt idx="3">
                  <c:v>Fourth Year or Higher</c:v>
                </c:pt>
              </c:strCache>
            </c:strRef>
          </c:cat>
          <c:val>
            <c:numRef>
              <c:f>III_Growth!$E$18:$E$21</c:f>
              <c:numCache>
                <c:formatCode>General</c:formatCode>
                <c:ptCount val="4"/>
                <c:pt idx="0">
                  <c:v>46.5</c:v>
                </c:pt>
                <c:pt idx="1">
                  <c:v>49</c:v>
                </c:pt>
                <c:pt idx="2">
                  <c:v>50.5</c:v>
                </c:pt>
                <c:pt idx="3">
                  <c:v>51</c:v>
                </c:pt>
              </c:numCache>
            </c:numRef>
          </c:val>
        </c:ser>
        <c:dLbls/>
        <c:marker val="1"/>
        <c:axId val="102658048"/>
        <c:axId val="102659968"/>
      </c:lineChart>
      <c:catAx>
        <c:axId val="102658048"/>
        <c:scaling>
          <c:orientation val="minMax"/>
        </c:scaling>
        <c:axPos val="b"/>
        <c:title>
          <c:tx>
            <c:rich>
              <a:bodyPr/>
              <a:lstStyle/>
              <a:p>
                <a:pPr>
                  <a:defRPr b="0"/>
                </a:pPr>
                <a:r>
                  <a:rPr lang="en-US" b="0"/>
                  <a:t>Years of Teaching Experience</a:t>
                </a:r>
              </a:p>
            </c:rich>
          </c:tx>
        </c:title>
        <c:numFmt formatCode="General" sourceLinked="0"/>
        <c:tickLblPos val="nextTo"/>
        <c:crossAx val="102659968"/>
        <c:crosses val="autoZero"/>
        <c:auto val="1"/>
        <c:lblAlgn val="ctr"/>
        <c:lblOffset val="100"/>
      </c:catAx>
      <c:valAx>
        <c:axId val="102659968"/>
        <c:scaling>
          <c:orientation val="minMax"/>
          <c:max val="70"/>
          <c:min val="0"/>
        </c:scaling>
        <c:axPos val="l"/>
        <c:majorGridlines>
          <c:spPr>
            <a:ln>
              <a:solidFill>
                <a:schemeClr val="bg1">
                  <a:lumMod val="85000"/>
                </a:schemeClr>
              </a:solidFill>
            </a:ln>
          </c:spPr>
        </c:majorGridlines>
        <c:title>
          <c:tx>
            <c:rich>
              <a:bodyPr rot="-5400000" vert="horz"/>
              <a:lstStyle/>
              <a:p>
                <a:pPr>
                  <a:defRPr b="0"/>
                </a:pPr>
                <a:r>
                  <a:rPr lang="en-US" b="0"/>
                  <a:t>Median Student Growth Percentile</a:t>
                </a:r>
              </a:p>
            </c:rich>
          </c:tx>
        </c:title>
        <c:numFmt formatCode="General" sourceLinked="1"/>
        <c:tickLblPos val="nextTo"/>
        <c:crossAx val="102658048"/>
        <c:crosses val="autoZero"/>
        <c:crossBetween val="between"/>
      </c:valAx>
    </c:plotArea>
    <c:legend>
      <c:legendPos val="t"/>
      <c:layout>
        <c:manualLayout>
          <c:xMode val="edge"/>
          <c:yMode val="edge"/>
          <c:x val="0.16305555555555537"/>
          <c:y val="1.86219739292365E-2"/>
          <c:w val="0.80772727272727274"/>
          <c:h val="0.12910922447543224"/>
        </c:manualLayout>
      </c:layout>
      <c:spPr>
        <a:solidFill>
          <a:schemeClr val="bg1">
            <a:lumMod val="95000"/>
          </a:schemeClr>
        </a:solidFill>
        <a:ln>
          <a:solidFill>
            <a:schemeClr val="bg1">
              <a:lumMod val="50000"/>
            </a:schemeClr>
          </a:solidFill>
        </a:ln>
      </c:spPr>
    </c:legend>
    <c:plotVisOnly val="1"/>
    <c:dispBlanksAs val="gap"/>
  </c:chart>
  <c:spPr>
    <a:ln>
      <a:solidFill>
        <a:schemeClr val="bg1">
          <a:lumMod val="50000"/>
        </a:schemeClr>
      </a:solid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9.8607532744070095E-2"/>
          <c:y val="8.7134410573536047E-2"/>
          <c:w val="0.87848006246461863"/>
          <c:h val="0.78841863517060351"/>
        </c:manualLayout>
      </c:layout>
      <c:lineChart>
        <c:grouping val="standard"/>
        <c:ser>
          <c:idx val="0"/>
          <c:order val="0"/>
          <c:tx>
            <c:strRef>
              <c:f>III_Growth!$B$24</c:f>
              <c:strCache>
                <c:ptCount val="1"/>
                <c:pt idx="0">
                  <c:v>Level 1 School</c:v>
                </c:pt>
              </c:strCache>
            </c:strRef>
          </c:tx>
          <c:spPr>
            <a:ln>
              <a:solidFill>
                <a:schemeClr val="tx2">
                  <a:lumMod val="75000"/>
                </a:schemeClr>
              </a:solidFill>
              <a:prstDash val="sysDash"/>
            </a:ln>
          </c:spPr>
          <c:marker>
            <c:symbol val="circle"/>
            <c:size val="9"/>
            <c:spPr>
              <a:solidFill>
                <a:schemeClr val="tx2">
                  <a:lumMod val="75000"/>
                </a:schemeClr>
              </a:solidFill>
              <a:ln>
                <a:noFill/>
              </a:ln>
            </c:spPr>
          </c:marker>
          <c:cat>
            <c:strRef>
              <c:f>III_Growth!$A$26:$A$29</c:f>
              <c:strCache>
                <c:ptCount val="4"/>
                <c:pt idx="0">
                  <c:v>First Year</c:v>
                </c:pt>
                <c:pt idx="1">
                  <c:v>Second Year</c:v>
                </c:pt>
                <c:pt idx="2">
                  <c:v>Third Year</c:v>
                </c:pt>
                <c:pt idx="3">
                  <c:v>Fourth Year or Higher</c:v>
                </c:pt>
              </c:strCache>
            </c:strRef>
          </c:cat>
          <c:val>
            <c:numRef>
              <c:f>III_Growth!$B$26:$B$29</c:f>
              <c:numCache>
                <c:formatCode>General</c:formatCode>
                <c:ptCount val="4"/>
                <c:pt idx="0">
                  <c:v>55</c:v>
                </c:pt>
                <c:pt idx="1">
                  <c:v>54</c:v>
                </c:pt>
                <c:pt idx="2">
                  <c:v>58</c:v>
                </c:pt>
                <c:pt idx="3">
                  <c:v>57.5</c:v>
                </c:pt>
              </c:numCache>
            </c:numRef>
          </c:val>
        </c:ser>
        <c:ser>
          <c:idx val="2"/>
          <c:order val="1"/>
          <c:tx>
            <c:strRef>
              <c:f>III_Growth!$D$24</c:f>
              <c:strCache>
                <c:ptCount val="1"/>
                <c:pt idx="0">
                  <c:v>Level 2 School</c:v>
                </c:pt>
              </c:strCache>
            </c:strRef>
          </c:tx>
          <c:spPr>
            <a:ln>
              <a:solidFill>
                <a:schemeClr val="accent1">
                  <a:lumMod val="75000"/>
                </a:schemeClr>
              </a:solidFill>
              <a:prstDash val="sysDash"/>
            </a:ln>
          </c:spPr>
          <c:marker>
            <c:symbol val="square"/>
            <c:size val="9"/>
            <c:spPr>
              <a:solidFill>
                <a:schemeClr val="accent1">
                  <a:lumMod val="75000"/>
                </a:schemeClr>
              </a:solidFill>
              <a:ln>
                <a:noFill/>
              </a:ln>
            </c:spPr>
          </c:marker>
          <c:cat>
            <c:strRef>
              <c:f>III_Growth!$A$26:$A$29</c:f>
              <c:strCache>
                <c:ptCount val="4"/>
                <c:pt idx="0">
                  <c:v>First Year</c:v>
                </c:pt>
                <c:pt idx="1">
                  <c:v>Second Year</c:v>
                </c:pt>
                <c:pt idx="2">
                  <c:v>Third Year</c:v>
                </c:pt>
                <c:pt idx="3">
                  <c:v>Fourth Year or Higher</c:v>
                </c:pt>
              </c:strCache>
            </c:strRef>
          </c:cat>
          <c:val>
            <c:numRef>
              <c:f>III_Growth!$D$26:$D$29</c:f>
              <c:numCache>
                <c:formatCode>General</c:formatCode>
                <c:ptCount val="4"/>
                <c:pt idx="0">
                  <c:v>48</c:v>
                </c:pt>
                <c:pt idx="1">
                  <c:v>50.25</c:v>
                </c:pt>
                <c:pt idx="2">
                  <c:v>52.5</c:v>
                </c:pt>
                <c:pt idx="3">
                  <c:v>52</c:v>
                </c:pt>
              </c:numCache>
            </c:numRef>
          </c:val>
        </c:ser>
        <c:ser>
          <c:idx val="4"/>
          <c:order val="2"/>
          <c:tx>
            <c:strRef>
              <c:f>III_Growth!$F$24</c:f>
              <c:strCache>
                <c:ptCount val="1"/>
                <c:pt idx="0">
                  <c:v>Level 3 School</c:v>
                </c:pt>
              </c:strCache>
            </c:strRef>
          </c:tx>
          <c:spPr>
            <a:ln>
              <a:solidFill>
                <a:schemeClr val="accent1">
                  <a:lumMod val="50000"/>
                </a:schemeClr>
              </a:solidFill>
              <a:prstDash val="sysDash"/>
            </a:ln>
          </c:spPr>
          <c:marker>
            <c:symbol val="triangle"/>
            <c:size val="9"/>
            <c:spPr>
              <a:solidFill>
                <a:schemeClr val="tx2">
                  <a:lumMod val="75000"/>
                </a:schemeClr>
              </a:solidFill>
              <a:ln>
                <a:noFill/>
              </a:ln>
            </c:spPr>
          </c:marker>
          <c:dPt>
            <c:idx val="2"/>
            <c:spPr>
              <a:ln>
                <a:solidFill>
                  <a:schemeClr val="tx2">
                    <a:lumMod val="75000"/>
                  </a:schemeClr>
                </a:solidFill>
                <a:prstDash val="sysDash"/>
              </a:ln>
            </c:spPr>
          </c:dPt>
          <c:cat>
            <c:strRef>
              <c:f>III_Growth!$A$26:$A$29</c:f>
              <c:strCache>
                <c:ptCount val="4"/>
                <c:pt idx="0">
                  <c:v>First Year</c:v>
                </c:pt>
                <c:pt idx="1">
                  <c:v>Second Year</c:v>
                </c:pt>
                <c:pt idx="2">
                  <c:v>Third Year</c:v>
                </c:pt>
                <c:pt idx="3">
                  <c:v>Fourth Year or Higher</c:v>
                </c:pt>
              </c:strCache>
            </c:strRef>
          </c:cat>
          <c:val>
            <c:numRef>
              <c:f>III_Growth!$F$26:$F$29</c:f>
              <c:numCache>
                <c:formatCode>General</c:formatCode>
                <c:ptCount val="4"/>
                <c:pt idx="0">
                  <c:v>41</c:v>
                </c:pt>
                <c:pt idx="1">
                  <c:v>42.5</c:v>
                </c:pt>
                <c:pt idx="2">
                  <c:v>46.25</c:v>
                </c:pt>
                <c:pt idx="3">
                  <c:v>44</c:v>
                </c:pt>
              </c:numCache>
            </c:numRef>
          </c:val>
        </c:ser>
        <c:ser>
          <c:idx val="6"/>
          <c:order val="3"/>
          <c:tx>
            <c:strRef>
              <c:f>III_Growth!$H$24</c:f>
              <c:strCache>
                <c:ptCount val="1"/>
                <c:pt idx="0">
                  <c:v>Level 4 School</c:v>
                </c:pt>
              </c:strCache>
            </c:strRef>
          </c:tx>
          <c:spPr>
            <a:ln>
              <a:solidFill>
                <a:schemeClr val="accent1">
                  <a:lumMod val="75000"/>
                </a:schemeClr>
              </a:solidFill>
              <a:prstDash val="sysDash"/>
            </a:ln>
          </c:spPr>
          <c:marker>
            <c:symbol val="star"/>
            <c:size val="9"/>
            <c:spPr>
              <a:noFill/>
              <a:ln>
                <a:solidFill>
                  <a:schemeClr val="accent1">
                    <a:lumMod val="75000"/>
                  </a:schemeClr>
                </a:solidFill>
              </a:ln>
            </c:spPr>
          </c:marker>
          <c:cat>
            <c:strRef>
              <c:f>III_Growth!$A$26:$A$29</c:f>
              <c:strCache>
                <c:ptCount val="4"/>
                <c:pt idx="0">
                  <c:v>First Year</c:v>
                </c:pt>
                <c:pt idx="1">
                  <c:v>Second Year</c:v>
                </c:pt>
                <c:pt idx="2">
                  <c:v>Third Year</c:v>
                </c:pt>
                <c:pt idx="3">
                  <c:v>Fourth Year or Higher</c:v>
                </c:pt>
              </c:strCache>
            </c:strRef>
          </c:cat>
          <c:val>
            <c:numRef>
              <c:f>III_Growth!$H$26:$H$29</c:f>
              <c:numCache>
                <c:formatCode>General</c:formatCode>
                <c:ptCount val="4"/>
                <c:pt idx="0">
                  <c:v>35</c:v>
                </c:pt>
                <c:pt idx="1">
                  <c:v>36.5</c:v>
                </c:pt>
                <c:pt idx="2">
                  <c:v>27.5</c:v>
                </c:pt>
                <c:pt idx="3">
                  <c:v>37</c:v>
                </c:pt>
              </c:numCache>
            </c:numRef>
          </c:val>
        </c:ser>
        <c:dLbls/>
        <c:marker val="1"/>
        <c:axId val="102778752"/>
        <c:axId val="102789120"/>
      </c:lineChart>
      <c:catAx>
        <c:axId val="102778752"/>
        <c:scaling>
          <c:orientation val="minMax"/>
        </c:scaling>
        <c:axPos val="b"/>
        <c:title>
          <c:tx>
            <c:rich>
              <a:bodyPr/>
              <a:lstStyle/>
              <a:p>
                <a:pPr>
                  <a:defRPr b="0"/>
                </a:pPr>
                <a:r>
                  <a:rPr lang="en-US" b="0"/>
                  <a:t>Years of Teaching Experience</a:t>
                </a:r>
              </a:p>
            </c:rich>
          </c:tx>
        </c:title>
        <c:numFmt formatCode="General" sourceLinked="0"/>
        <c:tickLblPos val="nextTo"/>
        <c:crossAx val="102789120"/>
        <c:crosses val="autoZero"/>
        <c:auto val="1"/>
        <c:lblAlgn val="ctr"/>
        <c:lblOffset val="100"/>
      </c:catAx>
      <c:valAx>
        <c:axId val="102789120"/>
        <c:scaling>
          <c:orientation val="minMax"/>
          <c:max val="70"/>
          <c:min val="0"/>
        </c:scaling>
        <c:axPos val="l"/>
        <c:majorGridlines>
          <c:spPr>
            <a:ln>
              <a:solidFill>
                <a:schemeClr val="bg1">
                  <a:lumMod val="85000"/>
                </a:schemeClr>
              </a:solidFill>
            </a:ln>
          </c:spPr>
        </c:majorGridlines>
        <c:title>
          <c:tx>
            <c:rich>
              <a:bodyPr rot="-5400000" vert="horz"/>
              <a:lstStyle/>
              <a:p>
                <a:pPr>
                  <a:defRPr b="0"/>
                </a:pPr>
                <a:r>
                  <a:rPr lang="en-US" b="0"/>
                  <a:t>Median Student Growth Percentile</a:t>
                </a:r>
              </a:p>
            </c:rich>
          </c:tx>
        </c:title>
        <c:numFmt formatCode="General" sourceLinked="1"/>
        <c:tickLblPos val="nextTo"/>
        <c:crossAx val="102778752"/>
        <c:crosses val="autoZero"/>
        <c:crossBetween val="between"/>
      </c:valAx>
    </c:plotArea>
    <c:legend>
      <c:legendPos val="t"/>
      <c:layout>
        <c:manualLayout>
          <c:xMode val="edge"/>
          <c:yMode val="edge"/>
          <c:x val="0.20621372849227329"/>
          <c:y val="1.2106196149565101E-2"/>
          <c:w val="0.6128515966754241"/>
          <c:h val="9.7867831966030508E-2"/>
        </c:manualLayout>
      </c:layout>
      <c:spPr>
        <a:solidFill>
          <a:schemeClr val="bg1">
            <a:lumMod val="95000"/>
          </a:schemeClr>
        </a:solidFill>
        <a:ln>
          <a:solidFill>
            <a:schemeClr val="bg1">
              <a:lumMod val="50000"/>
            </a:schemeClr>
          </a:solidFill>
        </a:ln>
      </c:sp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0.10388394737694824"/>
          <c:y val="8.7134410573536047E-2"/>
          <c:w val="0.87320363889698971"/>
          <c:h val="0.77966942500243064"/>
        </c:manualLayout>
      </c:layout>
      <c:lineChart>
        <c:grouping val="standard"/>
        <c:ser>
          <c:idx val="1"/>
          <c:order val="0"/>
          <c:tx>
            <c:strRef>
              <c:f>III_Growth!$B$24</c:f>
              <c:strCache>
                <c:ptCount val="1"/>
                <c:pt idx="0">
                  <c:v>Level 1 School</c:v>
                </c:pt>
              </c:strCache>
            </c:strRef>
          </c:tx>
          <c:spPr>
            <a:ln>
              <a:solidFill>
                <a:schemeClr val="tx2">
                  <a:lumMod val="75000"/>
                </a:schemeClr>
              </a:solidFill>
            </a:ln>
          </c:spPr>
          <c:marker>
            <c:symbol val="circle"/>
            <c:size val="9"/>
            <c:spPr>
              <a:solidFill>
                <a:schemeClr val="tx2">
                  <a:lumMod val="75000"/>
                </a:schemeClr>
              </a:solidFill>
              <a:ln>
                <a:solidFill>
                  <a:schemeClr val="tx2">
                    <a:lumMod val="75000"/>
                  </a:schemeClr>
                </a:solidFill>
              </a:ln>
            </c:spPr>
          </c:marker>
          <c:cat>
            <c:strRef>
              <c:f>III_Growth!$A$26:$A$29</c:f>
              <c:strCache>
                <c:ptCount val="4"/>
                <c:pt idx="0">
                  <c:v>First Year</c:v>
                </c:pt>
                <c:pt idx="1">
                  <c:v>Second Year</c:v>
                </c:pt>
                <c:pt idx="2">
                  <c:v>Third Year</c:v>
                </c:pt>
                <c:pt idx="3">
                  <c:v>Fourth Year or Higher</c:v>
                </c:pt>
              </c:strCache>
            </c:strRef>
          </c:cat>
          <c:val>
            <c:numRef>
              <c:f>III_Growth!$C$26:$C$29</c:f>
              <c:numCache>
                <c:formatCode>General</c:formatCode>
                <c:ptCount val="4"/>
                <c:pt idx="0">
                  <c:v>53</c:v>
                </c:pt>
                <c:pt idx="1">
                  <c:v>54.5</c:v>
                </c:pt>
                <c:pt idx="2">
                  <c:v>54</c:v>
                </c:pt>
                <c:pt idx="3">
                  <c:v>56</c:v>
                </c:pt>
              </c:numCache>
            </c:numRef>
          </c:val>
        </c:ser>
        <c:ser>
          <c:idx val="3"/>
          <c:order val="1"/>
          <c:tx>
            <c:strRef>
              <c:f>III_Growth!$D$24</c:f>
              <c:strCache>
                <c:ptCount val="1"/>
                <c:pt idx="0">
                  <c:v>Level 2 School</c:v>
                </c:pt>
              </c:strCache>
            </c:strRef>
          </c:tx>
          <c:spPr>
            <a:ln>
              <a:solidFill>
                <a:schemeClr val="accent1">
                  <a:lumMod val="75000"/>
                </a:schemeClr>
              </a:solidFill>
            </a:ln>
          </c:spPr>
          <c:marker>
            <c:symbol val="square"/>
            <c:size val="9"/>
            <c:spPr>
              <a:solidFill>
                <a:schemeClr val="accent1">
                  <a:lumMod val="75000"/>
                </a:schemeClr>
              </a:solidFill>
              <a:ln>
                <a:noFill/>
              </a:ln>
            </c:spPr>
          </c:marker>
          <c:cat>
            <c:strRef>
              <c:f>III_Growth!$A$26:$A$29</c:f>
              <c:strCache>
                <c:ptCount val="4"/>
                <c:pt idx="0">
                  <c:v>First Year</c:v>
                </c:pt>
                <c:pt idx="1">
                  <c:v>Second Year</c:v>
                </c:pt>
                <c:pt idx="2">
                  <c:v>Third Year</c:v>
                </c:pt>
                <c:pt idx="3">
                  <c:v>Fourth Year or Higher</c:v>
                </c:pt>
              </c:strCache>
            </c:strRef>
          </c:cat>
          <c:val>
            <c:numRef>
              <c:f>III_Growth!$E$26:$E$29</c:f>
              <c:numCache>
                <c:formatCode>General</c:formatCode>
                <c:ptCount val="4"/>
                <c:pt idx="0">
                  <c:v>47</c:v>
                </c:pt>
                <c:pt idx="1">
                  <c:v>49.5</c:v>
                </c:pt>
                <c:pt idx="2">
                  <c:v>52</c:v>
                </c:pt>
                <c:pt idx="3">
                  <c:v>51</c:v>
                </c:pt>
              </c:numCache>
            </c:numRef>
          </c:val>
        </c:ser>
        <c:ser>
          <c:idx val="5"/>
          <c:order val="2"/>
          <c:tx>
            <c:strRef>
              <c:f>III_Growth!$F$24</c:f>
              <c:strCache>
                <c:ptCount val="1"/>
                <c:pt idx="0">
                  <c:v>Level 3 School</c:v>
                </c:pt>
              </c:strCache>
            </c:strRef>
          </c:tx>
          <c:spPr>
            <a:ln>
              <a:solidFill>
                <a:schemeClr val="tx2">
                  <a:lumMod val="75000"/>
                </a:schemeClr>
              </a:solidFill>
            </a:ln>
          </c:spPr>
          <c:marker>
            <c:symbol val="triangle"/>
            <c:size val="9"/>
            <c:spPr>
              <a:solidFill>
                <a:schemeClr val="tx2">
                  <a:lumMod val="75000"/>
                </a:schemeClr>
              </a:solidFill>
              <a:ln>
                <a:noFill/>
              </a:ln>
            </c:spPr>
          </c:marker>
          <c:cat>
            <c:strRef>
              <c:f>III_Growth!$A$26:$A$29</c:f>
              <c:strCache>
                <c:ptCount val="4"/>
                <c:pt idx="0">
                  <c:v>First Year</c:v>
                </c:pt>
                <c:pt idx="1">
                  <c:v>Second Year</c:v>
                </c:pt>
                <c:pt idx="2">
                  <c:v>Third Year</c:v>
                </c:pt>
                <c:pt idx="3">
                  <c:v>Fourth Year or Higher</c:v>
                </c:pt>
              </c:strCache>
            </c:strRef>
          </c:cat>
          <c:val>
            <c:numRef>
              <c:f>III_Growth!$G$26:$G$29</c:f>
              <c:numCache>
                <c:formatCode>General</c:formatCode>
                <c:ptCount val="4"/>
                <c:pt idx="0">
                  <c:v>43</c:v>
                </c:pt>
                <c:pt idx="1">
                  <c:v>43</c:v>
                </c:pt>
                <c:pt idx="2">
                  <c:v>43</c:v>
                </c:pt>
                <c:pt idx="3">
                  <c:v>44</c:v>
                </c:pt>
              </c:numCache>
            </c:numRef>
          </c:val>
        </c:ser>
        <c:ser>
          <c:idx val="7"/>
          <c:order val="3"/>
          <c:tx>
            <c:strRef>
              <c:f>III_Growth!$H$24</c:f>
              <c:strCache>
                <c:ptCount val="1"/>
                <c:pt idx="0">
                  <c:v>Level 4 School</c:v>
                </c:pt>
              </c:strCache>
            </c:strRef>
          </c:tx>
          <c:spPr>
            <a:ln>
              <a:solidFill>
                <a:schemeClr val="accent1">
                  <a:lumMod val="75000"/>
                </a:schemeClr>
              </a:solidFill>
            </a:ln>
          </c:spPr>
          <c:marker>
            <c:symbol val="star"/>
            <c:size val="9"/>
            <c:spPr>
              <a:ln>
                <a:solidFill>
                  <a:schemeClr val="accent1">
                    <a:lumMod val="75000"/>
                  </a:schemeClr>
                </a:solidFill>
              </a:ln>
            </c:spPr>
          </c:marker>
          <c:cat>
            <c:strRef>
              <c:f>III_Growth!$A$26:$A$29</c:f>
              <c:strCache>
                <c:ptCount val="4"/>
                <c:pt idx="0">
                  <c:v>First Year</c:v>
                </c:pt>
                <c:pt idx="1">
                  <c:v>Second Year</c:v>
                </c:pt>
                <c:pt idx="2">
                  <c:v>Third Year</c:v>
                </c:pt>
                <c:pt idx="3">
                  <c:v>Fourth Year or Higher</c:v>
                </c:pt>
              </c:strCache>
            </c:strRef>
          </c:cat>
          <c:val>
            <c:numRef>
              <c:f>III_Growth!$I$26:$I$29</c:f>
              <c:numCache>
                <c:formatCode>General</c:formatCode>
                <c:ptCount val="4"/>
                <c:pt idx="0">
                  <c:v>41</c:v>
                </c:pt>
                <c:pt idx="1">
                  <c:v>33.75</c:v>
                </c:pt>
                <c:pt idx="2">
                  <c:v>33</c:v>
                </c:pt>
                <c:pt idx="3">
                  <c:v>38</c:v>
                </c:pt>
              </c:numCache>
            </c:numRef>
          </c:val>
        </c:ser>
        <c:dLbls/>
        <c:marker val="1"/>
        <c:axId val="102588416"/>
        <c:axId val="102589952"/>
      </c:lineChart>
      <c:catAx>
        <c:axId val="102588416"/>
        <c:scaling>
          <c:orientation val="minMax"/>
        </c:scaling>
        <c:axPos val="b"/>
        <c:title>
          <c:tx>
            <c:rich>
              <a:bodyPr/>
              <a:lstStyle/>
              <a:p>
                <a:pPr>
                  <a:defRPr b="0"/>
                </a:pPr>
                <a:r>
                  <a:rPr lang="en-US" b="0"/>
                  <a:t>Years of Teaching Experience</a:t>
                </a:r>
              </a:p>
            </c:rich>
          </c:tx>
        </c:title>
        <c:numFmt formatCode="General" sourceLinked="0"/>
        <c:tickLblPos val="nextTo"/>
        <c:crossAx val="102589952"/>
        <c:crosses val="autoZero"/>
        <c:auto val="1"/>
        <c:lblAlgn val="ctr"/>
        <c:lblOffset val="100"/>
      </c:catAx>
      <c:valAx>
        <c:axId val="102589952"/>
        <c:scaling>
          <c:orientation val="minMax"/>
          <c:max val="70"/>
          <c:min val="0"/>
        </c:scaling>
        <c:axPos val="l"/>
        <c:majorGridlines>
          <c:spPr>
            <a:ln>
              <a:solidFill>
                <a:schemeClr val="bg1">
                  <a:lumMod val="85000"/>
                </a:schemeClr>
              </a:solidFill>
            </a:ln>
          </c:spPr>
        </c:majorGridlines>
        <c:title>
          <c:tx>
            <c:rich>
              <a:bodyPr rot="-5400000" vert="horz"/>
              <a:lstStyle/>
              <a:p>
                <a:pPr>
                  <a:defRPr b="0"/>
                </a:pPr>
                <a:r>
                  <a:rPr lang="en-US" b="0"/>
                  <a:t>Median Student Growth Percentile</a:t>
                </a:r>
              </a:p>
            </c:rich>
          </c:tx>
        </c:title>
        <c:numFmt formatCode="General" sourceLinked="1"/>
        <c:tickLblPos val="nextTo"/>
        <c:crossAx val="102588416"/>
        <c:crosses val="autoZero"/>
        <c:crossBetween val="between"/>
      </c:valAx>
    </c:plotArea>
    <c:legend>
      <c:legendPos val="t"/>
      <c:layout>
        <c:manualLayout>
          <c:xMode val="edge"/>
          <c:yMode val="edge"/>
          <c:x val="0.18538039515893973"/>
          <c:y val="1.2106196149565101E-2"/>
          <c:w val="0.58044418926800756"/>
          <c:h val="0.11182943755067265"/>
        </c:manualLayout>
      </c:layout>
      <c:spPr>
        <a:solidFill>
          <a:schemeClr val="bg1">
            <a:lumMod val="95000"/>
          </a:schemeClr>
        </a:solidFill>
        <a:ln>
          <a:solidFill>
            <a:schemeClr val="bg1">
              <a:lumMod val="50000"/>
            </a:schemeClr>
          </a:solidFill>
        </a:ln>
      </c:sp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0.10953200587977976"/>
          <c:y val="7.0992965761707799E-2"/>
          <c:w val="0.88998893520662858"/>
          <c:h val="0.82057918711248068"/>
        </c:manualLayout>
      </c:layout>
      <c:lineChart>
        <c:grouping val="standard"/>
        <c:ser>
          <c:idx val="0"/>
          <c:order val="0"/>
          <c:tx>
            <c:strRef>
              <c:f>III_Growth!$B$32:$B$33</c:f>
              <c:strCache>
                <c:ptCount val="1"/>
                <c:pt idx="0">
                  <c:v>Math SGP, Low Poverty</c:v>
                </c:pt>
              </c:strCache>
            </c:strRef>
          </c:tx>
          <c:spPr>
            <a:ln>
              <a:solidFill>
                <a:schemeClr val="tx2">
                  <a:lumMod val="75000"/>
                </a:schemeClr>
              </a:solidFill>
              <a:prstDash val="sysDash"/>
            </a:ln>
          </c:spPr>
          <c:marker>
            <c:symbol val="circle"/>
            <c:size val="9"/>
            <c:spPr>
              <a:solidFill>
                <a:schemeClr val="tx2">
                  <a:lumMod val="75000"/>
                </a:schemeClr>
              </a:solidFill>
              <a:ln>
                <a:solidFill>
                  <a:schemeClr val="tx2"/>
                </a:solidFill>
              </a:ln>
            </c:spPr>
          </c:marker>
          <c:cat>
            <c:strRef>
              <c:f>III_Growth!$A$34:$A$37</c:f>
              <c:strCache>
                <c:ptCount val="4"/>
                <c:pt idx="0">
                  <c:v>First Year</c:v>
                </c:pt>
                <c:pt idx="1">
                  <c:v>Second Year</c:v>
                </c:pt>
                <c:pt idx="2">
                  <c:v>Third Year</c:v>
                </c:pt>
                <c:pt idx="3">
                  <c:v>Fourth Year or Higher</c:v>
                </c:pt>
              </c:strCache>
            </c:strRef>
          </c:cat>
          <c:val>
            <c:numRef>
              <c:f>III_Growth!$B$34:$B$37</c:f>
              <c:numCache>
                <c:formatCode>General</c:formatCode>
                <c:ptCount val="4"/>
                <c:pt idx="0">
                  <c:v>53.5</c:v>
                </c:pt>
                <c:pt idx="1">
                  <c:v>52.5</c:v>
                </c:pt>
                <c:pt idx="2">
                  <c:v>58</c:v>
                </c:pt>
                <c:pt idx="3">
                  <c:v>57</c:v>
                </c:pt>
              </c:numCache>
            </c:numRef>
          </c:val>
        </c:ser>
        <c:ser>
          <c:idx val="1"/>
          <c:order val="1"/>
          <c:tx>
            <c:strRef>
              <c:f>III_Growth!$C$32:$C$33</c:f>
              <c:strCache>
                <c:ptCount val="1"/>
                <c:pt idx="0">
                  <c:v>Math SGP, High Poverty</c:v>
                </c:pt>
              </c:strCache>
            </c:strRef>
          </c:tx>
          <c:spPr>
            <a:ln>
              <a:solidFill>
                <a:schemeClr val="accent1">
                  <a:lumMod val="75000"/>
                </a:schemeClr>
              </a:solidFill>
              <a:prstDash val="sysDash"/>
            </a:ln>
          </c:spPr>
          <c:marker>
            <c:symbol val="square"/>
            <c:size val="9"/>
            <c:spPr>
              <a:solidFill>
                <a:schemeClr val="accent1">
                  <a:lumMod val="75000"/>
                </a:schemeClr>
              </a:solidFill>
            </c:spPr>
          </c:marker>
          <c:cat>
            <c:strRef>
              <c:f>III_Growth!$A$34:$A$37</c:f>
              <c:strCache>
                <c:ptCount val="4"/>
                <c:pt idx="0">
                  <c:v>First Year</c:v>
                </c:pt>
                <c:pt idx="1">
                  <c:v>Second Year</c:v>
                </c:pt>
                <c:pt idx="2">
                  <c:v>Third Year</c:v>
                </c:pt>
                <c:pt idx="3">
                  <c:v>Fourth Year or Higher</c:v>
                </c:pt>
              </c:strCache>
            </c:strRef>
          </c:cat>
          <c:val>
            <c:numRef>
              <c:f>III_Growth!$C$34:$C$37</c:f>
              <c:numCache>
                <c:formatCode>General</c:formatCode>
                <c:ptCount val="4"/>
                <c:pt idx="0">
                  <c:v>42</c:v>
                </c:pt>
                <c:pt idx="1">
                  <c:v>44.75</c:v>
                </c:pt>
                <c:pt idx="2">
                  <c:v>50.75</c:v>
                </c:pt>
                <c:pt idx="3">
                  <c:v>48</c:v>
                </c:pt>
              </c:numCache>
            </c:numRef>
          </c:val>
        </c:ser>
        <c:ser>
          <c:idx val="2"/>
          <c:order val="2"/>
          <c:tx>
            <c:strRef>
              <c:f>III_Growth!$D$32:$D$33</c:f>
              <c:strCache>
                <c:ptCount val="1"/>
                <c:pt idx="0">
                  <c:v>ELA SGP, Low Poverty</c:v>
                </c:pt>
              </c:strCache>
            </c:strRef>
          </c:tx>
          <c:spPr>
            <a:ln>
              <a:solidFill>
                <a:schemeClr val="tx2">
                  <a:lumMod val="75000"/>
                </a:schemeClr>
              </a:solidFill>
              <a:prstDash val="solid"/>
            </a:ln>
          </c:spPr>
          <c:marker>
            <c:symbol val="circle"/>
            <c:size val="9"/>
            <c:spPr>
              <a:solidFill>
                <a:schemeClr val="tx2">
                  <a:lumMod val="75000"/>
                </a:schemeClr>
              </a:solidFill>
              <a:ln>
                <a:solidFill>
                  <a:schemeClr val="tx2"/>
                </a:solidFill>
                <a:prstDash val="solid"/>
              </a:ln>
            </c:spPr>
          </c:marker>
          <c:cat>
            <c:strRef>
              <c:f>III_Growth!$A$34:$A$37</c:f>
              <c:strCache>
                <c:ptCount val="4"/>
                <c:pt idx="0">
                  <c:v>First Year</c:v>
                </c:pt>
                <c:pt idx="1">
                  <c:v>Second Year</c:v>
                </c:pt>
                <c:pt idx="2">
                  <c:v>Third Year</c:v>
                </c:pt>
                <c:pt idx="3">
                  <c:v>Fourth Year or Higher</c:v>
                </c:pt>
              </c:strCache>
            </c:strRef>
          </c:cat>
          <c:val>
            <c:numRef>
              <c:f>III_Growth!$D$34:$D$37</c:f>
              <c:numCache>
                <c:formatCode>General</c:formatCode>
                <c:ptCount val="4"/>
                <c:pt idx="0">
                  <c:v>53.5</c:v>
                </c:pt>
                <c:pt idx="1">
                  <c:v>54.75</c:v>
                </c:pt>
                <c:pt idx="2">
                  <c:v>54.5</c:v>
                </c:pt>
                <c:pt idx="3">
                  <c:v>56.5</c:v>
                </c:pt>
              </c:numCache>
            </c:numRef>
          </c:val>
        </c:ser>
        <c:ser>
          <c:idx val="3"/>
          <c:order val="3"/>
          <c:tx>
            <c:strRef>
              <c:f>III_Growth!$E$32:$E$33</c:f>
              <c:strCache>
                <c:ptCount val="1"/>
                <c:pt idx="0">
                  <c:v>ELA SGP, High Poverty</c:v>
                </c:pt>
              </c:strCache>
            </c:strRef>
          </c:tx>
          <c:spPr>
            <a:ln>
              <a:solidFill>
                <a:schemeClr val="accent1">
                  <a:lumMod val="75000"/>
                </a:schemeClr>
              </a:solidFill>
            </a:ln>
          </c:spPr>
          <c:marker>
            <c:symbol val="square"/>
            <c:size val="9"/>
            <c:spPr>
              <a:solidFill>
                <a:schemeClr val="accent1">
                  <a:lumMod val="75000"/>
                </a:schemeClr>
              </a:solidFill>
              <a:ln>
                <a:noFill/>
              </a:ln>
            </c:spPr>
          </c:marker>
          <c:cat>
            <c:strRef>
              <c:f>III_Growth!$A$34:$A$37</c:f>
              <c:strCache>
                <c:ptCount val="4"/>
                <c:pt idx="0">
                  <c:v>First Year</c:v>
                </c:pt>
                <c:pt idx="1">
                  <c:v>Second Year</c:v>
                </c:pt>
                <c:pt idx="2">
                  <c:v>Third Year</c:v>
                </c:pt>
                <c:pt idx="3">
                  <c:v>Fourth Year or Higher</c:v>
                </c:pt>
              </c:strCache>
            </c:strRef>
          </c:cat>
          <c:val>
            <c:numRef>
              <c:f>III_Growth!$E$34:$E$37</c:f>
              <c:numCache>
                <c:formatCode>General</c:formatCode>
                <c:ptCount val="4"/>
                <c:pt idx="0">
                  <c:v>44.5</c:v>
                </c:pt>
                <c:pt idx="1">
                  <c:v>45.25</c:v>
                </c:pt>
                <c:pt idx="2">
                  <c:v>46.5</c:v>
                </c:pt>
                <c:pt idx="3">
                  <c:v>46.5</c:v>
                </c:pt>
              </c:numCache>
            </c:numRef>
          </c:val>
        </c:ser>
        <c:dLbls/>
        <c:marker val="1"/>
        <c:axId val="102839424"/>
        <c:axId val="102841344"/>
      </c:lineChart>
      <c:catAx>
        <c:axId val="102839424"/>
        <c:scaling>
          <c:orientation val="minMax"/>
        </c:scaling>
        <c:axPos val="b"/>
        <c:title>
          <c:tx>
            <c:rich>
              <a:bodyPr/>
              <a:lstStyle/>
              <a:p>
                <a:pPr>
                  <a:defRPr b="0"/>
                </a:pPr>
                <a:r>
                  <a:rPr lang="en-US" b="0"/>
                  <a:t>Years of Teaching Experience</a:t>
                </a:r>
              </a:p>
            </c:rich>
          </c:tx>
        </c:title>
        <c:numFmt formatCode="General" sourceLinked="0"/>
        <c:tickLblPos val="nextTo"/>
        <c:crossAx val="102841344"/>
        <c:crosses val="autoZero"/>
        <c:auto val="1"/>
        <c:lblAlgn val="ctr"/>
        <c:lblOffset val="100"/>
      </c:catAx>
      <c:valAx>
        <c:axId val="102841344"/>
        <c:scaling>
          <c:orientation val="minMax"/>
          <c:max val="70"/>
          <c:min val="0"/>
        </c:scaling>
        <c:axPos val="l"/>
        <c:majorGridlines>
          <c:spPr>
            <a:ln>
              <a:solidFill>
                <a:schemeClr val="bg1">
                  <a:lumMod val="85000"/>
                </a:schemeClr>
              </a:solidFill>
            </a:ln>
          </c:spPr>
        </c:majorGridlines>
        <c:title>
          <c:tx>
            <c:rich>
              <a:bodyPr rot="-5400000" vert="horz"/>
              <a:lstStyle/>
              <a:p>
                <a:pPr>
                  <a:defRPr b="0"/>
                </a:pPr>
                <a:r>
                  <a:rPr lang="en-US" b="0"/>
                  <a:t>Median Student Growth Percentile</a:t>
                </a:r>
              </a:p>
            </c:rich>
          </c:tx>
        </c:title>
        <c:numFmt formatCode="General" sourceLinked="1"/>
        <c:tickLblPos val="nextTo"/>
        <c:crossAx val="102839424"/>
        <c:crosses val="autoZero"/>
        <c:crossBetween val="between"/>
      </c:valAx>
    </c:plotArea>
    <c:legend>
      <c:legendPos val="t"/>
      <c:layout>
        <c:manualLayout>
          <c:xMode val="edge"/>
          <c:yMode val="edge"/>
          <c:x val="0.1725626009840692"/>
          <c:y val="2.6736498126924812E-2"/>
          <c:w val="0.66787372330548778"/>
          <c:h val="0.11016302714234086"/>
        </c:manualLayout>
      </c:layout>
      <c:spPr>
        <a:solidFill>
          <a:schemeClr val="bg1"/>
        </a:solidFill>
        <a:ln>
          <a:solidFill>
            <a:schemeClr val="bg1">
              <a:lumMod val="50000"/>
            </a:schemeClr>
          </a:solidFill>
        </a:ln>
      </c:spP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style val="3"/>
  <c:chart>
    <c:autoTitleDeleted val="1"/>
    <c:plotArea>
      <c:layout/>
      <c:barChart>
        <c:barDir val="col"/>
        <c:grouping val="clustered"/>
        <c:ser>
          <c:idx val="1"/>
          <c:order val="0"/>
          <c:tx>
            <c:strRef>
              <c:f>III_Placement!$E$7</c:f>
              <c:strCache>
                <c:ptCount val="1"/>
                <c:pt idx="0">
                  <c:v>Across State</c:v>
                </c:pt>
              </c:strCache>
            </c:strRef>
          </c:tx>
          <c:dLbls>
            <c:delete val="1"/>
          </c:dLbls>
          <c:cat>
            <c:strRef>
              <c:f>III_Placement!$A$8:$A$9</c:f>
              <c:strCache>
                <c:ptCount val="2"/>
                <c:pt idx="0">
                  <c:v>Grades 4 - 5</c:v>
                </c:pt>
                <c:pt idx="1">
                  <c:v>Grades 6 - 8</c:v>
                </c:pt>
              </c:strCache>
            </c:strRef>
          </c:cat>
          <c:val>
            <c:numRef>
              <c:f>III_Placement!$E$8:$E$9</c:f>
              <c:numCache>
                <c:formatCode>0.000</c:formatCode>
                <c:ptCount val="2"/>
                <c:pt idx="0">
                  <c:v>-3.3411107142857142</c:v>
                </c:pt>
                <c:pt idx="1">
                  <c:v>-8.0261883870967683</c:v>
                </c:pt>
              </c:numCache>
            </c:numRef>
          </c:val>
        </c:ser>
        <c:ser>
          <c:idx val="2"/>
          <c:order val="1"/>
          <c:tx>
            <c:strRef>
              <c:f>III_Placement!$F$7</c:f>
              <c:strCache>
                <c:ptCount val="1"/>
                <c:pt idx="0">
                  <c:v>Within Districts</c:v>
                </c:pt>
              </c:strCache>
            </c:strRef>
          </c:tx>
          <c:dLbls>
            <c:delete val="1"/>
          </c:dLbls>
          <c:cat>
            <c:strRef>
              <c:f>III_Placement!$A$8:$A$9</c:f>
              <c:strCache>
                <c:ptCount val="2"/>
                <c:pt idx="0">
                  <c:v>Grades 4 - 5</c:v>
                </c:pt>
                <c:pt idx="1">
                  <c:v>Grades 6 - 8</c:v>
                </c:pt>
              </c:strCache>
            </c:strRef>
          </c:cat>
          <c:val>
            <c:numRef>
              <c:f>III_Placement!$F$8:$F$9</c:f>
              <c:numCache>
                <c:formatCode>0.000</c:formatCode>
                <c:ptCount val="2"/>
                <c:pt idx="0">
                  <c:v>-2.0757342857142858</c:v>
                </c:pt>
                <c:pt idx="1">
                  <c:v>-6.2221664516129005</c:v>
                </c:pt>
              </c:numCache>
            </c:numRef>
          </c:val>
        </c:ser>
        <c:ser>
          <c:idx val="3"/>
          <c:order val="2"/>
          <c:tx>
            <c:strRef>
              <c:f>III_Placement!$G$7</c:f>
              <c:strCache>
                <c:ptCount val="1"/>
                <c:pt idx="0">
                  <c:v>Within Schools</c:v>
                </c:pt>
              </c:strCache>
            </c:strRef>
          </c:tx>
          <c:dLbls>
            <c:delete val="1"/>
          </c:dLbls>
          <c:cat>
            <c:strRef>
              <c:f>III_Placement!$A$8:$A$9</c:f>
              <c:strCache>
                <c:ptCount val="2"/>
                <c:pt idx="0">
                  <c:v>Grades 4 - 5</c:v>
                </c:pt>
                <c:pt idx="1">
                  <c:v>Grades 6 - 8</c:v>
                </c:pt>
              </c:strCache>
            </c:strRef>
          </c:cat>
          <c:val>
            <c:numRef>
              <c:f>III_Placement!$G$8:$G$9</c:f>
              <c:numCache>
                <c:formatCode>0.000</c:formatCode>
                <c:ptCount val="2"/>
                <c:pt idx="0">
                  <c:v>-1.7216464285714284</c:v>
                </c:pt>
                <c:pt idx="1">
                  <c:v>-5.8848425806451612</c:v>
                </c:pt>
              </c:numCache>
            </c:numRef>
          </c:val>
        </c:ser>
        <c:dLbls>
          <c:showVal val="1"/>
        </c:dLbls>
        <c:axId val="102908288"/>
        <c:axId val="102909824"/>
      </c:barChart>
      <c:catAx>
        <c:axId val="102908288"/>
        <c:scaling>
          <c:orientation val="minMax"/>
        </c:scaling>
        <c:axPos val="b"/>
        <c:numFmt formatCode="General" sourceLinked="0"/>
        <c:tickLblPos val="low"/>
        <c:crossAx val="102909824"/>
        <c:crosses val="autoZero"/>
        <c:auto val="1"/>
        <c:lblAlgn val="ctr"/>
        <c:lblOffset val="100"/>
      </c:catAx>
      <c:valAx>
        <c:axId val="102909824"/>
        <c:scaling>
          <c:orientation val="minMax"/>
          <c:min val="-10"/>
        </c:scaling>
        <c:axPos val="l"/>
        <c:majorGridlines>
          <c:spPr>
            <a:ln>
              <a:solidFill>
                <a:schemeClr val="bg1">
                  <a:lumMod val="85000"/>
                </a:schemeClr>
              </a:solidFill>
            </a:ln>
          </c:spPr>
        </c:majorGridlines>
        <c:title>
          <c:tx>
            <c:rich>
              <a:bodyPr rot="-5400000" vert="horz"/>
              <a:lstStyle/>
              <a:p>
                <a:pPr>
                  <a:defRPr b="0"/>
                </a:pPr>
                <a:r>
                  <a:rPr lang="en-US" b="0"/>
                  <a:t>Average Difference in Math MCAS</a:t>
                </a:r>
                <a:endParaRPr lang="en-US" b="0" baseline="0"/>
              </a:p>
              <a:p>
                <a:pPr>
                  <a:defRPr b="0"/>
                </a:pPr>
                <a:r>
                  <a:rPr lang="en-US" b="0"/>
                  <a:t> (in</a:t>
                </a:r>
                <a:r>
                  <a:rPr lang="en-US" b="0" baseline="0"/>
                  <a:t> m</a:t>
                </a:r>
                <a:r>
                  <a:rPr lang="en-US" b="0"/>
                  <a:t>onths of learning)</a:t>
                </a:r>
              </a:p>
            </c:rich>
          </c:tx>
        </c:title>
        <c:numFmt formatCode="0" sourceLinked="0"/>
        <c:tickLblPos val="nextTo"/>
        <c:crossAx val="102908288"/>
        <c:crosses val="autoZero"/>
        <c:crossBetween val="between"/>
      </c:valAx>
    </c:plotArea>
    <c:legend>
      <c:legendPos val="t"/>
    </c:legend>
    <c:plotVisOnly val="1"/>
    <c:dispBlanksAs val="gap"/>
  </c:chart>
  <c:spPr>
    <a:ln>
      <a:solidFill>
        <a:schemeClr val="bg1">
          <a:lumMod val="50000"/>
        </a:schemeClr>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7.3416488429721913E-2"/>
          <c:y val="3.5466383878669482E-2"/>
          <c:w val="0.90216006744157362"/>
          <c:h val="0.50155631587717797"/>
        </c:manualLayout>
      </c:layout>
      <c:barChart>
        <c:barDir val="col"/>
        <c:grouping val="clustered"/>
        <c:ser>
          <c:idx val="0"/>
          <c:order val="0"/>
          <c:dPt>
            <c:idx val="0"/>
            <c:spPr>
              <a:solidFill>
                <a:srgbClr val="002060"/>
              </a:solidFill>
            </c:spPr>
          </c:dPt>
          <c:dPt>
            <c:idx val="1"/>
            <c:spPr>
              <a:solidFill>
                <a:schemeClr val="accent1">
                  <a:lumMod val="60000"/>
                  <a:lumOff val="40000"/>
                </a:schemeClr>
              </a:solidFill>
              <a:ln>
                <a:solidFill>
                  <a:schemeClr val="accent1">
                    <a:lumMod val="60000"/>
                    <a:lumOff val="40000"/>
                  </a:schemeClr>
                </a:solidFill>
              </a:ln>
            </c:spPr>
          </c:dPt>
          <c:dPt>
            <c:idx val="2"/>
            <c:spPr>
              <a:solidFill>
                <a:schemeClr val="accent1">
                  <a:lumMod val="60000"/>
                  <a:lumOff val="40000"/>
                </a:schemeClr>
              </a:solidFill>
            </c:spPr>
          </c:dPt>
          <c:dPt>
            <c:idx val="3"/>
            <c:spPr>
              <a:solidFill>
                <a:schemeClr val="accent1">
                  <a:lumMod val="60000"/>
                  <a:lumOff val="40000"/>
                </a:schemeClr>
              </a:solidFill>
            </c:spPr>
          </c:dPt>
          <c:dPt>
            <c:idx val="4"/>
            <c:spPr>
              <a:solidFill>
                <a:schemeClr val="accent1">
                  <a:lumMod val="75000"/>
                </a:schemeClr>
              </a:solidFill>
            </c:spPr>
          </c:dPt>
          <c:dPt>
            <c:idx val="5"/>
            <c:spPr>
              <a:solidFill>
                <a:schemeClr val="accent1">
                  <a:lumMod val="75000"/>
                </a:schemeClr>
              </a:solidFill>
            </c:spPr>
          </c:dPt>
          <c:dPt>
            <c:idx val="6"/>
            <c:spPr>
              <a:solidFill>
                <a:schemeClr val="accent1">
                  <a:lumMod val="75000"/>
                </a:schemeClr>
              </a:solidFill>
            </c:spPr>
          </c:dPt>
          <c:dPt>
            <c:idx val="7"/>
            <c:spPr>
              <a:solidFill>
                <a:schemeClr val="accent1">
                  <a:lumMod val="75000"/>
                </a:schemeClr>
              </a:solidFill>
            </c:spPr>
          </c:dPt>
          <c:dPt>
            <c:idx val="8"/>
            <c:spPr>
              <a:solidFill>
                <a:schemeClr val="accent1">
                  <a:lumMod val="50000"/>
                </a:schemeClr>
              </a:solidFill>
            </c:spPr>
          </c:dPt>
          <c:dPt>
            <c:idx val="9"/>
            <c:spPr>
              <a:solidFill>
                <a:schemeClr val="accent1">
                  <a:lumMod val="50000"/>
                </a:schemeClr>
              </a:solidFill>
            </c:spPr>
          </c:dPt>
          <c:dPt>
            <c:idx val="10"/>
            <c:spPr>
              <a:solidFill>
                <a:schemeClr val="accent1">
                  <a:lumMod val="50000"/>
                </a:schemeClr>
              </a:solidFill>
            </c:spPr>
          </c:dPt>
          <c:cat>
            <c:multiLvlStrRef>
              <c:f>ChartData!$A$12:$B$22</c:f>
              <c:multiLvlStrCache>
                <c:ptCount val="11"/>
                <c:lvl>
                  <c:pt idx="1">
                    <c:v>Elementary</c:v>
                  </c:pt>
                  <c:pt idx="2">
                    <c:v>Middle</c:v>
                  </c:pt>
                  <c:pt idx="3">
                    <c:v>High School</c:v>
                  </c:pt>
                  <c:pt idx="4">
                    <c:v>Math</c:v>
                  </c:pt>
                  <c:pt idx="5">
                    <c:v>Science</c:v>
                  </c:pt>
                  <c:pt idx="6">
                    <c:v>English Language 
Arts</c:v>
                  </c:pt>
                  <c:pt idx="7">
                    <c:v>Foreign 
Languages</c:v>
                  </c:pt>
                  <c:pt idx="8">
                    <c:v>Early Childhood (PK-2)</c:v>
                  </c:pt>
                  <c:pt idx="9">
                    <c:v>Special 
Education</c:v>
                  </c:pt>
                  <c:pt idx="10">
                    <c:v>English Language 
Learners</c:v>
                  </c:pt>
                </c:lvl>
                <c:lvl>
                  <c:pt idx="0">
                    <c:v>All Teachers</c:v>
                  </c:pt>
                  <c:pt idx="1">
                    <c:v>Grade Level</c:v>
                  </c:pt>
                  <c:pt idx="4">
                    <c:v>Subject (Middle/Secondary Grades)</c:v>
                  </c:pt>
                  <c:pt idx="8">
                    <c:v>Students Taught</c:v>
                  </c:pt>
                </c:lvl>
              </c:multiLvlStrCache>
            </c:multiLvlStrRef>
          </c:cat>
          <c:val>
            <c:numRef>
              <c:f>ChartData!$C$12:$C$22</c:f>
              <c:numCache>
                <c:formatCode>####.0000</c:formatCode>
                <c:ptCount val="11"/>
                <c:pt idx="0">
                  <c:v>7.1000000000000008E-2</c:v>
                </c:pt>
                <c:pt idx="1">
                  <c:v>6.9000000000000034E-2</c:v>
                </c:pt>
                <c:pt idx="2">
                  <c:v>7.3000000000000009E-2</c:v>
                </c:pt>
                <c:pt idx="3">
                  <c:v>8.2000000000000017E-2</c:v>
                </c:pt>
                <c:pt idx="4">
                  <c:v>8.4000000000000047E-2</c:v>
                </c:pt>
                <c:pt idx="5">
                  <c:v>8.7000000000000022E-2</c:v>
                </c:pt>
                <c:pt idx="6">
                  <c:v>8.1000000000000016E-2</c:v>
                </c:pt>
                <c:pt idx="7">
                  <c:v>8.0000000000000043E-2</c:v>
                </c:pt>
                <c:pt idx="8">
                  <c:v>6.2000000000000034E-2</c:v>
                </c:pt>
                <c:pt idx="9">
                  <c:v>8.6000000000000021E-2</c:v>
                </c:pt>
                <c:pt idx="10">
                  <c:v>0.10700000000000012</c:v>
                </c:pt>
              </c:numCache>
            </c:numRef>
          </c:val>
        </c:ser>
        <c:dLbls/>
        <c:axId val="101041664"/>
        <c:axId val="101043200"/>
      </c:barChart>
      <c:catAx>
        <c:axId val="101041664"/>
        <c:scaling>
          <c:orientation val="minMax"/>
        </c:scaling>
        <c:axPos val="b"/>
        <c:numFmt formatCode="General" sourceLinked="0"/>
        <c:tickLblPos val="nextTo"/>
        <c:crossAx val="101043200"/>
        <c:crosses val="autoZero"/>
        <c:auto val="1"/>
        <c:lblAlgn val="ctr"/>
        <c:lblOffset val="100"/>
      </c:catAx>
      <c:valAx>
        <c:axId val="101043200"/>
        <c:scaling>
          <c:orientation val="minMax"/>
        </c:scaling>
        <c:axPos val="l"/>
        <c:majorGridlines>
          <c:spPr>
            <a:ln>
              <a:solidFill>
                <a:schemeClr val="bg1">
                  <a:lumMod val="85000"/>
                </a:schemeClr>
              </a:solidFill>
            </a:ln>
          </c:spPr>
        </c:majorGridlines>
        <c:numFmt formatCode="0%" sourceLinked="0"/>
        <c:tickLblPos val="nextTo"/>
        <c:crossAx val="101041664"/>
        <c:crosses val="autoZero"/>
        <c:crossBetween val="between"/>
      </c:valAx>
    </c:plotArea>
    <c:plotVisOnly val="1"/>
    <c:dispBlanksAs val="gap"/>
  </c:chart>
  <c:spPr>
    <a:ln w="9525">
      <a:solidFill>
        <a:schemeClr val="bg1">
          <a:lumMod val="65000"/>
        </a:schemeClr>
      </a:solid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style val="3"/>
  <c:chart>
    <c:autoTitleDeleted val="1"/>
    <c:plotArea>
      <c:layout>
        <c:manualLayout>
          <c:layoutTarget val="inner"/>
          <c:xMode val="edge"/>
          <c:yMode val="edge"/>
          <c:x val="0.13885222560781435"/>
          <c:y val="0.10869807475183049"/>
          <c:w val="0.83336999661441291"/>
          <c:h val="0.78131907823448765"/>
        </c:manualLayout>
      </c:layout>
      <c:barChart>
        <c:barDir val="col"/>
        <c:grouping val="clustered"/>
        <c:ser>
          <c:idx val="0"/>
          <c:order val="0"/>
          <c:tx>
            <c:strRef>
              <c:f>Results_forChartsRev!$E$2</c:f>
              <c:strCache>
                <c:ptCount val="1"/>
                <c:pt idx="0">
                  <c:v>Across State</c:v>
                </c:pt>
              </c:strCache>
            </c:strRef>
          </c:tx>
          <c:dLbls>
            <c:delete val="1"/>
          </c:dLbls>
          <c:cat>
            <c:strRef>
              <c:f>Results_forChartsRev!$A$3:$A$4</c:f>
              <c:strCache>
                <c:ptCount val="2"/>
                <c:pt idx="0">
                  <c:v>Grades 4 - 5</c:v>
                </c:pt>
                <c:pt idx="1">
                  <c:v>Grades 6 - 8</c:v>
                </c:pt>
              </c:strCache>
            </c:strRef>
          </c:cat>
          <c:val>
            <c:numRef>
              <c:f>Results_forChartsRev!$E$3:$E$4</c:f>
              <c:numCache>
                <c:formatCode>0.000</c:formatCode>
                <c:ptCount val="2"/>
                <c:pt idx="0">
                  <c:v>-5.4651990000000001</c:v>
                </c:pt>
                <c:pt idx="1">
                  <c:v>-9.2488897959183589</c:v>
                </c:pt>
              </c:numCache>
            </c:numRef>
          </c:val>
        </c:ser>
        <c:ser>
          <c:idx val="1"/>
          <c:order val="1"/>
          <c:tx>
            <c:strRef>
              <c:f>Results_forChartsRev!$F$2</c:f>
              <c:strCache>
                <c:ptCount val="1"/>
                <c:pt idx="0">
                  <c:v>Within Districts</c:v>
                </c:pt>
              </c:strCache>
            </c:strRef>
          </c:tx>
          <c:dLbls>
            <c:delete val="1"/>
          </c:dLbls>
          <c:cat>
            <c:strRef>
              <c:f>Results_forChartsRev!$A$3:$A$4</c:f>
              <c:strCache>
                <c:ptCount val="2"/>
                <c:pt idx="0">
                  <c:v>Grades 4 - 5</c:v>
                </c:pt>
                <c:pt idx="1">
                  <c:v>Grades 6 - 8</c:v>
                </c:pt>
              </c:strCache>
            </c:strRef>
          </c:cat>
          <c:val>
            <c:numRef>
              <c:f>Results_forChartsRev!$F$3:$F$4</c:f>
              <c:numCache>
                <c:formatCode>0.000</c:formatCode>
                <c:ptCount val="2"/>
                <c:pt idx="0">
                  <c:v>-1.847817</c:v>
                </c:pt>
                <c:pt idx="1">
                  <c:v>-4.3671134693876867</c:v>
                </c:pt>
              </c:numCache>
            </c:numRef>
          </c:val>
        </c:ser>
        <c:ser>
          <c:idx val="2"/>
          <c:order val="2"/>
          <c:tx>
            <c:strRef>
              <c:f>Results_forChartsRev!$G$2</c:f>
              <c:strCache>
                <c:ptCount val="1"/>
                <c:pt idx="0">
                  <c:v>Within Schools</c:v>
                </c:pt>
              </c:strCache>
            </c:strRef>
          </c:tx>
          <c:dLbls>
            <c:delete val="1"/>
          </c:dLbls>
          <c:cat>
            <c:strRef>
              <c:f>Results_forChartsRev!$A$3:$A$4</c:f>
              <c:strCache>
                <c:ptCount val="2"/>
                <c:pt idx="0">
                  <c:v>Grades 4 - 5</c:v>
                </c:pt>
                <c:pt idx="1">
                  <c:v>Grades 6 - 8</c:v>
                </c:pt>
              </c:strCache>
            </c:strRef>
          </c:cat>
          <c:val>
            <c:numRef>
              <c:f>Results_forChartsRev!$G$3:$G$4</c:f>
              <c:numCache>
                <c:formatCode>0.000</c:formatCode>
                <c:ptCount val="2"/>
                <c:pt idx="0">
                  <c:v>-1.0595669999999897</c:v>
                </c:pt>
                <c:pt idx="1">
                  <c:v>-2.5131673469387756</c:v>
                </c:pt>
              </c:numCache>
            </c:numRef>
          </c:val>
        </c:ser>
        <c:dLbls>
          <c:showVal val="1"/>
        </c:dLbls>
        <c:axId val="102923264"/>
        <c:axId val="102933248"/>
      </c:barChart>
      <c:catAx>
        <c:axId val="102923264"/>
        <c:scaling>
          <c:orientation val="minMax"/>
        </c:scaling>
        <c:axPos val="b"/>
        <c:numFmt formatCode="General" sourceLinked="0"/>
        <c:tickLblPos val="low"/>
        <c:crossAx val="102933248"/>
        <c:crosses val="autoZero"/>
        <c:auto val="1"/>
        <c:lblAlgn val="ctr"/>
        <c:lblOffset val="100"/>
      </c:catAx>
      <c:valAx>
        <c:axId val="102933248"/>
        <c:scaling>
          <c:orientation val="minMax"/>
          <c:min val="-10"/>
        </c:scaling>
        <c:axPos val="l"/>
        <c:majorGridlines>
          <c:spPr>
            <a:ln>
              <a:solidFill>
                <a:schemeClr val="bg1">
                  <a:lumMod val="85000"/>
                </a:schemeClr>
              </a:solidFill>
            </a:ln>
          </c:spPr>
        </c:majorGridlines>
        <c:title>
          <c:tx>
            <c:rich>
              <a:bodyPr rot="-5400000" vert="horz"/>
              <a:lstStyle/>
              <a:p>
                <a:pPr>
                  <a:defRPr b="0"/>
                </a:pPr>
                <a:r>
                  <a:rPr lang="en-US" b="0"/>
                  <a:t>Average Difference in ELA</a:t>
                </a:r>
                <a:r>
                  <a:rPr lang="en-US" b="0" baseline="0"/>
                  <a:t> MCAS </a:t>
                </a:r>
              </a:p>
              <a:p>
                <a:pPr>
                  <a:defRPr b="0"/>
                </a:pPr>
                <a:r>
                  <a:rPr lang="en-US" b="0" baseline="0"/>
                  <a:t>(in months of learning)</a:t>
                </a:r>
                <a:endParaRPr lang="en-US" b="0"/>
              </a:p>
            </c:rich>
          </c:tx>
        </c:title>
        <c:numFmt formatCode="0" sourceLinked="0"/>
        <c:tickLblPos val="nextTo"/>
        <c:crossAx val="102923264"/>
        <c:crosses val="autoZero"/>
        <c:crossBetween val="between"/>
      </c:valAx>
    </c:plotArea>
    <c:legend>
      <c:legendPos val="t"/>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US"/>
  <c:style val="3"/>
  <c:chart>
    <c:autoTitleDeleted val="1"/>
    <c:plotArea>
      <c:layout>
        <c:manualLayout>
          <c:layoutTarget val="inner"/>
          <c:xMode val="edge"/>
          <c:yMode val="edge"/>
          <c:x val="9.6347019155615582E-2"/>
          <c:y val="0.13541914157013749"/>
          <c:w val="0.87586238862626342"/>
          <c:h val="0.57202666107439504"/>
        </c:manualLayout>
      </c:layout>
      <c:barChart>
        <c:barDir val="col"/>
        <c:grouping val="clustered"/>
        <c:ser>
          <c:idx val="0"/>
          <c:order val="0"/>
          <c:tx>
            <c:strRef>
              <c:f>'Charts 11.19.13'!$C$3</c:f>
              <c:strCache>
                <c:ptCount val="1"/>
                <c:pt idx="0">
                  <c:v>New Teachers</c:v>
                </c:pt>
              </c:strCache>
            </c:strRef>
          </c:tx>
          <c:dLbls>
            <c:delete val="1"/>
          </c:dLbls>
          <c:cat>
            <c:multiLvlStrRef>
              <c:f>'Charts 11.19.13'!$A$4:$B$11</c:f>
              <c:multiLvlStrCache>
                <c:ptCount val="8"/>
                <c:lvl>
                  <c:pt idx="0">
                    <c:v>1-year retention</c:v>
                  </c:pt>
                  <c:pt idx="1">
                    <c:v>2-year retention</c:v>
                  </c:pt>
                  <c:pt idx="2">
                    <c:v>1-year retention</c:v>
                  </c:pt>
                  <c:pt idx="3">
                    <c:v>2-year retention</c:v>
                  </c:pt>
                  <c:pt idx="4">
                    <c:v>1-year retention</c:v>
                  </c:pt>
                  <c:pt idx="5">
                    <c:v>2-year retention</c:v>
                  </c:pt>
                  <c:pt idx="6">
                    <c:v>1-year retention</c:v>
                  </c:pt>
                  <c:pt idx="7">
                    <c:v>2-year retention</c:v>
                  </c:pt>
                </c:lvl>
                <c:lvl>
                  <c:pt idx="0">
                    <c:v>In any role</c:v>
                  </c:pt>
                  <c:pt idx="2">
                    <c:v>In Teaching</c:v>
                  </c:pt>
                  <c:pt idx="4">
                    <c:v>Teaching in the same district</c:v>
                  </c:pt>
                  <c:pt idx="6">
                    <c:v>Teaching in the same school</c:v>
                  </c:pt>
                </c:lvl>
              </c:multiLvlStrCache>
            </c:multiLvlStrRef>
          </c:cat>
          <c:val>
            <c:numRef>
              <c:f>'Charts 11.19.13'!$C$4:$C$11</c:f>
              <c:numCache>
                <c:formatCode>0%</c:formatCode>
                <c:ptCount val="8"/>
                <c:pt idx="0">
                  <c:v>0.86407185628743333</c:v>
                </c:pt>
                <c:pt idx="1">
                  <c:v>0.79660678642714577</c:v>
                </c:pt>
                <c:pt idx="2">
                  <c:v>0.80718562874251509</c:v>
                </c:pt>
                <c:pt idx="3">
                  <c:v>0.73872255489021954</c:v>
                </c:pt>
                <c:pt idx="4">
                  <c:v>0.70395480225989626</c:v>
                </c:pt>
                <c:pt idx="5">
                  <c:v>0.55751412429378533</c:v>
                </c:pt>
                <c:pt idx="6">
                  <c:v>0.69083563682756088</c:v>
                </c:pt>
                <c:pt idx="7">
                  <c:v>0.54241973208590266</c:v>
                </c:pt>
              </c:numCache>
            </c:numRef>
          </c:val>
        </c:ser>
        <c:ser>
          <c:idx val="1"/>
          <c:order val="1"/>
          <c:tx>
            <c:strRef>
              <c:f>'Charts 11.19.13'!$D$3</c:f>
              <c:strCache>
                <c:ptCount val="1"/>
                <c:pt idx="0">
                  <c:v>Experienced Teachers</c:v>
                </c:pt>
              </c:strCache>
            </c:strRef>
          </c:tx>
          <c:dLbls>
            <c:delete val="1"/>
          </c:dLbls>
          <c:cat>
            <c:multiLvlStrRef>
              <c:f>'Charts 11.19.13'!$A$4:$B$11</c:f>
              <c:multiLvlStrCache>
                <c:ptCount val="8"/>
                <c:lvl>
                  <c:pt idx="0">
                    <c:v>1-year retention</c:v>
                  </c:pt>
                  <c:pt idx="1">
                    <c:v>2-year retention</c:v>
                  </c:pt>
                  <c:pt idx="2">
                    <c:v>1-year retention</c:v>
                  </c:pt>
                  <c:pt idx="3">
                    <c:v>2-year retention</c:v>
                  </c:pt>
                  <c:pt idx="4">
                    <c:v>1-year retention</c:v>
                  </c:pt>
                  <c:pt idx="5">
                    <c:v>2-year retention</c:v>
                  </c:pt>
                  <c:pt idx="6">
                    <c:v>1-year retention</c:v>
                  </c:pt>
                  <c:pt idx="7">
                    <c:v>2-year retention</c:v>
                  </c:pt>
                </c:lvl>
                <c:lvl>
                  <c:pt idx="0">
                    <c:v>In any role</c:v>
                  </c:pt>
                  <c:pt idx="2">
                    <c:v>In Teaching</c:v>
                  </c:pt>
                  <c:pt idx="4">
                    <c:v>Teaching in the same district</c:v>
                  </c:pt>
                  <c:pt idx="6">
                    <c:v>Teaching in the same school</c:v>
                  </c:pt>
                </c:lvl>
              </c:multiLvlStrCache>
            </c:multiLvlStrRef>
          </c:cat>
          <c:val>
            <c:numRef>
              <c:f>'Charts 11.19.13'!$D$4:$D$11</c:f>
              <c:numCache>
                <c:formatCode>0%</c:formatCode>
                <c:ptCount val="8"/>
                <c:pt idx="0">
                  <c:v>0.93190051403943364</c:v>
                </c:pt>
                <c:pt idx="1">
                  <c:v>0.88394736465298751</c:v>
                </c:pt>
                <c:pt idx="2">
                  <c:v>0.91371583212819207</c:v>
                </c:pt>
                <c:pt idx="3">
                  <c:v>0.85568235513108715</c:v>
                </c:pt>
                <c:pt idx="4">
                  <c:v>0.86160949272856713</c:v>
                </c:pt>
                <c:pt idx="5">
                  <c:v>0.75758350503060456</c:v>
                </c:pt>
                <c:pt idx="6">
                  <c:v>0.8567423848332465</c:v>
                </c:pt>
                <c:pt idx="7">
                  <c:v>0.75125715276573612</c:v>
                </c:pt>
              </c:numCache>
            </c:numRef>
          </c:val>
        </c:ser>
        <c:dLbls>
          <c:showVal val="1"/>
        </c:dLbls>
        <c:overlap val="-25"/>
        <c:axId val="102966400"/>
        <c:axId val="102967936"/>
      </c:barChart>
      <c:catAx>
        <c:axId val="102966400"/>
        <c:scaling>
          <c:orientation val="minMax"/>
        </c:scaling>
        <c:axPos val="b"/>
        <c:numFmt formatCode="General" sourceLinked="0"/>
        <c:majorTickMark val="none"/>
        <c:tickLblPos val="nextTo"/>
        <c:crossAx val="102967936"/>
        <c:crosses val="autoZero"/>
        <c:auto val="1"/>
        <c:lblAlgn val="ctr"/>
        <c:lblOffset val="100"/>
      </c:catAx>
      <c:valAx>
        <c:axId val="102967936"/>
        <c:scaling>
          <c:orientation val="minMax"/>
          <c:max val="1"/>
        </c:scaling>
        <c:axPos val="l"/>
        <c:majorGridlines>
          <c:spPr>
            <a:ln>
              <a:solidFill>
                <a:schemeClr val="bg1">
                  <a:lumMod val="85000"/>
                </a:schemeClr>
              </a:solidFill>
            </a:ln>
          </c:spPr>
        </c:majorGridlines>
        <c:numFmt formatCode="0%" sourceLinked="0"/>
        <c:tickLblPos val="nextTo"/>
        <c:crossAx val="102966400"/>
        <c:crosses val="autoZero"/>
        <c:crossBetween val="between"/>
      </c:valAx>
    </c:plotArea>
    <c:legend>
      <c:legendPos val="t"/>
      <c:layout>
        <c:manualLayout>
          <c:xMode val="edge"/>
          <c:yMode val="edge"/>
          <c:x val="0.29367864657186032"/>
          <c:y val="2.5550337629556222E-2"/>
          <c:w val="0.57031915253600962"/>
          <c:h val="7.3507777991165812E-2"/>
        </c:manualLayout>
      </c:layout>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US"/>
  <c:style val="3"/>
  <c:chart>
    <c:autoTitleDeleted val="1"/>
    <c:plotArea>
      <c:layout>
        <c:manualLayout>
          <c:layoutTarget val="inner"/>
          <c:xMode val="edge"/>
          <c:yMode val="edge"/>
          <c:x val="9.630259285771095E-2"/>
          <c:y val="0.13104444346691446"/>
          <c:w val="0.87591962936451673"/>
          <c:h val="0.63875716652736869"/>
        </c:manualLayout>
      </c:layout>
      <c:barChart>
        <c:barDir val="col"/>
        <c:grouping val="clustered"/>
        <c:ser>
          <c:idx val="0"/>
          <c:order val="0"/>
          <c:tx>
            <c:strRef>
              <c:f>'Charts 11.19.13'!$C$21</c:f>
              <c:strCache>
                <c:ptCount val="1"/>
                <c:pt idx="0">
                  <c:v>New Teachers</c:v>
                </c:pt>
              </c:strCache>
            </c:strRef>
          </c:tx>
          <c:cat>
            <c:multiLvlStrRef>
              <c:f>'Charts 11.19.13'!$A$22:$B$29</c:f>
              <c:multiLvlStrCache>
                <c:ptCount val="8"/>
                <c:lvl>
                  <c:pt idx="0">
                    <c:v>1-year retention</c:v>
                  </c:pt>
                  <c:pt idx="1">
                    <c:v>2-year retention</c:v>
                  </c:pt>
                  <c:pt idx="2">
                    <c:v>1-year retention</c:v>
                  </c:pt>
                  <c:pt idx="3">
                    <c:v>2-year retention</c:v>
                  </c:pt>
                  <c:pt idx="4">
                    <c:v>1-year retention</c:v>
                  </c:pt>
                  <c:pt idx="5">
                    <c:v>2-year retention</c:v>
                  </c:pt>
                  <c:pt idx="6">
                    <c:v>1-year retention</c:v>
                  </c:pt>
                  <c:pt idx="7">
                    <c:v>2-year retention</c:v>
                  </c:pt>
                </c:lvl>
                <c:lvl>
                  <c:pt idx="0">
                    <c:v>Level 1</c:v>
                  </c:pt>
                  <c:pt idx="2">
                    <c:v>Level 2</c:v>
                  </c:pt>
                  <c:pt idx="4">
                    <c:v>Level 3</c:v>
                  </c:pt>
                  <c:pt idx="6">
                    <c:v>Level 4</c:v>
                  </c:pt>
                </c:lvl>
              </c:multiLvlStrCache>
            </c:multiLvlStrRef>
          </c:cat>
          <c:val>
            <c:numRef>
              <c:f>'Charts 11.19.13'!$C$22:$C$29</c:f>
              <c:numCache>
                <c:formatCode>0.0%</c:formatCode>
                <c:ptCount val="8"/>
                <c:pt idx="0">
                  <c:v>0.73821252638986634</c:v>
                </c:pt>
                <c:pt idx="1">
                  <c:v>0.58128078817733075</c:v>
                </c:pt>
                <c:pt idx="2">
                  <c:v>0.72397660818713461</c:v>
                </c:pt>
                <c:pt idx="3">
                  <c:v>0.58362573099415205</c:v>
                </c:pt>
                <c:pt idx="4">
                  <c:v>0.66136576239476164</c:v>
                </c:pt>
                <c:pt idx="5">
                  <c:v>0.50608044901777349</c:v>
                </c:pt>
                <c:pt idx="6">
                  <c:v>0.57591623036649264</c:v>
                </c:pt>
                <c:pt idx="7">
                  <c:v>0.41884816753927162</c:v>
                </c:pt>
              </c:numCache>
            </c:numRef>
          </c:val>
        </c:ser>
        <c:ser>
          <c:idx val="1"/>
          <c:order val="1"/>
          <c:tx>
            <c:strRef>
              <c:f>'Charts 11.19.13'!$D$21</c:f>
              <c:strCache>
                <c:ptCount val="1"/>
                <c:pt idx="0">
                  <c:v>Experienced Teachers</c:v>
                </c:pt>
              </c:strCache>
            </c:strRef>
          </c:tx>
          <c:cat>
            <c:multiLvlStrRef>
              <c:f>'Charts 11.19.13'!$A$22:$B$29</c:f>
              <c:multiLvlStrCache>
                <c:ptCount val="8"/>
                <c:lvl>
                  <c:pt idx="0">
                    <c:v>1-year retention</c:v>
                  </c:pt>
                  <c:pt idx="1">
                    <c:v>2-year retention</c:v>
                  </c:pt>
                  <c:pt idx="2">
                    <c:v>1-year retention</c:v>
                  </c:pt>
                  <c:pt idx="3">
                    <c:v>2-year retention</c:v>
                  </c:pt>
                  <c:pt idx="4">
                    <c:v>1-year retention</c:v>
                  </c:pt>
                  <c:pt idx="5">
                    <c:v>2-year retention</c:v>
                  </c:pt>
                  <c:pt idx="6">
                    <c:v>1-year retention</c:v>
                  </c:pt>
                  <c:pt idx="7">
                    <c:v>2-year retention</c:v>
                  </c:pt>
                </c:lvl>
                <c:lvl>
                  <c:pt idx="0">
                    <c:v>Level 1</c:v>
                  </c:pt>
                  <c:pt idx="2">
                    <c:v>Level 2</c:v>
                  </c:pt>
                  <c:pt idx="4">
                    <c:v>Level 3</c:v>
                  </c:pt>
                  <c:pt idx="6">
                    <c:v>Level 4</c:v>
                  </c:pt>
                </c:lvl>
              </c:multiLvlStrCache>
            </c:multiLvlStrRef>
          </c:cat>
          <c:val>
            <c:numRef>
              <c:f>'Charts 11.19.13'!$D$22:$D$29</c:f>
              <c:numCache>
                <c:formatCode>0.0%</c:formatCode>
                <c:ptCount val="8"/>
                <c:pt idx="0">
                  <c:v>0.87430972975614529</c:v>
                </c:pt>
                <c:pt idx="1">
                  <c:v>0.78155695645799739</c:v>
                </c:pt>
                <c:pt idx="2">
                  <c:v>0.8802703247932171</c:v>
                </c:pt>
                <c:pt idx="3">
                  <c:v>0.78656445430704058</c:v>
                </c:pt>
                <c:pt idx="4">
                  <c:v>0.83996664392388765</c:v>
                </c:pt>
                <c:pt idx="5">
                  <c:v>0.7184443939049352</c:v>
                </c:pt>
                <c:pt idx="6">
                  <c:v>0.74129032258064564</c:v>
                </c:pt>
                <c:pt idx="7">
                  <c:v>0.57548387096774156</c:v>
                </c:pt>
              </c:numCache>
            </c:numRef>
          </c:val>
        </c:ser>
        <c:dLbls/>
        <c:overlap val="-25"/>
        <c:axId val="102980992"/>
        <c:axId val="102999168"/>
      </c:barChart>
      <c:catAx>
        <c:axId val="102980992"/>
        <c:scaling>
          <c:orientation val="minMax"/>
        </c:scaling>
        <c:axPos val="b"/>
        <c:numFmt formatCode="General" sourceLinked="0"/>
        <c:majorTickMark val="none"/>
        <c:tickLblPos val="nextTo"/>
        <c:crossAx val="102999168"/>
        <c:crosses val="autoZero"/>
        <c:auto val="1"/>
        <c:lblAlgn val="ctr"/>
        <c:lblOffset val="100"/>
      </c:catAx>
      <c:valAx>
        <c:axId val="102999168"/>
        <c:scaling>
          <c:orientation val="minMax"/>
          <c:max val="1"/>
        </c:scaling>
        <c:axPos val="l"/>
        <c:majorGridlines>
          <c:spPr>
            <a:ln>
              <a:solidFill>
                <a:schemeClr val="bg1">
                  <a:lumMod val="85000"/>
                </a:schemeClr>
              </a:solidFill>
            </a:ln>
          </c:spPr>
        </c:majorGridlines>
        <c:numFmt formatCode="0%" sourceLinked="0"/>
        <c:tickLblPos val="nextTo"/>
        <c:crossAx val="102980992"/>
        <c:crosses val="autoZero"/>
        <c:crossBetween val="between"/>
      </c:valAx>
    </c:plotArea>
    <c:legend>
      <c:legendPos val="t"/>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9.7182852143482268E-2"/>
          <c:y val="0.12585848643919648"/>
          <c:w val="0.87226159230096234"/>
          <c:h val="0.67227435112278155"/>
        </c:manualLayout>
      </c:layout>
      <c:barChart>
        <c:barDir val="col"/>
        <c:grouping val="clustered"/>
        <c:ser>
          <c:idx val="0"/>
          <c:order val="0"/>
          <c:tx>
            <c:strRef>
              <c:f>'12.5.13'!$M$50</c:f>
              <c:strCache>
                <c:ptCount val="1"/>
                <c:pt idx="0">
                  <c:v>Low Poverty</c:v>
                </c:pt>
              </c:strCache>
            </c:strRef>
          </c:tx>
          <c:cat>
            <c:multiLvlStrRef>
              <c:f>'12.5.13'!$K$51:$L$54</c:f>
              <c:multiLvlStrCache>
                <c:ptCount val="4"/>
                <c:lvl>
                  <c:pt idx="0">
                    <c:v>1-year retention</c:v>
                  </c:pt>
                  <c:pt idx="1">
                    <c:v>2-year retention</c:v>
                  </c:pt>
                  <c:pt idx="2">
                    <c:v>1-year retention</c:v>
                  </c:pt>
                  <c:pt idx="3">
                    <c:v>2-year retention</c:v>
                  </c:pt>
                </c:lvl>
                <c:lvl>
                  <c:pt idx="0">
                    <c:v>First-Year Teachers</c:v>
                  </c:pt>
                  <c:pt idx="2">
                    <c:v>Experienced Teachers</c:v>
                  </c:pt>
                </c:lvl>
              </c:multiLvlStrCache>
            </c:multiLvlStrRef>
          </c:cat>
          <c:val>
            <c:numRef>
              <c:f>'12.5.13'!$M$51:$M$54</c:f>
              <c:numCache>
                <c:formatCode>0.0%</c:formatCode>
                <c:ptCount val="4"/>
                <c:pt idx="0">
                  <c:v>0.71300000000000063</c:v>
                </c:pt>
                <c:pt idx="1">
                  <c:v>0.56700000000000061</c:v>
                </c:pt>
                <c:pt idx="2">
                  <c:v>0.87600000000000433</c:v>
                </c:pt>
                <c:pt idx="3">
                  <c:v>0.79</c:v>
                </c:pt>
              </c:numCache>
            </c:numRef>
          </c:val>
        </c:ser>
        <c:ser>
          <c:idx val="1"/>
          <c:order val="1"/>
          <c:tx>
            <c:strRef>
              <c:f>'12.5.13'!$N$50</c:f>
              <c:strCache>
                <c:ptCount val="1"/>
                <c:pt idx="0">
                  <c:v>Moderate Poverty</c:v>
                </c:pt>
              </c:strCache>
            </c:strRef>
          </c:tx>
          <c:cat>
            <c:multiLvlStrRef>
              <c:f>'12.5.13'!$K$51:$L$54</c:f>
              <c:multiLvlStrCache>
                <c:ptCount val="4"/>
                <c:lvl>
                  <c:pt idx="0">
                    <c:v>1-year retention</c:v>
                  </c:pt>
                  <c:pt idx="1">
                    <c:v>2-year retention</c:v>
                  </c:pt>
                  <c:pt idx="2">
                    <c:v>1-year retention</c:v>
                  </c:pt>
                  <c:pt idx="3">
                    <c:v>2-year retention</c:v>
                  </c:pt>
                </c:lvl>
                <c:lvl>
                  <c:pt idx="0">
                    <c:v>First-Year Teachers</c:v>
                  </c:pt>
                  <c:pt idx="2">
                    <c:v>Experienced Teachers</c:v>
                  </c:pt>
                </c:lvl>
              </c:multiLvlStrCache>
            </c:multiLvlStrRef>
          </c:cat>
          <c:val>
            <c:numRef>
              <c:f>'12.5.13'!$N$51:$N$54</c:f>
              <c:numCache>
                <c:formatCode>0.0%</c:formatCode>
                <c:ptCount val="4"/>
                <c:pt idx="0">
                  <c:v>0.71300000000000063</c:v>
                </c:pt>
                <c:pt idx="1">
                  <c:v>0.57200000000000062</c:v>
                </c:pt>
                <c:pt idx="2">
                  <c:v>0.87500000000000422</c:v>
                </c:pt>
                <c:pt idx="3">
                  <c:v>0.7750000000000048</c:v>
                </c:pt>
              </c:numCache>
            </c:numRef>
          </c:val>
        </c:ser>
        <c:ser>
          <c:idx val="2"/>
          <c:order val="2"/>
          <c:tx>
            <c:strRef>
              <c:f>'12.5.13'!$O$50</c:f>
              <c:strCache>
                <c:ptCount val="1"/>
                <c:pt idx="0">
                  <c:v>High Poverty</c:v>
                </c:pt>
              </c:strCache>
            </c:strRef>
          </c:tx>
          <c:cat>
            <c:multiLvlStrRef>
              <c:f>'12.5.13'!$K$51:$L$54</c:f>
              <c:multiLvlStrCache>
                <c:ptCount val="4"/>
                <c:lvl>
                  <c:pt idx="0">
                    <c:v>1-year retention</c:v>
                  </c:pt>
                  <c:pt idx="1">
                    <c:v>2-year retention</c:v>
                  </c:pt>
                  <c:pt idx="2">
                    <c:v>1-year retention</c:v>
                  </c:pt>
                  <c:pt idx="3">
                    <c:v>2-year retention</c:v>
                  </c:pt>
                </c:lvl>
                <c:lvl>
                  <c:pt idx="0">
                    <c:v>First-Year Teachers</c:v>
                  </c:pt>
                  <c:pt idx="2">
                    <c:v>Experienced Teachers</c:v>
                  </c:pt>
                </c:lvl>
              </c:multiLvlStrCache>
            </c:multiLvlStrRef>
          </c:cat>
          <c:val>
            <c:numRef>
              <c:f>'12.5.13'!$O$51:$O$54</c:f>
              <c:numCache>
                <c:formatCode>0.0%</c:formatCode>
                <c:ptCount val="4"/>
                <c:pt idx="0">
                  <c:v>0.62200000000000411</c:v>
                </c:pt>
                <c:pt idx="1">
                  <c:v>0.47700000000000031</c:v>
                </c:pt>
                <c:pt idx="2">
                  <c:v>0.79700000000000004</c:v>
                </c:pt>
                <c:pt idx="3">
                  <c:v>0.66900000000000526</c:v>
                </c:pt>
              </c:numCache>
            </c:numRef>
          </c:val>
        </c:ser>
        <c:dLbls/>
        <c:axId val="103631872"/>
        <c:axId val="103641856"/>
      </c:barChart>
      <c:catAx>
        <c:axId val="103631872"/>
        <c:scaling>
          <c:orientation val="minMax"/>
        </c:scaling>
        <c:axPos val="b"/>
        <c:numFmt formatCode="General" sourceLinked="0"/>
        <c:tickLblPos val="nextTo"/>
        <c:crossAx val="103641856"/>
        <c:crosses val="autoZero"/>
        <c:auto val="1"/>
        <c:lblAlgn val="ctr"/>
        <c:lblOffset val="100"/>
      </c:catAx>
      <c:valAx>
        <c:axId val="103641856"/>
        <c:scaling>
          <c:orientation val="minMax"/>
          <c:max val="1"/>
        </c:scaling>
        <c:axPos val="l"/>
        <c:majorGridlines>
          <c:spPr>
            <a:ln>
              <a:solidFill>
                <a:schemeClr val="bg1">
                  <a:lumMod val="85000"/>
                </a:schemeClr>
              </a:solidFill>
            </a:ln>
          </c:spPr>
        </c:majorGridlines>
        <c:numFmt formatCode="0%" sourceLinked="0"/>
        <c:tickLblPos val="nextTo"/>
        <c:crossAx val="103631872"/>
        <c:crosses val="autoZero"/>
        <c:crossBetween val="between"/>
      </c:valAx>
    </c:plotArea>
    <c:legend>
      <c:legendPos val="t"/>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0.11548198520639465"/>
          <c:y val="0.13104444346691446"/>
          <c:w val="0.85674023701583557"/>
          <c:h val="0.66186688954383854"/>
        </c:manualLayout>
      </c:layout>
      <c:barChart>
        <c:barDir val="col"/>
        <c:grouping val="clustered"/>
        <c:ser>
          <c:idx val="0"/>
          <c:order val="0"/>
          <c:tx>
            <c:strRef>
              <c:f>'Charts 11.19.13'!$C$14</c:f>
              <c:strCache>
                <c:ptCount val="1"/>
                <c:pt idx="0">
                  <c:v>New Teachers</c:v>
                </c:pt>
              </c:strCache>
            </c:strRef>
          </c:tx>
          <c:cat>
            <c:multiLvlStrRef>
              <c:f>'Charts 11.19.13'!$A$15:$B$18</c:f>
              <c:multiLvlStrCache>
                <c:ptCount val="4"/>
                <c:lvl>
                  <c:pt idx="0">
                    <c:v>1-year retention</c:v>
                  </c:pt>
                  <c:pt idx="1">
                    <c:v>2-year retention</c:v>
                  </c:pt>
                  <c:pt idx="2">
                    <c:v>1-year retention</c:v>
                  </c:pt>
                  <c:pt idx="3">
                    <c:v>2-year retention</c:v>
                  </c:pt>
                </c:lvl>
                <c:lvl>
                  <c:pt idx="0">
                    <c:v>Charter Schools Only</c:v>
                  </c:pt>
                  <c:pt idx="2">
                    <c:v>Excluding Charter Schools</c:v>
                  </c:pt>
                </c:lvl>
              </c:multiLvlStrCache>
            </c:multiLvlStrRef>
          </c:cat>
          <c:val>
            <c:numRef>
              <c:f>'Charts 11.19.13'!$C$15:$C$18</c:f>
              <c:numCache>
                <c:formatCode>0.0%</c:formatCode>
                <c:ptCount val="4"/>
                <c:pt idx="0">
                  <c:v>0.67276422764228216</c:v>
                </c:pt>
                <c:pt idx="1">
                  <c:v>0.47967479674797053</c:v>
                </c:pt>
                <c:pt idx="2">
                  <c:v>0.69294704345761104</c:v>
                </c:pt>
                <c:pt idx="3">
                  <c:v>0.54975065305153692</c:v>
                </c:pt>
              </c:numCache>
            </c:numRef>
          </c:val>
        </c:ser>
        <c:ser>
          <c:idx val="1"/>
          <c:order val="1"/>
          <c:tx>
            <c:strRef>
              <c:f>'Charts 11.19.13'!$D$14</c:f>
              <c:strCache>
                <c:ptCount val="1"/>
                <c:pt idx="0">
                  <c:v>Experienced Teachers</c:v>
                </c:pt>
              </c:strCache>
            </c:strRef>
          </c:tx>
          <c:cat>
            <c:multiLvlStrRef>
              <c:f>'Charts 11.19.13'!$A$15:$B$18</c:f>
              <c:multiLvlStrCache>
                <c:ptCount val="4"/>
                <c:lvl>
                  <c:pt idx="0">
                    <c:v>1-year retention</c:v>
                  </c:pt>
                  <c:pt idx="1">
                    <c:v>2-year retention</c:v>
                  </c:pt>
                  <c:pt idx="2">
                    <c:v>1-year retention</c:v>
                  </c:pt>
                  <c:pt idx="3">
                    <c:v>2-year retention</c:v>
                  </c:pt>
                </c:lvl>
                <c:lvl>
                  <c:pt idx="0">
                    <c:v>Charter Schools Only</c:v>
                  </c:pt>
                  <c:pt idx="2">
                    <c:v>Excluding Charter Schools</c:v>
                  </c:pt>
                </c:lvl>
              </c:multiLvlStrCache>
            </c:multiLvlStrRef>
          </c:cat>
          <c:val>
            <c:numRef>
              <c:f>'Charts 11.19.13'!$D$15:$D$18</c:f>
              <c:numCache>
                <c:formatCode>0.0%</c:formatCode>
                <c:ptCount val="4"/>
                <c:pt idx="0">
                  <c:v>0.768544339096491</c:v>
                </c:pt>
                <c:pt idx="1">
                  <c:v>0.611823759063027</c:v>
                </c:pt>
                <c:pt idx="2">
                  <c:v>0.85908827936093513</c:v>
                </c:pt>
                <c:pt idx="3">
                  <c:v>0.75496580676744163</c:v>
                </c:pt>
              </c:numCache>
            </c:numRef>
          </c:val>
        </c:ser>
        <c:dLbls/>
        <c:axId val="103659008"/>
        <c:axId val="103660544"/>
      </c:barChart>
      <c:catAx>
        <c:axId val="103659008"/>
        <c:scaling>
          <c:orientation val="minMax"/>
        </c:scaling>
        <c:axPos val="b"/>
        <c:numFmt formatCode="General" sourceLinked="0"/>
        <c:tickLblPos val="nextTo"/>
        <c:crossAx val="103660544"/>
        <c:crosses val="autoZero"/>
        <c:auto val="1"/>
        <c:lblAlgn val="ctr"/>
        <c:lblOffset val="100"/>
      </c:catAx>
      <c:valAx>
        <c:axId val="103660544"/>
        <c:scaling>
          <c:orientation val="minMax"/>
        </c:scaling>
        <c:axPos val="l"/>
        <c:majorGridlines/>
        <c:numFmt formatCode="0.0%" sourceLinked="1"/>
        <c:tickLblPos val="nextTo"/>
        <c:crossAx val="103659008"/>
        <c:crosses val="autoZero"/>
        <c:crossBetween val="between"/>
      </c:valAx>
    </c:plotArea>
    <c:legend>
      <c:legendPos val="t"/>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style val="3"/>
  <c:chart>
    <c:autoTitleDeleted val="1"/>
    <c:plotArea>
      <c:layout/>
      <c:barChart>
        <c:barDir val="col"/>
        <c:grouping val="clustered"/>
        <c:ser>
          <c:idx val="0"/>
          <c:order val="0"/>
          <c:tx>
            <c:strRef>
              <c:f>'Charts 11.19.13'!$A$41</c:f>
              <c:strCache>
                <c:ptCount val="1"/>
                <c:pt idx="0">
                  <c:v>1-year retention</c:v>
                </c:pt>
              </c:strCache>
            </c:strRef>
          </c:tx>
          <c:cat>
            <c:strRef>
              <c:f>'Charts 11.19.13'!$B$39:$E$40</c:f>
              <c:strCache>
                <c:ptCount val="4"/>
                <c:pt idx="0">
                  <c:v>White</c:v>
                </c:pt>
                <c:pt idx="1">
                  <c:v>Teachers of Color</c:v>
                </c:pt>
                <c:pt idx="2">
                  <c:v>Female</c:v>
                </c:pt>
                <c:pt idx="3">
                  <c:v>Male</c:v>
                </c:pt>
              </c:strCache>
            </c:strRef>
          </c:cat>
          <c:val>
            <c:numRef>
              <c:f>'Charts 11.19.13'!$B$41:$E$41</c:f>
              <c:numCache>
                <c:formatCode>0.0%</c:formatCode>
                <c:ptCount val="4"/>
                <c:pt idx="0">
                  <c:v>0.82616396761133559</c:v>
                </c:pt>
                <c:pt idx="1">
                  <c:v>0.77608695652173965</c:v>
                </c:pt>
                <c:pt idx="2">
                  <c:v>0.82347447073474467</c:v>
                </c:pt>
                <c:pt idx="3">
                  <c:v>0.81416666666666659</c:v>
                </c:pt>
              </c:numCache>
            </c:numRef>
          </c:val>
        </c:ser>
        <c:ser>
          <c:idx val="1"/>
          <c:order val="1"/>
          <c:tx>
            <c:strRef>
              <c:f>'Charts 11.19.13'!$A$42</c:f>
              <c:strCache>
                <c:ptCount val="1"/>
                <c:pt idx="0">
                  <c:v>2-year retention</c:v>
                </c:pt>
              </c:strCache>
            </c:strRef>
          </c:tx>
          <c:cat>
            <c:strRef>
              <c:f>'Charts 11.19.13'!$B$39:$E$40</c:f>
              <c:strCache>
                <c:ptCount val="4"/>
                <c:pt idx="0">
                  <c:v>White</c:v>
                </c:pt>
                <c:pt idx="1">
                  <c:v>Teachers of Color</c:v>
                </c:pt>
                <c:pt idx="2">
                  <c:v>Female</c:v>
                </c:pt>
                <c:pt idx="3">
                  <c:v>Male</c:v>
                </c:pt>
              </c:strCache>
            </c:strRef>
          </c:cat>
          <c:val>
            <c:numRef>
              <c:f>'Charts 11.19.13'!$B$42:$E$42</c:f>
              <c:numCache>
                <c:formatCode>0.0%</c:formatCode>
                <c:ptCount val="4"/>
                <c:pt idx="0">
                  <c:v>0.73228744939271251</c:v>
                </c:pt>
                <c:pt idx="1">
                  <c:v>0.6521739130434876</c:v>
                </c:pt>
                <c:pt idx="2">
                  <c:v>0.72509339975093356</c:v>
                </c:pt>
                <c:pt idx="3">
                  <c:v>0.72083333333333743</c:v>
                </c:pt>
              </c:numCache>
            </c:numRef>
          </c:val>
        </c:ser>
        <c:dLbls/>
        <c:gapWidth val="75"/>
        <c:overlap val="-25"/>
        <c:axId val="103321984"/>
        <c:axId val="103323520"/>
      </c:barChart>
      <c:catAx>
        <c:axId val="103321984"/>
        <c:scaling>
          <c:orientation val="minMax"/>
        </c:scaling>
        <c:axPos val="b"/>
        <c:numFmt formatCode="General" sourceLinked="0"/>
        <c:majorTickMark val="none"/>
        <c:tickLblPos val="nextTo"/>
        <c:crossAx val="103323520"/>
        <c:crosses val="autoZero"/>
        <c:auto val="1"/>
        <c:lblAlgn val="ctr"/>
        <c:lblOffset val="100"/>
      </c:catAx>
      <c:valAx>
        <c:axId val="103323520"/>
        <c:scaling>
          <c:orientation val="minMax"/>
          <c:max val="1"/>
        </c:scaling>
        <c:axPos val="l"/>
        <c:majorGridlines>
          <c:spPr>
            <a:ln>
              <a:solidFill>
                <a:schemeClr val="bg1">
                  <a:lumMod val="85000"/>
                </a:schemeClr>
              </a:solidFill>
            </a:ln>
          </c:spPr>
        </c:majorGridlines>
        <c:numFmt formatCode="0%" sourceLinked="0"/>
        <c:majorTickMark val="none"/>
        <c:tickLblPos val="nextTo"/>
        <c:spPr>
          <a:ln w="9525">
            <a:solidFill>
              <a:schemeClr val="bg1">
                <a:lumMod val="50000"/>
              </a:schemeClr>
            </a:solidFill>
          </a:ln>
        </c:spPr>
        <c:crossAx val="103321984"/>
        <c:crosses val="autoZero"/>
        <c:crossBetween val="between"/>
      </c:valAx>
    </c:plotArea>
    <c:legend>
      <c:legendPos val="t"/>
    </c:legend>
    <c:plotVisOnly val="1"/>
    <c:dispBlanksAs val="gap"/>
  </c:chart>
  <c:spPr>
    <a:ln>
      <a:solidFill>
        <a:schemeClr val="bg1">
          <a:lumMod val="50000"/>
        </a:schemeClr>
      </a:solid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9.630259285771095E-2"/>
          <c:y val="0.13104444346691446"/>
          <c:w val="0.87591962936451673"/>
          <c:h val="0.63875716652736869"/>
        </c:manualLayout>
      </c:layout>
      <c:barChart>
        <c:barDir val="col"/>
        <c:grouping val="clustered"/>
        <c:ser>
          <c:idx val="0"/>
          <c:order val="0"/>
          <c:tx>
            <c:strRef>
              <c:f>'Charts 11.19.13'!$A$68</c:f>
              <c:strCache>
                <c:ptCount val="1"/>
                <c:pt idx="0">
                  <c:v>Level 1</c:v>
                </c:pt>
              </c:strCache>
            </c:strRef>
          </c:tx>
          <c:cat>
            <c:multiLvlStrRef>
              <c:f>'Charts 11.19.13'!$B$66:$G$67</c:f>
              <c:multiLvlStrCache>
                <c:ptCount val="6"/>
                <c:lvl>
                  <c:pt idx="0">
                    <c:v>1-year retention</c:v>
                  </c:pt>
                  <c:pt idx="1">
                    <c:v>2-year retention</c:v>
                  </c:pt>
                  <c:pt idx="2">
                    <c:v>1-year retention</c:v>
                  </c:pt>
                  <c:pt idx="3">
                    <c:v>2-year retention</c:v>
                  </c:pt>
                  <c:pt idx="4">
                    <c:v>1-year retention</c:v>
                  </c:pt>
                  <c:pt idx="5">
                    <c:v>2-year retention</c:v>
                  </c:pt>
                </c:lvl>
                <c:lvl>
                  <c:pt idx="0">
                    <c:v>Math - all levels</c:v>
                  </c:pt>
                  <c:pt idx="2">
                    <c:v>ELA - all levels</c:v>
                  </c:pt>
                  <c:pt idx="4">
                    <c:v>Science - all levels</c:v>
                  </c:pt>
                </c:lvl>
              </c:multiLvlStrCache>
            </c:multiLvlStrRef>
          </c:cat>
          <c:val>
            <c:numRef>
              <c:f>'Charts 11.19.13'!$B$68:$G$68</c:f>
              <c:numCache>
                <c:formatCode>0.0%</c:formatCode>
                <c:ptCount val="6"/>
                <c:pt idx="0">
                  <c:v>0.77821011673151763</c:v>
                </c:pt>
                <c:pt idx="1">
                  <c:v>0.63424124513619295</c:v>
                </c:pt>
                <c:pt idx="2">
                  <c:v>0.74402730375426618</c:v>
                </c:pt>
                <c:pt idx="3">
                  <c:v>0.58703071672354967</c:v>
                </c:pt>
                <c:pt idx="4">
                  <c:v>0.71836734693877569</c:v>
                </c:pt>
                <c:pt idx="5">
                  <c:v>0.56734693877551023</c:v>
                </c:pt>
              </c:numCache>
            </c:numRef>
          </c:val>
        </c:ser>
        <c:ser>
          <c:idx val="1"/>
          <c:order val="1"/>
          <c:tx>
            <c:strRef>
              <c:f>'Charts 11.19.13'!$A$69</c:f>
              <c:strCache>
                <c:ptCount val="1"/>
                <c:pt idx="0">
                  <c:v>Level 2</c:v>
                </c:pt>
              </c:strCache>
            </c:strRef>
          </c:tx>
          <c:cat>
            <c:multiLvlStrRef>
              <c:f>'Charts 11.19.13'!$B$66:$G$67</c:f>
              <c:multiLvlStrCache>
                <c:ptCount val="6"/>
                <c:lvl>
                  <c:pt idx="0">
                    <c:v>1-year retention</c:v>
                  </c:pt>
                  <c:pt idx="1">
                    <c:v>2-year retention</c:v>
                  </c:pt>
                  <c:pt idx="2">
                    <c:v>1-year retention</c:v>
                  </c:pt>
                  <c:pt idx="3">
                    <c:v>2-year retention</c:v>
                  </c:pt>
                  <c:pt idx="4">
                    <c:v>1-year retention</c:v>
                  </c:pt>
                  <c:pt idx="5">
                    <c:v>2-year retention</c:v>
                  </c:pt>
                </c:lvl>
                <c:lvl>
                  <c:pt idx="0">
                    <c:v>Math - all levels</c:v>
                  </c:pt>
                  <c:pt idx="2">
                    <c:v>ELA - all levels</c:v>
                  </c:pt>
                  <c:pt idx="4">
                    <c:v>Science - all levels</c:v>
                  </c:pt>
                </c:lvl>
              </c:multiLvlStrCache>
            </c:multiLvlStrRef>
          </c:cat>
          <c:val>
            <c:numRef>
              <c:f>'Charts 11.19.13'!$B$69:$G$69</c:f>
              <c:numCache>
                <c:formatCode>0.0%</c:formatCode>
                <c:ptCount val="6"/>
                <c:pt idx="0">
                  <c:v>0.76536312849161958</c:v>
                </c:pt>
                <c:pt idx="1">
                  <c:v>0.60335195530726249</c:v>
                </c:pt>
                <c:pt idx="2">
                  <c:v>0.74109263657958568</c:v>
                </c:pt>
                <c:pt idx="3">
                  <c:v>0.59382422802850365</c:v>
                </c:pt>
                <c:pt idx="4">
                  <c:v>0.80073800738007961</c:v>
                </c:pt>
                <c:pt idx="5">
                  <c:v>0.61992619926199266</c:v>
                </c:pt>
              </c:numCache>
            </c:numRef>
          </c:val>
        </c:ser>
        <c:ser>
          <c:idx val="2"/>
          <c:order val="2"/>
          <c:tx>
            <c:strRef>
              <c:f>'Charts 11.19.13'!$A$70</c:f>
              <c:strCache>
                <c:ptCount val="1"/>
                <c:pt idx="0">
                  <c:v>Level 3</c:v>
                </c:pt>
              </c:strCache>
            </c:strRef>
          </c:tx>
          <c:cat>
            <c:multiLvlStrRef>
              <c:f>'Charts 11.19.13'!$B$66:$G$67</c:f>
              <c:multiLvlStrCache>
                <c:ptCount val="6"/>
                <c:lvl>
                  <c:pt idx="0">
                    <c:v>1-year retention</c:v>
                  </c:pt>
                  <c:pt idx="1">
                    <c:v>2-year retention</c:v>
                  </c:pt>
                  <c:pt idx="2">
                    <c:v>1-year retention</c:v>
                  </c:pt>
                  <c:pt idx="3">
                    <c:v>2-year retention</c:v>
                  </c:pt>
                  <c:pt idx="4">
                    <c:v>1-year retention</c:v>
                  </c:pt>
                  <c:pt idx="5">
                    <c:v>2-year retention</c:v>
                  </c:pt>
                </c:lvl>
                <c:lvl>
                  <c:pt idx="0">
                    <c:v>Math - all levels</c:v>
                  </c:pt>
                  <c:pt idx="2">
                    <c:v>ELA - all levels</c:v>
                  </c:pt>
                  <c:pt idx="4">
                    <c:v>Science - all levels</c:v>
                  </c:pt>
                </c:lvl>
              </c:multiLvlStrCache>
            </c:multiLvlStrRef>
          </c:cat>
          <c:val>
            <c:numRef>
              <c:f>'Charts 11.19.13'!$B$70:$G$70</c:f>
              <c:numCache>
                <c:formatCode>0.0%</c:formatCode>
                <c:ptCount val="6"/>
                <c:pt idx="0">
                  <c:v>0.70558375634518233</c:v>
                </c:pt>
                <c:pt idx="1">
                  <c:v>0.53807106598984777</c:v>
                </c:pt>
                <c:pt idx="2">
                  <c:v>0.6875</c:v>
                </c:pt>
                <c:pt idx="3">
                  <c:v>0.53333333333333333</c:v>
                </c:pt>
                <c:pt idx="4">
                  <c:v>0.69312169312169836</c:v>
                </c:pt>
                <c:pt idx="5">
                  <c:v>0.544973544973545</c:v>
                </c:pt>
              </c:numCache>
            </c:numRef>
          </c:val>
        </c:ser>
        <c:ser>
          <c:idx val="3"/>
          <c:order val="3"/>
          <c:tx>
            <c:strRef>
              <c:f>'Charts 11.19.13'!$A$71</c:f>
              <c:strCache>
                <c:ptCount val="1"/>
                <c:pt idx="0">
                  <c:v>Level 4</c:v>
                </c:pt>
              </c:strCache>
            </c:strRef>
          </c:tx>
          <c:cat>
            <c:multiLvlStrRef>
              <c:f>'Charts 11.19.13'!$B$66:$G$67</c:f>
              <c:multiLvlStrCache>
                <c:ptCount val="6"/>
                <c:lvl>
                  <c:pt idx="0">
                    <c:v>1-year retention</c:v>
                  </c:pt>
                  <c:pt idx="1">
                    <c:v>2-year retention</c:v>
                  </c:pt>
                  <c:pt idx="2">
                    <c:v>1-year retention</c:v>
                  </c:pt>
                  <c:pt idx="3">
                    <c:v>2-year retention</c:v>
                  </c:pt>
                  <c:pt idx="4">
                    <c:v>1-year retention</c:v>
                  </c:pt>
                  <c:pt idx="5">
                    <c:v>2-year retention</c:v>
                  </c:pt>
                </c:lvl>
                <c:lvl>
                  <c:pt idx="0">
                    <c:v>Math - all levels</c:v>
                  </c:pt>
                  <c:pt idx="2">
                    <c:v>ELA - all levels</c:v>
                  </c:pt>
                  <c:pt idx="4">
                    <c:v>Science - all levels</c:v>
                  </c:pt>
                </c:lvl>
              </c:multiLvlStrCache>
            </c:multiLvlStrRef>
          </c:cat>
          <c:val>
            <c:numRef>
              <c:f>'Charts 11.19.13'!$B$71:$G$71</c:f>
              <c:numCache>
                <c:formatCode>0.0%</c:formatCode>
                <c:ptCount val="6"/>
                <c:pt idx="0">
                  <c:v>0.62068965517241903</c:v>
                </c:pt>
                <c:pt idx="1">
                  <c:v>0.37931034482758885</c:v>
                </c:pt>
                <c:pt idx="2">
                  <c:v>0.73809523809524336</c:v>
                </c:pt>
                <c:pt idx="3">
                  <c:v>0.42857142857142855</c:v>
                </c:pt>
                <c:pt idx="4">
                  <c:v>0.65909090909090962</c:v>
                </c:pt>
                <c:pt idx="5">
                  <c:v>0.52272727272727271</c:v>
                </c:pt>
              </c:numCache>
            </c:numRef>
          </c:val>
        </c:ser>
        <c:dLbls/>
        <c:axId val="103949440"/>
        <c:axId val="103950976"/>
      </c:barChart>
      <c:catAx>
        <c:axId val="103949440"/>
        <c:scaling>
          <c:orientation val="minMax"/>
        </c:scaling>
        <c:axPos val="b"/>
        <c:numFmt formatCode="General" sourceLinked="0"/>
        <c:tickLblPos val="nextTo"/>
        <c:crossAx val="103950976"/>
        <c:crosses val="autoZero"/>
        <c:auto val="1"/>
        <c:lblAlgn val="ctr"/>
        <c:lblOffset val="100"/>
      </c:catAx>
      <c:valAx>
        <c:axId val="103950976"/>
        <c:scaling>
          <c:orientation val="minMax"/>
          <c:max val="1"/>
        </c:scaling>
        <c:axPos val="l"/>
        <c:majorGridlines>
          <c:spPr>
            <a:ln>
              <a:solidFill>
                <a:schemeClr val="bg1">
                  <a:lumMod val="85000"/>
                </a:schemeClr>
              </a:solidFill>
            </a:ln>
          </c:spPr>
        </c:majorGridlines>
        <c:numFmt formatCode="0%" sourceLinked="0"/>
        <c:tickLblPos val="nextTo"/>
        <c:crossAx val="103949440"/>
        <c:crosses val="autoZero"/>
        <c:crossBetween val="between"/>
      </c:valAx>
    </c:plotArea>
    <c:legend>
      <c:legendPos val="t"/>
    </c:legend>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8.3499562554681758E-2"/>
          <c:y val="0.13104444346691446"/>
          <c:w val="0.8887226596675416"/>
          <c:h val="0.62981336897215756"/>
        </c:manualLayout>
      </c:layout>
      <c:barChart>
        <c:barDir val="col"/>
        <c:grouping val="clustered"/>
        <c:ser>
          <c:idx val="0"/>
          <c:order val="0"/>
          <c:tx>
            <c:strRef>
              <c:f>'Charts 11.19.13'!$A$82</c:f>
              <c:strCache>
                <c:ptCount val="1"/>
                <c:pt idx="0">
                  <c:v>Level 1</c:v>
                </c:pt>
              </c:strCache>
            </c:strRef>
          </c:tx>
          <c:cat>
            <c:multiLvlStrRef>
              <c:f>'Charts 11.19.13'!$B$80:$G$81</c:f>
              <c:multiLvlStrCache>
                <c:ptCount val="6"/>
                <c:lvl>
                  <c:pt idx="0">
                    <c:v>1-year retention</c:v>
                  </c:pt>
                  <c:pt idx="1">
                    <c:v>2-year retention</c:v>
                  </c:pt>
                  <c:pt idx="2">
                    <c:v>1-year retention</c:v>
                  </c:pt>
                  <c:pt idx="3">
                    <c:v>2-year retention</c:v>
                  </c:pt>
                  <c:pt idx="4">
                    <c:v>1-year retention</c:v>
                  </c:pt>
                  <c:pt idx="5">
                    <c:v>2-year retention</c:v>
                  </c:pt>
                </c:lvl>
                <c:lvl>
                  <c:pt idx="0">
                    <c:v>Elementary</c:v>
                  </c:pt>
                  <c:pt idx="2">
                    <c:v>Middle</c:v>
                  </c:pt>
                  <c:pt idx="4">
                    <c:v>Secondary</c:v>
                  </c:pt>
                </c:lvl>
              </c:multiLvlStrCache>
            </c:multiLvlStrRef>
          </c:cat>
          <c:val>
            <c:numRef>
              <c:f>'Charts 11.19.13'!$B$82:$G$82</c:f>
              <c:numCache>
                <c:formatCode>0.0%</c:formatCode>
                <c:ptCount val="6"/>
                <c:pt idx="0">
                  <c:v>0.75083612040133751</c:v>
                </c:pt>
                <c:pt idx="1">
                  <c:v>0.57692307692308442</c:v>
                </c:pt>
                <c:pt idx="2">
                  <c:v>0.67619047619048867</c:v>
                </c:pt>
                <c:pt idx="3">
                  <c:v>0.49047619047619051</c:v>
                </c:pt>
                <c:pt idx="4">
                  <c:v>0.76210826210826565</c:v>
                </c:pt>
                <c:pt idx="5">
                  <c:v>0.60826210826210758</c:v>
                </c:pt>
              </c:numCache>
            </c:numRef>
          </c:val>
        </c:ser>
        <c:ser>
          <c:idx val="1"/>
          <c:order val="1"/>
          <c:tx>
            <c:strRef>
              <c:f>'Charts 11.19.13'!$A$83</c:f>
              <c:strCache>
                <c:ptCount val="1"/>
                <c:pt idx="0">
                  <c:v>Level 2</c:v>
                </c:pt>
              </c:strCache>
            </c:strRef>
          </c:tx>
          <c:cat>
            <c:multiLvlStrRef>
              <c:f>'Charts 11.19.13'!$B$80:$G$81</c:f>
              <c:multiLvlStrCache>
                <c:ptCount val="6"/>
                <c:lvl>
                  <c:pt idx="0">
                    <c:v>1-year retention</c:v>
                  </c:pt>
                  <c:pt idx="1">
                    <c:v>2-year retention</c:v>
                  </c:pt>
                  <c:pt idx="2">
                    <c:v>1-year retention</c:v>
                  </c:pt>
                  <c:pt idx="3">
                    <c:v>2-year retention</c:v>
                  </c:pt>
                  <c:pt idx="4">
                    <c:v>1-year retention</c:v>
                  </c:pt>
                  <c:pt idx="5">
                    <c:v>2-year retention</c:v>
                  </c:pt>
                </c:lvl>
                <c:lvl>
                  <c:pt idx="0">
                    <c:v>Elementary</c:v>
                  </c:pt>
                  <c:pt idx="2">
                    <c:v>Middle</c:v>
                  </c:pt>
                  <c:pt idx="4">
                    <c:v>Secondary</c:v>
                  </c:pt>
                </c:lvl>
              </c:multiLvlStrCache>
            </c:multiLvlStrRef>
          </c:cat>
          <c:val>
            <c:numRef>
              <c:f>'Charts 11.19.13'!$B$83:$G$83</c:f>
              <c:numCache>
                <c:formatCode>0.0%</c:formatCode>
                <c:ptCount val="6"/>
                <c:pt idx="0">
                  <c:v>0.72537659327925841</c:v>
                </c:pt>
                <c:pt idx="1">
                  <c:v>0.58864426419466953</c:v>
                </c:pt>
                <c:pt idx="2">
                  <c:v>0.74368932038835422</c:v>
                </c:pt>
                <c:pt idx="3">
                  <c:v>0.58640776699028607</c:v>
                </c:pt>
                <c:pt idx="4">
                  <c:v>0.73049645390070961</c:v>
                </c:pt>
                <c:pt idx="5">
                  <c:v>0.57978723404255361</c:v>
                </c:pt>
              </c:numCache>
            </c:numRef>
          </c:val>
        </c:ser>
        <c:ser>
          <c:idx val="2"/>
          <c:order val="2"/>
          <c:tx>
            <c:strRef>
              <c:f>'Charts 11.19.13'!$A$84</c:f>
              <c:strCache>
                <c:ptCount val="1"/>
                <c:pt idx="0">
                  <c:v>Level 3</c:v>
                </c:pt>
              </c:strCache>
            </c:strRef>
          </c:tx>
          <c:cat>
            <c:multiLvlStrRef>
              <c:f>'Charts 11.19.13'!$B$80:$G$81</c:f>
              <c:multiLvlStrCache>
                <c:ptCount val="6"/>
                <c:lvl>
                  <c:pt idx="0">
                    <c:v>1-year retention</c:v>
                  </c:pt>
                  <c:pt idx="1">
                    <c:v>2-year retention</c:v>
                  </c:pt>
                  <c:pt idx="2">
                    <c:v>1-year retention</c:v>
                  </c:pt>
                  <c:pt idx="3">
                    <c:v>2-year retention</c:v>
                  </c:pt>
                  <c:pt idx="4">
                    <c:v>1-year retention</c:v>
                  </c:pt>
                  <c:pt idx="5">
                    <c:v>2-year retention</c:v>
                  </c:pt>
                </c:lvl>
                <c:lvl>
                  <c:pt idx="0">
                    <c:v>Elementary</c:v>
                  </c:pt>
                  <c:pt idx="2">
                    <c:v>Middle</c:v>
                  </c:pt>
                  <c:pt idx="4">
                    <c:v>Secondary</c:v>
                  </c:pt>
                </c:lvl>
              </c:multiLvlStrCache>
            </c:multiLvlStrRef>
          </c:cat>
          <c:val>
            <c:numRef>
              <c:f>'Charts 11.19.13'!$B$84:$G$84</c:f>
              <c:numCache>
                <c:formatCode>0.0%</c:formatCode>
                <c:ptCount val="6"/>
                <c:pt idx="0">
                  <c:v>0.69955156950672648</c:v>
                </c:pt>
                <c:pt idx="1">
                  <c:v>0.52466367713004491</c:v>
                </c:pt>
                <c:pt idx="2">
                  <c:v>0.70552147239263863</c:v>
                </c:pt>
                <c:pt idx="3">
                  <c:v>0.47852760736196637</c:v>
                </c:pt>
                <c:pt idx="4">
                  <c:v>0.6525735294117645</c:v>
                </c:pt>
                <c:pt idx="5">
                  <c:v>0.51654411764705888</c:v>
                </c:pt>
              </c:numCache>
            </c:numRef>
          </c:val>
        </c:ser>
        <c:ser>
          <c:idx val="3"/>
          <c:order val="3"/>
          <c:tx>
            <c:strRef>
              <c:f>'Charts 11.19.13'!$A$85</c:f>
              <c:strCache>
                <c:ptCount val="1"/>
                <c:pt idx="0">
                  <c:v>Level 4</c:v>
                </c:pt>
              </c:strCache>
            </c:strRef>
          </c:tx>
          <c:cat>
            <c:multiLvlStrRef>
              <c:f>'Charts 11.19.13'!$B$80:$G$81</c:f>
              <c:multiLvlStrCache>
                <c:ptCount val="6"/>
                <c:lvl>
                  <c:pt idx="0">
                    <c:v>1-year retention</c:v>
                  </c:pt>
                  <c:pt idx="1">
                    <c:v>2-year retention</c:v>
                  </c:pt>
                  <c:pt idx="2">
                    <c:v>1-year retention</c:v>
                  </c:pt>
                  <c:pt idx="3">
                    <c:v>2-year retention</c:v>
                  </c:pt>
                  <c:pt idx="4">
                    <c:v>1-year retention</c:v>
                  </c:pt>
                  <c:pt idx="5">
                    <c:v>2-year retention</c:v>
                  </c:pt>
                </c:lvl>
                <c:lvl>
                  <c:pt idx="0">
                    <c:v>Elementary</c:v>
                  </c:pt>
                  <c:pt idx="2">
                    <c:v>Middle</c:v>
                  </c:pt>
                  <c:pt idx="4">
                    <c:v>Secondary</c:v>
                  </c:pt>
                </c:lvl>
              </c:multiLvlStrCache>
            </c:multiLvlStrRef>
          </c:cat>
          <c:val>
            <c:numRef>
              <c:f>'Charts 11.19.13'!$B$85:$G$85</c:f>
              <c:numCache>
                <c:formatCode>0.0%</c:formatCode>
                <c:ptCount val="6"/>
                <c:pt idx="0">
                  <c:v>0.61904761904761962</c:v>
                </c:pt>
                <c:pt idx="1">
                  <c:v>0.49206349206349231</c:v>
                </c:pt>
                <c:pt idx="2">
                  <c:v>0.71875000000000422</c:v>
                </c:pt>
                <c:pt idx="3">
                  <c:v>0.43750000000000205</c:v>
                </c:pt>
                <c:pt idx="4">
                  <c:v>0.51546391752577325</c:v>
                </c:pt>
                <c:pt idx="5">
                  <c:v>0.36082474226804589</c:v>
                </c:pt>
              </c:numCache>
            </c:numRef>
          </c:val>
        </c:ser>
        <c:dLbls/>
        <c:axId val="103999360"/>
        <c:axId val="104000896"/>
      </c:barChart>
      <c:catAx>
        <c:axId val="103999360"/>
        <c:scaling>
          <c:orientation val="minMax"/>
        </c:scaling>
        <c:axPos val="b"/>
        <c:numFmt formatCode="General" sourceLinked="0"/>
        <c:tickLblPos val="nextTo"/>
        <c:crossAx val="104000896"/>
        <c:crosses val="autoZero"/>
        <c:auto val="1"/>
        <c:lblAlgn val="ctr"/>
        <c:lblOffset val="100"/>
      </c:catAx>
      <c:valAx>
        <c:axId val="104000896"/>
        <c:scaling>
          <c:orientation val="minMax"/>
        </c:scaling>
        <c:axPos val="l"/>
        <c:majorGridlines>
          <c:spPr>
            <a:ln>
              <a:solidFill>
                <a:schemeClr val="bg1">
                  <a:lumMod val="85000"/>
                </a:schemeClr>
              </a:solidFill>
            </a:ln>
          </c:spPr>
        </c:majorGridlines>
        <c:numFmt formatCode="0%" sourceLinked="0"/>
        <c:tickLblPos val="nextTo"/>
        <c:crossAx val="103999360"/>
        <c:crosses val="autoZero"/>
        <c:crossBetween val="between"/>
      </c:valAx>
    </c:plotArea>
    <c:legend>
      <c:legendPos val="t"/>
    </c:legend>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US"/>
  <c:style val="3"/>
  <c:chart>
    <c:plotArea>
      <c:layout/>
      <c:barChart>
        <c:barDir val="col"/>
        <c:grouping val="clustered"/>
        <c:ser>
          <c:idx val="0"/>
          <c:order val="0"/>
          <c:tx>
            <c:strRef>
              <c:f>'Charts 11.19.13'!$B$116</c:f>
              <c:strCache>
                <c:ptCount val="1"/>
                <c:pt idx="0">
                  <c:v>Low Growth (0 - 39)</c:v>
                </c:pt>
              </c:strCache>
            </c:strRef>
          </c:tx>
          <c:cat>
            <c:strRef>
              <c:f>'Charts 11.19.13'!$A$117:$A$118</c:f>
              <c:strCache>
                <c:ptCount val="2"/>
                <c:pt idx="0">
                  <c:v>New Teachers</c:v>
                </c:pt>
                <c:pt idx="1">
                  <c:v>Teachers with More than 1 Year of Experience</c:v>
                </c:pt>
              </c:strCache>
            </c:strRef>
          </c:cat>
          <c:val>
            <c:numRef>
              <c:f>'Charts 11.19.13'!$B$117:$B$118</c:f>
              <c:numCache>
                <c:formatCode>0.0%</c:formatCode>
                <c:ptCount val="2"/>
                <c:pt idx="0">
                  <c:v>0.83892617449664431</c:v>
                </c:pt>
                <c:pt idx="1">
                  <c:v>0.90891372141372151</c:v>
                </c:pt>
              </c:numCache>
            </c:numRef>
          </c:val>
        </c:ser>
        <c:ser>
          <c:idx val="1"/>
          <c:order val="1"/>
          <c:tx>
            <c:strRef>
              <c:f>'Charts 11.19.13'!$C$116</c:f>
              <c:strCache>
                <c:ptCount val="1"/>
                <c:pt idx="0">
                  <c:v>Moderate Growth (40 - 60)</c:v>
                </c:pt>
              </c:strCache>
            </c:strRef>
          </c:tx>
          <c:cat>
            <c:strRef>
              <c:f>'Charts 11.19.13'!$A$117:$A$118</c:f>
              <c:strCache>
                <c:ptCount val="2"/>
                <c:pt idx="0">
                  <c:v>New Teachers</c:v>
                </c:pt>
                <c:pt idx="1">
                  <c:v>Teachers with More than 1 Year of Experience</c:v>
                </c:pt>
              </c:strCache>
            </c:strRef>
          </c:cat>
          <c:val>
            <c:numRef>
              <c:f>'Charts 11.19.13'!$C$117:$C$118</c:f>
              <c:numCache>
                <c:formatCode>0.0%</c:formatCode>
                <c:ptCount val="2"/>
                <c:pt idx="0">
                  <c:v>0.85989010989010994</c:v>
                </c:pt>
                <c:pt idx="1">
                  <c:v>0.92342954159592527</c:v>
                </c:pt>
              </c:numCache>
            </c:numRef>
          </c:val>
        </c:ser>
        <c:ser>
          <c:idx val="2"/>
          <c:order val="2"/>
          <c:tx>
            <c:strRef>
              <c:f>'Charts 11.19.13'!$D$116</c:f>
              <c:strCache>
                <c:ptCount val="1"/>
                <c:pt idx="0">
                  <c:v>High Growth (61 - 99)</c:v>
                </c:pt>
              </c:strCache>
            </c:strRef>
          </c:tx>
          <c:cat>
            <c:strRef>
              <c:f>'Charts 11.19.13'!$A$117:$A$118</c:f>
              <c:strCache>
                <c:ptCount val="2"/>
                <c:pt idx="0">
                  <c:v>New Teachers</c:v>
                </c:pt>
                <c:pt idx="1">
                  <c:v>Teachers with More than 1 Year of Experience</c:v>
                </c:pt>
              </c:strCache>
            </c:strRef>
          </c:cat>
          <c:val>
            <c:numRef>
              <c:f>'Charts 11.19.13'!$D$117:$D$118</c:f>
              <c:numCache>
                <c:formatCode>0.0%</c:formatCode>
                <c:ptCount val="2"/>
                <c:pt idx="0">
                  <c:v>0.87309644670051223</c:v>
                </c:pt>
                <c:pt idx="1">
                  <c:v>0.92605938310752378</c:v>
                </c:pt>
              </c:numCache>
            </c:numRef>
          </c:val>
        </c:ser>
        <c:dLbls/>
        <c:axId val="105076224"/>
        <c:axId val="105077760"/>
      </c:barChart>
      <c:catAx>
        <c:axId val="105076224"/>
        <c:scaling>
          <c:orientation val="minMax"/>
        </c:scaling>
        <c:axPos val="b"/>
        <c:numFmt formatCode="General" sourceLinked="0"/>
        <c:tickLblPos val="nextTo"/>
        <c:crossAx val="105077760"/>
        <c:crosses val="autoZero"/>
        <c:auto val="1"/>
        <c:lblAlgn val="ctr"/>
        <c:lblOffset val="100"/>
      </c:catAx>
      <c:valAx>
        <c:axId val="105077760"/>
        <c:scaling>
          <c:orientation val="minMax"/>
          <c:max val="1"/>
          <c:min val="0"/>
        </c:scaling>
        <c:axPos val="l"/>
        <c:majorGridlines>
          <c:spPr>
            <a:ln>
              <a:solidFill>
                <a:schemeClr val="bg1">
                  <a:lumMod val="85000"/>
                </a:schemeClr>
              </a:solidFill>
            </a:ln>
          </c:spPr>
        </c:majorGridlines>
        <c:numFmt formatCode="0%" sourceLinked="0"/>
        <c:tickLblPos val="nextTo"/>
        <c:crossAx val="105076224"/>
        <c:crosses val="autoZero"/>
        <c:crossBetween val="between"/>
      </c:valAx>
    </c:plotArea>
    <c:legend>
      <c:legendPos val="t"/>
    </c:legend>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9.630259285771095E-2"/>
          <c:y val="0.13104444346691446"/>
          <c:w val="0.87591962936451673"/>
          <c:h val="0.72876414162198977"/>
        </c:manualLayout>
      </c:layout>
      <c:barChart>
        <c:barDir val="col"/>
        <c:grouping val="clustered"/>
        <c:ser>
          <c:idx val="0"/>
          <c:order val="0"/>
          <c:tx>
            <c:strRef>
              <c:f>'Charts 11.19.13'!$B$121</c:f>
              <c:strCache>
                <c:ptCount val="1"/>
                <c:pt idx="0">
                  <c:v>Low Growth (0 - 39)</c:v>
                </c:pt>
              </c:strCache>
            </c:strRef>
          </c:tx>
          <c:cat>
            <c:strRef>
              <c:f>'Charts 11.19.13'!$A$122:$A$123</c:f>
              <c:strCache>
                <c:ptCount val="2"/>
                <c:pt idx="0">
                  <c:v>New Teachers</c:v>
                </c:pt>
                <c:pt idx="1">
                  <c:v>Teachers with More than 1 Year of Experience</c:v>
                </c:pt>
              </c:strCache>
            </c:strRef>
          </c:cat>
          <c:val>
            <c:numRef>
              <c:f>'Charts 11.19.13'!$B$122:$B$123</c:f>
              <c:numCache>
                <c:formatCode>0%</c:formatCode>
                <c:ptCount val="2"/>
                <c:pt idx="0">
                  <c:v>0.85953177257525082</c:v>
                </c:pt>
                <c:pt idx="1">
                  <c:v>0.90845757280200556</c:v>
                </c:pt>
              </c:numCache>
            </c:numRef>
          </c:val>
        </c:ser>
        <c:ser>
          <c:idx val="1"/>
          <c:order val="1"/>
          <c:tx>
            <c:strRef>
              <c:f>'Charts 11.19.13'!$C$121</c:f>
              <c:strCache>
                <c:ptCount val="1"/>
                <c:pt idx="0">
                  <c:v>Moderate Growth (40 - 60)</c:v>
                </c:pt>
              </c:strCache>
            </c:strRef>
          </c:tx>
          <c:cat>
            <c:strRef>
              <c:f>'Charts 11.19.13'!$A$122:$A$123</c:f>
              <c:strCache>
                <c:ptCount val="2"/>
                <c:pt idx="0">
                  <c:v>New Teachers</c:v>
                </c:pt>
                <c:pt idx="1">
                  <c:v>Teachers with More than 1 Year of Experience</c:v>
                </c:pt>
              </c:strCache>
            </c:strRef>
          </c:cat>
          <c:val>
            <c:numRef>
              <c:f>'Charts 11.19.13'!$C$122:$C$123</c:f>
              <c:numCache>
                <c:formatCode>0%</c:formatCode>
                <c:ptCount val="2"/>
                <c:pt idx="0">
                  <c:v>0.87903225806452079</c:v>
                </c:pt>
                <c:pt idx="1">
                  <c:v>0.92710867802108765</c:v>
                </c:pt>
              </c:numCache>
            </c:numRef>
          </c:val>
        </c:ser>
        <c:ser>
          <c:idx val="2"/>
          <c:order val="2"/>
          <c:tx>
            <c:strRef>
              <c:f>'Charts 11.19.13'!$D$121</c:f>
              <c:strCache>
                <c:ptCount val="1"/>
                <c:pt idx="0">
                  <c:v>High Growth (61 - 99)</c:v>
                </c:pt>
              </c:strCache>
            </c:strRef>
          </c:tx>
          <c:cat>
            <c:strRef>
              <c:f>'Charts 11.19.13'!$A$122:$A$123</c:f>
              <c:strCache>
                <c:ptCount val="2"/>
                <c:pt idx="0">
                  <c:v>New Teachers</c:v>
                </c:pt>
                <c:pt idx="1">
                  <c:v>Teachers with More than 1 Year of Experience</c:v>
                </c:pt>
              </c:strCache>
            </c:strRef>
          </c:cat>
          <c:val>
            <c:numRef>
              <c:f>'Charts 11.19.13'!$D$122:$D$123</c:f>
              <c:numCache>
                <c:formatCode>0%</c:formatCode>
                <c:ptCount val="2"/>
                <c:pt idx="0">
                  <c:v>0.89058524173027531</c:v>
                </c:pt>
                <c:pt idx="1">
                  <c:v>0.92924843145107983</c:v>
                </c:pt>
              </c:numCache>
            </c:numRef>
          </c:val>
        </c:ser>
        <c:dLbls/>
        <c:axId val="105469056"/>
        <c:axId val="105470592"/>
      </c:barChart>
      <c:catAx>
        <c:axId val="105469056"/>
        <c:scaling>
          <c:orientation val="minMax"/>
        </c:scaling>
        <c:axPos val="b"/>
        <c:numFmt formatCode="General" sourceLinked="0"/>
        <c:tickLblPos val="nextTo"/>
        <c:crossAx val="105470592"/>
        <c:crosses val="autoZero"/>
        <c:auto val="1"/>
        <c:lblAlgn val="ctr"/>
        <c:lblOffset val="100"/>
      </c:catAx>
      <c:valAx>
        <c:axId val="105470592"/>
        <c:scaling>
          <c:orientation val="minMax"/>
          <c:max val="1"/>
          <c:min val="0"/>
        </c:scaling>
        <c:axPos val="l"/>
        <c:majorGridlines>
          <c:spPr>
            <a:ln>
              <a:solidFill>
                <a:schemeClr val="bg1">
                  <a:lumMod val="85000"/>
                </a:schemeClr>
              </a:solidFill>
            </a:ln>
          </c:spPr>
        </c:majorGridlines>
        <c:numFmt formatCode="0%" sourceLinked="1"/>
        <c:tickLblPos val="nextTo"/>
        <c:crossAx val="105469056"/>
        <c:crosses val="autoZero"/>
        <c:crossBetween val="between"/>
      </c:valAx>
    </c:plotArea>
    <c:legend>
      <c:legendPos val="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8.3499562554681814E-2"/>
          <c:y val="0.13104444346691452"/>
          <c:w val="0.8887226596675416"/>
          <c:h val="0.72243284336812263"/>
        </c:manualLayout>
      </c:layout>
      <c:barChart>
        <c:barDir val="col"/>
        <c:grouping val="clustered"/>
        <c:ser>
          <c:idx val="0"/>
          <c:order val="0"/>
          <c:tx>
            <c:strRef>
              <c:f>'12.2.13 Analysis'!$K$3</c:f>
              <c:strCache>
                <c:ptCount val="1"/>
                <c:pt idx="0">
                  <c:v>Teacher</c:v>
                </c:pt>
              </c:strCache>
            </c:strRef>
          </c:tx>
          <c:cat>
            <c:strRef>
              <c:f>'12.2.13 Analysis'!$J$4:$J$10</c:f>
              <c:strCache>
                <c:ptCount val="7"/>
                <c:pt idx="0">
                  <c:v>Less than 1 Year</c:v>
                </c:pt>
                <c:pt idx="1">
                  <c:v>1 -2 Years</c:v>
                </c:pt>
                <c:pt idx="2">
                  <c:v>3 - 5 Years</c:v>
                </c:pt>
                <c:pt idx="3">
                  <c:v>6 - 10 Years</c:v>
                </c:pt>
                <c:pt idx="4">
                  <c:v>11 - 20 Years</c:v>
                </c:pt>
                <c:pt idx="5">
                  <c:v>21 - 30 Years</c:v>
                </c:pt>
                <c:pt idx="6">
                  <c:v>More than 30 Years</c:v>
                </c:pt>
              </c:strCache>
            </c:strRef>
          </c:cat>
          <c:val>
            <c:numRef>
              <c:f>'12.2.13 Analysis'!$K$4:$K$10</c:f>
              <c:numCache>
                <c:formatCode>0%</c:formatCode>
                <c:ptCount val="7"/>
                <c:pt idx="0">
                  <c:v>9.8344482735320066E-2</c:v>
                </c:pt>
                <c:pt idx="1">
                  <c:v>0.12960335157780944</c:v>
                </c:pt>
                <c:pt idx="2">
                  <c:v>0.16017298466112576</c:v>
                </c:pt>
                <c:pt idx="3">
                  <c:v>0.22329887154537592</c:v>
                </c:pt>
                <c:pt idx="4">
                  <c:v>0.2817217379552695</c:v>
                </c:pt>
                <c:pt idx="5">
                  <c:v>8.1964997634975334E-2</c:v>
                </c:pt>
                <c:pt idx="6">
                  <c:v>2.4893573890127751E-2</c:v>
                </c:pt>
              </c:numCache>
            </c:numRef>
          </c:val>
        </c:ser>
        <c:ser>
          <c:idx val="1"/>
          <c:order val="1"/>
          <c:tx>
            <c:strRef>
              <c:f>'12.2.13 Analysis'!$L$3</c:f>
              <c:strCache>
                <c:ptCount val="1"/>
                <c:pt idx="0">
                  <c:v>Principal</c:v>
                </c:pt>
              </c:strCache>
            </c:strRef>
          </c:tx>
          <c:cat>
            <c:strRef>
              <c:f>'12.2.13 Analysis'!$J$4:$J$10</c:f>
              <c:strCache>
                <c:ptCount val="7"/>
                <c:pt idx="0">
                  <c:v>Less than 1 Year</c:v>
                </c:pt>
                <c:pt idx="1">
                  <c:v>1 -2 Years</c:v>
                </c:pt>
                <c:pt idx="2">
                  <c:v>3 - 5 Years</c:v>
                </c:pt>
                <c:pt idx="3">
                  <c:v>6 - 10 Years</c:v>
                </c:pt>
                <c:pt idx="4">
                  <c:v>11 - 20 Years</c:v>
                </c:pt>
                <c:pt idx="5">
                  <c:v>21 - 30 Years</c:v>
                </c:pt>
                <c:pt idx="6">
                  <c:v>More than 30 Years</c:v>
                </c:pt>
              </c:strCache>
            </c:strRef>
          </c:cat>
          <c:val>
            <c:numRef>
              <c:f>'12.2.13 Analysis'!$L$4:$L$10</c:f>
              <c:numCache>
                <c:formatCode>0%</c:formatCode>
                <c:ptCount val="7"/>
                <c:pt idx="0">
                  <c:v>0.10144181256436578</c:v>
                </c:pt>
                <c:pt idx="1">
                  <c:v>0.17507723995880536</c:v>
                </c:pt>
                <c:pt idx="2">
                  <c:v>0.15242018537590282</c:v>
                </c:pt>
                <c:pt idx="3">
                  <c:v>0.18537590113285274</c:v>
                </c:pt>
                <c:pt idx="4">
                  <c:v>0.23738414006179323</c:v>
                </c:pt>
                <c:pt idx="5">
                  <c:v>9.6292481977342956E-2</c:v>
                </c:pt>
                <c:pt idx="6">
                  <c:v>5.2008238928939805E-2</c:v>
                </c:pt>
              </c:numCache>
            </c:numRef>
          </c:val>
        </c:ser>
        <c:ser>
          <c:idx val="2"/>
          <c:order val="2"/>
          <c:tx>
            <c:strRef>
              <c:f>'12.2.13 Analysis'!$M$3</c:f>
              <c:strCache>
                <c:ptCount val="1"/>
                <c:pt idx="0">
                  <c:v>Superintendent</c:v>
                </c:pt>
              </c:strCache>
            </c:strRef>
          </c:tx>
          <c:cat>
            <c:strRef>
              <c:f>'12.2.13 Analysis'!$J$4:$J$10</c:f>
              <c:strCache>
                <c:ptCount val="7"/>
                <c:pt idx="0">
                  <c:v>Less than 1 Year</c:v>
                </c:pt>
                <c:pt idx="1">
                  <c:v>1 -2 Years</c:v>
                </c:pt>
                <c:pt idx="2">
                  <c:v>3 - 5 Years</c:v>
                </c:pt>
                <c:pt idx="3">
                  <c:v>6 - 10 Years</c:v>
                </c:pt>
                <c:pt idx="4">
                  <c:v>11 - 20 Years</c:v>
                </c:pt>
                <c:pt idx="5">
                  <c:v>21 - 30 Years</c:v>
                </c:pt>
                <c:pt idx="6">
                  <c:v>More than 30 Years</c:v>
                </c:pt>
              </c:strCache>
            </c:strRef>
          </c:cat>
          <c:val>
            <c:numRef>
              <c:f>'12.2.13 Analysis'!$M$4:$M$10</c:f>
              <c:numCache>
                <c:formatCode>0%</c:formatCode>
                <c:ptCount val="7"/>
                <c:pt idx="0">
                  <c:v>0.1393939393939394</c:v>
                </c:pt>
                <c:pt idx="1">
                  <c:v>0.21212121212121221</c:v>
                </c:pt>
                <c:pt idx="2">
                  <c:v>0.20303030303030431</c:v>
                </c:pt>
                <c:pt idx="3">
                  <c:v>0.2</c:v>
                </c:pt>
                <c:pt idx="4">
                  <c:v>0.14545454545454545</c:v>
                </c:pt>
                <c:pt idx="5">
                  <c:v>4.5454545454545463E-2</c:v>
                </c:pt>
                <c:pt idx="6">
                  <c:v>5.4545454545454515E-2</c:v>
                </c:pt>
              </c:numCache>
            </c:numRef>
          </c:val>
        </c:ser>
        <c:dLbls/>
        <c:axId val="101332096"/>
        <c:axId val="101333632"/>
      </c:barChart>
      <c:catAx>
        <c:axId val="101332096"/>
        <c:scaling>
          <c:orientation val="minMax"/>
        </c:scaling>
        <c:axPos val="b"/>
        <c:numFmt formatCode="General" sourceLinked="0"/>
        <c:tickLblPos val="nextTo"/>
        <c:crossAx val="101333632"/>
        <c:crosses val="autoZero"/>
        <c:auto val="1"/>
        <c:lblAlgn val="ctr"/>
        <c:lblOffset val="100"/>
      </c:catAx>
      <c:valAx>
        <c:axId val="101333632"/>
        <c:scaling>
          <c:orientation val="minMax"/>
        </c:scaling>
        <c:axPos val="l"/>
        <c:majorGridlines>
          <c:spPr>
            <a:ln>
              <a:solidFill>
                <a:schemeClr val="bg1">
                  <a:lumMod val="85000"/>
                </a:schemeClr>
              </a:solidFill>
            </a:ln>
          </c:spPr>
        </c:majorGridlines>
        <c:numFmt formatCode="0%" sourceLinked="1"/>
        <c:tickLblPos val="nextTo"/>
        <c:crossAx val="101332096"/>
        <c:crosses val="autoZero"/>
        <c:crossBetween val="between"/>
      </c:valAx>
    </c:plotArea>
    <c:legend>
      <c:legendPos val="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1"/>
          <c:order val="0"/>
          <c:tx>
            <c:strRef>
              <c:f>Sheet1!$C$1</c:f>
              <c:strCache>
                <c:ptCount val="1"/>
                <c:pt idx="0">
                  <c:v>Waivers Issued</c:v>
                </c:pt>
              </c:strCache>
            </c:strRef>
          </c:tx>
          <c:spPr>
            <a:solidFill>
              <a:schemeClr val="accent1"/>
            </a:solidFill>
          </c:spPr>
          <c:cat>
            <c:strRef>
              <c:f>Sheet1!$A$3:$A$8</c:f>
              <c:strCache>
                <c:ptCount val="6"/>
                <c:pt idx="0">
                  <c:v>2007-08</c:v>
                </c:pt>
                <c:pt idx="1">
                  <c:v>2008-09</c:v>
                </c:pt>
                <c:pt idx="2">
                  <c:v>2009-10</c:v>
                </c:pt>
                <c:pt idx="3">
                  <c:v>2010-11</c:v>
                </c:pt>
                <c:pt idx="4">
                  <c:v>2011-12</c:v>
                </c:pt>
                <c:pt idx="5">
                  <c:v>2012-13</c:v>
                </c:pt>
              </c:strCache>
            </c:strRef>
          </c:cat>
          <c:val>
            <c:numRef>
              <c:f>Sheet1!$C$3:$C$8</c:f>
              <c:numCache>
                <c:formatCode>General</c:formatCode>
                <c:ptCount val="6"/>
                <c:pt idx="0">
                  <c:v>3145</c:v>
                </c:pt>
                <c:pt idx="1">
                  <c:v>2578</c:v>
                </c:pt>
                <c:pt idx="2">
                  <c:v>2050</c:v>
                </c:pt>
                <c:pt idx="3">
                  <c:v>1788</c:v>
                </c:pt>
                <c:pt idx="4">
                  <c:v>1533</c:v>
                </c:pt>
                <c:pt idx="5">
                  <c:v>629</c:v>
                </c:pt>
              </c:numCache>
            </c:numRef>
          </c:val>
        </c:ser>
        <c:dLbls/>
        <c:axId val="101374208"/>
        <c:axId val="101453824"/>
      </c:barChart>
      <c:catAx>
        <c:axId val="101374208"/>
        <c:scaling>
          <c:orientation val="minMax"/>
        </c:scaling>
        <c:axPos val="b"/>
        <c:numFmt formatCode="General" sourceLinked="1"/>
        <c:tickLblPos val="nextTo"/>
        <c:crossAx val="101453824"/>
        <c:crosses val="autoZero"/>
        <c:auto val="1"/>
        <c:lblAlgn val="ctr"/>
        <c:lblOffset val="100"/>
      </c:catAx>
      <c:valAx>
        <c:axId val="101453824"/>
        <c:scaling>
          <c:orientation val="minMax"/>
        </c:scaling>
        <c:axPos val="l"/>
        <c:majorGridlines>
          <c:spPr>
            <a:ln>
              <a:solidFill>
                <a:schemeClr val="bg1">
                  <a:lumMod val="85000"/>
                </a:schemeClr>
              </a:solidFill>
            </a:ln>
          </c:spPr>
        </c:majorGridlines>
        <c:numFmt formatCode="#,##0" sourceLinked="0"/>
        <c:tickLblPos val="nextTo"/>
        <c:crossAx val="101374208"/>
        <c:crosses val="autoZero"/>
        <c:crossBetween val="between"/>
      </c:valAx>
      <c:spPr>
        <a:ln>
          <a:noFill/>
        </a:ln>
      </c:spPr>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3"/>
  <c:chart>
    <c:autoTitleDeleted val="1"/>
    <c:plotArea>
      <c:layout>
        <c:manualLayout>
          <c:layoutTarget val="inner"/>
          <c:xMode val="edge"/>
          <c:yMode val="edge"/>
          <c:x val="9.4356902384652608E-2"/>
          <c:y val="6.2896501578278113E-2"/>
          <c:w val="0.88805808188703828"/>
          <c:h val="0.71856185536911865"/>
        </c:manualLayout>
      </c:layout>
      <c:barChart>
        <c:barDir val="col"/>
        <c:grouping val="clustered"/>
        <c:ser>
          <c:idx val="0"/>
          <c:order val="0"/>
          <c:tx>
            <c:strRef>
              <c:f>CompletersSummary!$B$1</c:f>
              <c:strCache>
                <c:ptCount val="1"/>
                <c:pt idx="0">
                  <c:v>2007-08</c:v>
                </c:pt>
              </c:strCache>
            </c:strRef>
          </c:tx>
          <c:cat>
            <c:strRef>
              <c:f>CompletersSummary!$A$2:$A$9</c:f>
              <c:strCache>
                <c:ptCount val="8"/>
                <c:pt idx="0">
                  <c:v>Moderate Disabilities</c:v>
                </c:pt>
                <c:pt idx="1">
                  <c:v>Severe Disabilities</c:v>
                </c:pt>
                <c:pt idx="2">
                  <c:v>English Language Arts &amp; Reading</c:v>
                </c:pt>
                <c:pt idx="3">
                  <c:v>English as a Second Language</c:v>
                </c:pt>
                <c:pt idx="4">
                  <c:v>Foreign Languages</c:v>
                </c:pt>
                <c:pt idx="5">
                  <c:v>Early Childhood</c:v>
                </c:pt>
                <c:pt idx="6">
                  <c:v>STEM</c:v>
                </c:pt>
                <c:pt idx="7">
                  <c:v>Special Education - Other</c:v>
                </c:pt>
              </c:strCache>
            </c:strRef>
          </c:cat>
          <c:val>
            <c:numRef>
              <c:f>CompletersSummary!$B$2:$B$9</c:f>
              <c:numCache>
                <c:formatCode>General</c:formatCode>
                <c:ptCount val="8"/>
                <c:pt idx="0">
                  <c:v>664</c:v>
                </c:pt>
                <c:pt idx="1">
                  <c:v>154</c:v>
                </c:pt>
                <c:pt idx="2">
                  <c:v>633</c:v>
                </c:pt>
                <c:pt idx="3">
                  <c:v>37</c:v>
                </c:pt>
                <c:pt idx="4">
                  <c:v>87</c:v>
                </c:pt>
                <c:pt idx="5">
                  <c:v>340</c:v>
                </c:pt>
                <c:pt idx="6">
                  <c:v>487</c:v>
                </c:pt>
                <c:pt idx="7">
                  <c:v>251</c:v>
                </c:pt>
              </c:numCache>
            </c:numRef>
          </c:val>
        </c:ser>
        <c:ser>
          <c:idx val="1"/>
          <c:order val="1"/>
          <c:tx>
            <c:strRef>
              <c:f>CompletersSummary!$C$1</c:f>
              <c:strCache>
                <c:ptCount val="1"/>
                <c:pt idx="0">
                  <c:v>2008-09</c:v>
                </c:pt>
              </c:strCache>
            </c:strRef>
          </c:tx>
          <c:cat>
            <c:strRef>
              <c:f>CompletersSummary!$A$2:$A$9</c:f>
              <c:strCache>
                <c:ptCount val="8"/>
                <c:pt idx="0">
                  <c:v>Moderate Disabilities</c:v>
                </c:pt>
                <c:pt idx="1">
                  <c:v>Severe Disabilities</c:v>
                </c:pt>
                <c:pt idx="2">
                  <c:v>English Language Arts &amp; Reading</c:v>
                </c:pt>
                <c:pt idx="3">
                  <c:v>English as a Second Language</c:v>
                </c:pt>
                <c:pt idx="4">
                  <c:v>Foreign Languages</c:v>
                </c:pt>
                <c:pt idx="5">
                  <c:v>Early Childhood</c:v>
                </c:pt>
                <c:pt idx="6">
                  <c:v>STEM</c:v>
                </c:pt>
                <c:pt idx="7">
                  <c:v>Special Education - Other</c:v>
                </c:pt>
              </c:strCache>
            </c:strRef>
          </c:cat>
          <c:val>
            <c:numRef>
              <c:f>CompletersSummary!$C$2:$C$9</c:f>
              <c:numCache>
                <c:formatCode>General</c:formatCode>
                <c:ptCount val="8"/>
                <c:pt idx="0">
                  <c:v>708</c:v>
                </c:pt>
                <c:pt idx="1">
                  <c:v>129</c:v>
                </c:pt>
                <c:pt idx="2">
                  <c:v>606</c:v>
                </c:pt>
                <c:pt idx="3">
                  <c:v>53</c:v>
                </c:pt>
                <c:pt idx="4">
                  <c:v>88</c:v>
                </c:pt>
                <c:pt idx="5">
                  <c:v>318</c:v>
                </c:pt>
                <c:pt idx="6">
                  <c:v>504</c:v>
                </c:pt>
                <c:pt idx="7">
                  <c:v>182</c:v>
                </c:pt>
              </c:numCache>
            </c:numRef>
          </c:val>
        </c:ser>
        <c:ser>
          <c:idx val="2"/>
          <c:order val="2"/>
          <c:tx>
            <c:strRef>
              <c:f>CompletersSummary!$D$1</c:f>
              <c:strCache>
                <c:ptCount val="1"/>
                <c:pt idx="0">
                  <c:v>2009-10</c:v>
                </c:pt>
              </c:strCache>
            </c:strRef>
          </c:tx>
          <c:cat>
            <c:strRef>
              <c:f>CompletersSummary!$A$2:$A$9</c:f>
              <c:strCache>
                <c:ptCount val="8"/>
                <c:pt idx="0">
                  <c:v>Moderate Disabilities</c:v>
                </c:pt>
                <c:pt idx="1">
                  <c:v>Severe Disabilities</c:v>
                </c:pt>
                <c:pt idx="2">
                  <c:v>English Language Arts &amp; Reading</c:v>
                </c:pt>
                <c:pt idx="3">
                  <c:v>English as a Second Language</c:v>
                </c:pt>
                <c:pt idx="4">
                  <c:v>Foreign Languages</c:v>
                </c:pt>
                <c:pt idx="5">
                  <c:v>Early Childhood</c:v>
                </c:pt>
                <c:pt idx="6">
                  <c:v>STEM</c:v>
                </c:pt>
                <c:pt idx="7">
                  <c:v>Special Education - Other</c:v>
                </c:pt>
              </c:strCache>
            </c:strRef>
          </c:cat>
          <c:val>
            <c:numRef>
              <c:f>CompletersSummary!$D$2:$D$9</c:f>
              <c:numCache>
                <c:formatCode>General</c:formatCode>
                <c:ptCount val="8"/>
                <c:pt idx="0">
                  <c:v>744</c:v>
                </c:pt>
                <c:pt idx="1">
                  <c:v>111</c:v>
                </c:pt>
                <c:pt idx="2">
                  <c:v>671</c:v>
                </c:pt>
                <c:pt idx="3">
                  <c:v>37</c:v>
                </c:pt>
                <c:pt idx="4">
                  <c:v>81</c:v>
                </c:pt>
                <c:pt idx="5">
                  <c:v>362</c:v>
                </c:pt>
                <c:pt idx="6">
                  <c:v>566</c:v>
                </c:pt>
                <c:pt idx="7">
                  <c:v>239</c:v>
                </c:pt>
              </c:numCache>
            </c:numRef>
          </c:val>
        </c:ser>
        <c:ser>
          <c:idx val="3"/>
          <c:order val="3"/>
          <c:tx>
            <c:strRef>
              <c:f>CompletersSummary!$E$1</c:f>
              <c:strCache>
                <c:ptCount val="1"/>
                <c:pt idx="0">
                  <c:v>2010-11</c:v>
                </c:pt>
              </c:strCache>
            </c:strRef>
          </c:tx>
          <c:cat>
            <c:strRef>
              <c:f>CompletersSummary!$A$2:$A$9</c:f>
              <c:strCache>
                <c:ptCount val="8"/>
                <c:pt idx="0">
                  <c:v>Moderate Disabilities</c:v>
                </c:pt>
                <c:pt idx="1">
                  <c:v>Severe Disabilities</c:v>
                </c:pt>
                <c:pt idx="2">
                  <c:v>English Language Arts &amp; Reading</c:v>
                </c:pt>
                <c:pt idx="3">
                  <c:v>English as a Second Language</c:v>
                </c:pt>
                <c:pt idx="4">
                  <c:v>Foreign Languages</c:v>
                </c:pt>
                <c:pt idx="5">
                  <c:v>Early Childhood</c:v>
                </c:pt>
                <c:pt idx="6">
                  <c:v>STEM</c:v>
                </c:pt>
                <c:pt idx="7">
                  <c:v>Special Education - Other</c:v>
                </c:pt>
              </c:strCache>
            </c:strRef>
          </c:cat>
          <c:val>
            <c:numRef>
              <c:f>CompletersSummary!$E$2:$E$9</c:f>
              <c:numCache>
                <c:formatCode>General</c:formatCode>
                <c:ptCount val="8"/>
                <c:pt idx="0">
                  <c:v>817</c:v>
                </c:pt>
                <c:pt idx="1">
                  <c:v>160</c:v>
                </c:pt>
                <c:pt idx="2">
                  <c:v>723</c:v>
                </c:pt>
                <c:pt idx="3">
                  <c:v>68</c:v>
                </c:pt>
                <c:pt idx="4">
                  <c:v>81</c:v>
                </c:pt>
                <c:pt idx="5">
                  <c:v>347</c:v>
                </c:pt>
                <c:pt idx="6">
                  <c:v>621</c:v>
                </c:pt>
                <c:pt idx="7">
                  <c:v>237</c:v>
                </c:pt>
              </c:numCache>
            </c:numRef>
          </c:val>
        </c:ser>
        <c:ser>
          <c:idx val="4"/>
          <c:order val="4"/>
          <c:tx>
            <c:strRef>
              <c:f>CompletersSummary!$F$1</c:f>
              <c:strCache>
                <c:ptCount val="1"/>
                <c:pt idx="0">
                  <c:v>2011-12</c:v>
                </c:pt>
              </c:strCache>
            </c:strRef>
          </c:tx>
          <c:cat>
            <c:strRef>
              <c:f>CompletersSummary!$A$2:$A$9</c:f>
              <c:strCache>
                <c:ptCount val="8"/>
                <c:pt idx="0">
                  <c:v>Moderate Disabilities</c:v>
                </c:pt>
                <c:pt idx="1">
                  <c:v>Severe Disabilities</c:v>
                </c:pt>
                <c:pt idx="2">
                  <c:v>English Language Arts &amp; Reading</c:v>
                </c:pt>
                <c:pt idx="3">
                  <c:v>English as a Second Language</c:v>
                </c:pt>
                <c:pt idx="4">
                  <c:v>Foreign Languages</c:v>
                </c:pt>
                <c:pt idx="5">
                  <c:v>Early Childhood</c:v>
                </c:pt>
                <c:pt idx="6">
                  <c:v>STEM</c:v>
                </c:pt>
                <c:pt idx="7">
                  <c:v>Special Education - Other</c:v>
                </c:pt>
              </c:strCache>
            </c:strRef>
          </c:cat>
          <c:val>
            <c:numRef>
              <c:f>CompletersSummary!$F$2:$F$9</c:f>
              <c:numCache>
                <c:formatCode>General</c:formatCode>
                <c:ptCount val="8"/>
                <c:pt idx="0">
                  <c:v>849</c:v>
                </c:pt>
                <c:pt idx="1">
                  <c:v>145</c:v>
                </c:pt>
                <c:pt idx="2">
                  <c:v>702</c:v>
                </c:pt>
                <c:pt idx="3">
                  <c:v>109</c:v>
                </c:pt>
                <c:pt idx="4">
                  <c:v>102</c:v>
                </c:pt>
                <c:pt idx="5">
                  <c:v>432</c:v>
                </c:pt>
                <c:pt idx="6">
                  <c:v>613</c:v>
                </c:pt>
                <c:pt idx="7">
                  <c:v>284</c:v>
                </c:pt>
              </c:numCache>
            </c:numRef>
          </c:val>
        </c:ser>
        <c:dLbls/>
        <c:axId val="101508224"/>
        <c:axId val="101509760"/>
      </c:barChart>
      <c:catAx>
        <c:axId val="101508224"/>
        <c:scaling>
          <c:orientation val="minMax"/>
        </c:scaling>
        <c:axPos val="b"/>
        <c:numFmt formatCode="General" sourceLinked="1"/>
        <c:tickLblPos val="nextTo"/>
        <c:crossAx val="101509760"/>
        <c:crosses val="autoZero"/>
        <c:auto val="1"/>
        <c:lblAlgn val="ctr"/>
        <c:lblOffset val="100"/>
      </c:catAx>
      <c:valAx>
        <c:axId val="101509760"/>
        <c:scaling>
          <c:orientation val="minMax"/>
        </c:scaling>
        <c:axPos val="l"/>
        <c:majorGridlines>
          <c:spPr>
            <a:ln>
              <a:solidFill>
                <a:schemeClr val="bg1">
                  <a:lumMod val="85000"/>
                </a:schemeClr>
              </a:solidFill>
            </a:ln>
          </c:spPr>
        </c:majorGridlines>
        <c:title>
          <c:tx>
            <c:rich>
              <a:bodyPr rot="-5400000" vert="horz"/>
              <a:lstStyle/>
              <a:p>
                <a:pPr>
                  <a:defRPr b="0"/>
                </a:pPr>
                <a:r>
                  <a:rPr lang="en-US" b="0"/>
                  <a:t>Number of Program Completers</a:t>
                </a:r>
              </a:p>
            </c:rich>
          </c:tx>
        </c:title>
        <c:numFmt formatCode="#,##0" sourceLinked="0"/>
        <c:tickLblPos val="nextTo"/>
        <c:crossAx val="101508224"/>
        <c:crosses val="autoZero"/>
        <c:crossBetween val="between"/>
      </c:valAx>
    </c:plotArea>
    <c:legend>
      <c:legendPos val="r"/>
      <c:layout>
        <c:manualLayout>
          <c:xMode val="edge"/>
          <c:yMode val="edge"/>
          <c:x val="0.2173219869155949"/>
          <c:y val="1.4837817976191582E-2"/>
          <c:w val="0.63624724658246923"/>
          <c:h val="8.8758483551638193E-2"/>
        </c:manualLayout>
      </c:layout>
      <c:spPr>
        <a:solidFill>
          <a:schemeClr val="bg1"/>
        </a:solidFill>
        <a:ln>
          <a:solidFill>
            <a:schemeClr val="bg1">
              <a:lumMod val="50000"/>
            </a:schemeClr>
          </a:solidFill>
        </a:ln>
      </c:spPr>
      <c:txPr>
        <a:bodyPr/>
        <a:lstStyle/>
        <a:p>
          <a:pPr>
            <a:defRPr b="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7.8449057504175607E-2"/>
          <c:y val="8.2627311250898228E-2"/>
          <c:w val="0.89629841724330495"/>
          <c:h val="0.52021908996829258"/>
        </c:manualLayout>
      </c:layout>
      <c:barChart>
        <c:barDir val="col"/>
        <c:grouping val="clustered"/>
        <c:ser>
          <c:idx val="1"/>
          <c:order val="0"/>
          <c:tx>
            <c:strRef>
              <c:f>II_PrepProgCompleters!$H$4</c:f>
              <c:strCache>
                <c:ptCount val="1"/>
                <c:pt idx="0">
                  <c:v>Teachers of Color</c:v>
                </c:pt>
              </c:strCache>
            </c:strRef>
          </c:tx>
          <c:cat>
            <c:multiLvlStrRef>
              <c:f>II_PrepProgCompleters!$A$6:$B$9</c:f>
              <c:multiLvlStrCache>
                <c:ptCount val="4"/>
                <c:lvl>
                  <c:pt idx="0">
                    <c:v>University of Massachusetts - State University Institution</c:v>
                  </c:pt>
                  <c:pt idx="1">
                    <c:v>University of Massachusetts - UMass Institution</c:v>
                  </c:pt>
                  <c:pt idx="2">
                    <c:v>Private College or University</c:v>
                  </c:pt>
                </c:lvl>
                <c:lvl>
                  <c:pt idx="0">
                    <c:v>Higher Education Institutions</c:v>
                  </c:pt>
                  <c:pt idx="3">
                    <c:v>Non-Higher Education Organization</c:v>
                  </c:pt>
                </c:lvl>
              </c:multiLvlStrCache>
            </c:multiLvlStrRef>
          </c:cat>
          <c:val>
            <c:numRef>
              <c:f>II_PrepProgCompleters!$H$6:$H$9</c:f>
              <c:numCache>
                <c:formatCode>0.0%</c:formatCode>
                <c:ptCount val="4"/>
                <c:pt idx="0">
                  <c:v>7.0999999999999994E-2</c:v>
                </c:pt>
                <c:pt idx="1">
                  <c:v>0.15300000000000041</c:v>
                </c:pt>
                <c:pt idx="2">
                  <c:v>0.191</c:v>
                </c:pt>
                <c:pt idx="3">
                  <c:v>0.26300000000000001</c:v>
                </c:pt>
              </c:numCache>
            </c:numRef>
          </c:val>
        </c:ser>
        <c:ser>
          <c:idx val="0"/>
          <c:order val="1"/>
          <c:tx>
            <c:strRef>
              <c:f>II_PrepProgCompleters!$G$4</c:f>
              <c:strCache>
                <c:ptCount val="1"/>
                <c:pt idx="0">
                  <c:v>Male</c:v>
                </c:pt>
              </c:strCache>
            </c:strRef>
          </c:tx>
          <c:cat>
            <c:multiLvlStrRef>
              <c:f>II_PrepProgCompleters!$A$6:$B$9</c:f>
              <c:multiLvlStrCache>
                <c:ptCount val="4"/>
                <c:lvl>
                  <c:pt idx="0">
                    <c:v>University of Massachusetts - State University Institution</c:v>
                  </c:pt>
                  <c:pt idx="1">
                    <c:v>University of Massachusetts - UMass Institution</c:v>
                  </c:pt>
                  <c:pt idx="2">
                    <c:v>Private College or University</c:v>
                  </c:pt>
                </c:lvl>
                <c:lvl>
                  <c:pt idx="0">
                    <c:v>Higher Education Institutions</c:v>
                  </c:pt>
                  <c:pt idx="3">
                    <c:v>Non-Higher Education Organization</c:v>
                  </c:pt>
                </c:lvl>
              </c:multiLvlStrCache>
            </c:multiLvlStrRef>
          </c:cat>
          <c:val>
            <c:numRef>
              <c:f>II_PrepProgCompleters!$G$6:$G$9</c:f>
              <c:numCache>
                <c:formatCode>0.0%</c:formatCode>
                <c:ptCount val="4"/>
                <c:pt idx="0">
                  <c:v>0.18791451731761241</c:v>
                </c:pt>
                <c:pt idx="1">
                  <c:v>0.32295373665480737</c:v>
                </c:pt>
                <c:pt idx="2">
                  <c:v>0.16937951291151482</c:v>
                </c:pt>
                <c:pt idx="3">
                  <c:v>0.31163708086785274</c:v>
                </c:pt>
              </c:numCache>
            </c:numRef>
          </c:val>
        </c:ser>
        <c:ser>
          <c:idx val="2"/>
          <c:order val="2"/>
          <c:tx>
            <c:strRef>
              <c:f>II_PrepProgCompleters!$I$4</c:f>
              <c:strCache>
                <c:ptCount val="1"/>
                <c:pt idx="0">
                  <c:v>Completing in a Shortage Subject Area</c:v>
                </c:pt>
              </c:strCache>
            </c:strRef>
          </c:tx>
          <c:cat>
            <c:multiLvlStrRef>
              <c:f>II_PrepProgCompleters!$A$6:$B$9</c:f>
              <c:multiLvlStrCache>
                <c:ptCount val="4"/>
                <c:lvl>
                  <c:pt idx="0">
                    <c:v>University of Massachusetts - State University Institution</c:v>
                  </c:pt>
                  <c:pt idx="1">
                    <c:v>University of Massachusetts - UMass Institution</c:v>
                  </c:pt>
                  <c:pt idx="2">
                    <c:v>Private College or University</c:v>
                  </c:pt>
                </c:lvl>
                <c:lvl>
                  <c:pt idx="0">
                    <c:v>Higher Education Institutions</c:v>
                  </c:pt>
                  <c:pt idx="3">
                    <c:v>Non-Higher Education Organization</c:v>
                  </c:pt>
                </c:lvl>
              </c:multiLvlStrCache>
            </c:multiLvlStrRef>
          </c:cat>
          <c:val>
            <c:numRef>
              <c:f>II_PrepProgCompleters!$I$6:$I$9</c:f>
              <c:numCache>
                <c:formatCode>0.0%</c:formatCode>
                <c:ptCount val="4"/>
                <c:pt idx="0">
                  <c:v>0.49923195084485611</c:v>
                </c:pt>
                <c:pt idx="1">
                  <c:v>0.53293413173652648</c:v>
                </c:pt>
                <c:pt idx="2">
                  <c:v>0.53791384834460654</c:v>
                </c:pt>
                <c:pt idx="3">
                  <c:v>0.75833333333333364</c:v>
                </c:pt>
              </c:numCache>
            </c:numRef>
          </c:val>
        </c:ser>
        <c:dLbls/>
        <c:axId val="101932416"/>
        <c:axId val="101950592"/>
      </c:barChart>
      <c:catAx>
        <c:axId val="101932416"/>
        <c:scaling>
          <c:orientation val="minMax"/>
        </c:scaling>
        <c:axPos val="b"/>
        <c:numFmt formatCode="General" sourceLinked="1"/>
        <c:tickLblPos val="nextTo"/>
        <c:crossAx val="101950592"/>
        <c:crosses val="autoZero"/>
        <c:auto val="1"/>
        <c:lblAlgn val="ctr"/>
        <c:lblOffset val="100"/>
      </c:catAx>
      <c:valAx>
        <c:axId val="101950592"/>
        <c:scaling>
          <c:orientation val="minMax"/>
        </c:scaling>
        <c:axPos val="l"/>
        <c:majorGridlines>
          <c:spPr>
            <a:ln>
              <a:solidFill>
                <a:schemeClr val="bg1">
                  <a:lumMod val="85000"/>
                </a:schemeClr>
              </a:solidFill>
            </a:ln>
          </c:spPr>
        </c:majorGridlines>
        <c:numFmt formatCode="0%" sourceLinked="0"/>
        <c:tickLblPos val="nextTo"/>
        <c:crossAx val="101932416"/>
        <c:crosses val="autoZero"/>
        <c:crossBetween val="between"/>
      </c:valAx>
      <c:spPr>
        <a:ln>
          <a:solidFill>
            <a:schemeClr val="bg1">
              <a:lumMod val="50000"/>
            </a:schemeClr>
          </a:solidFill>
        </a:ln>
      </c:spPr>
    </c:plotArea>
    <c:legend>
      <c:legendPos val="t"/>
    </c:legend>
    <c:plotVisOnly val="1"/>
    <c:dispBlanksAs val="gap"/>
  </c:chart>
  <c:spPr>
    <a:ln>
      <a:solidFill>
        <a:schemeClr val="bg1">
          <a:lumMod val="50000"/>
        </a:schemeClr>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9.630259285771095E-2"/>
          <c:y val="0.13104444346691446"/>
          <c:w val="0.87591962936451673"/>
          <c:h val="0.67539881632810173"/>
        </c:manualLayout>
      </c:layout>
      <c:barChart>
        <c:barDir val="col"/>
        <c:grouping val="stacked"/>
        <c:ser>
          <c:idx val="0"/>
          <c:order val="0"/>
          <c:tx>
            <c:strRef>
              <c:f>II_PrepProgEmployment!$B$4</c:f>
              <c:strCache>
                <c:ptCount val="1"/>
                <c:pt idx="0">
                  <c:v>Employed as a Teacher</c:v>
                </c:pt>
              </c:strCache>
            </c:strRef>
          </c:tx>
          <c:cat>
            <c:strRef>
              <c:f>II_PrepProgEmployment!$A$8:$A$11</c:f>
              <c:strCache>
                <c:ptCount val="4"/>
                <c:pt idx="0">
                  <c:v>State University</c:v>
                </c:pt>
                <c:pt idx="1">
                  <c:v>University of Massachusetts Institution</c:v>
                </c:pt>
                <c:pt idx="2">
                  <c:v>Private College or University</c:v>
                </c:pt>
                <c:pt idx="3">
                  <c:v>Non-Higher Education Organization</c:v>
                </c:pt>
              </c:strCache>
            </c:strRef>
          </c:cat>
          <c:val>
            <c:numRef>
              <c:f>II_PrepProgEmployment!$B$8:$B$11</c:f>
              <c:numCache>
                <c:formatCode>0%</c:formatCode>
                <c:ptCount val="4"/>
                <c:pt idx="0">
                  <c:v>0.46637800000000246</c:v>
                </c:pt>
                <c:pt idx="1">
                  <c:v>0.56825999999999999</c:v>
                </c:pt>
                <c:pt idx="2">
                  <c:v>0.40987700000000032</c:v>
                </c:pt>
                <c:pt idx="3">
                  <c:v>0.74080200000000063</c:v>
                </c:pt>
              </c:numCache>
            </c:numRef>
          </c:val>
        </c:ser>
        <c:ser>
          <c:idx val="1"/>
          <c:order val="1"/>
          <c:tx>
            <c:strRef>
              <c:f>II_PrepProgEmployment!$C$4</c:f>
              <c:strCache>
                <c:ptCount val="1"/>
                <c:pt idx="0">
                  <c:v>Employed in a Non-Teaching Position</c:v>
                </c:pt>
              </c:strCache>
            </c:strRef>
          </c:tx>
          <c:cat>
            <c:strRef>
              <c:f>II_PrepProgEmployment!$A$8:$A$11</c:f>
              <c:strCache>
                <c:ptCount val="4"/>
                <c:pt idx="0">
                  <c:v>State University</c:v>
                </c:pt>
                <c:pt idx="1">
                  <c:v>University of Massachusetts Institution</c:v>
                </c:pt>
                <c:pt idx="2">
                  <c:v>Private College or University</c:v>
                </c:pt>
                <c:pt idx="3">
                  <c:v>Non-Higher Education Organization</c:v>
                </c:pt>
              </c:strCache>
            </c:strRef>
          </c:cat>
          <c:val>
            <c:numRef>
              <c:f>II_PrepProgEmployment!$C$8:$C$11</c:f>
              <c:numCache>
                <c:formatCode>0%</c:formatCode>
                <c:ptCount val="4"/>
                <c:pt idx="0">
                  <c:v>0.171622</c:v>
                </c:pt>
                <c:pt idx="1">
                  <c:v>9.1740000000000002E-2</c:v>
                </c:pt>
                <c:pt idx="2">
                  <c:v>0.12312300000000083</c:v>
                </c:pt>
                <c:pt idx="3">
                  <c:v>5.3198000000000023E-2</c:v>
                </c:pt>
              </c:numCache>
            </c:numRef>
          </c:val>
        </c:ser>
        <c:dLbls/>
        <c:overlap val="100"/>
        <c:axId val="101971840"/>
        <c:axId val="101973376"/>
      </c:barChart>
      <c:catAx>
        <c:axId val="101971840"/>
        <c:scaling>
          <c:orientation val="minMax"/>
        </c:scaling>
        <c:axPos val="b"/>
        <c:numFmt formatCode="General" sourceLinked="0"/>
        <c:tickLblPos val="nextTo"/>
        <c:crossAx val="101973376"/>
        <c:crosses val="autoZero"/>
        <c:auto val="1"/>
        <c:lblAlgn val="ctr"/>
        <c:lblOffset val="100"/>
      </c:catAx>
      <c:valAx>
        <c:axId val="101973376"/>
        <c:scaling>
          <c:orientation val="minMax"/>
          <c:max val="1"/>
        </c:scaling>
        <c:axPos val="l"/>
        <c:majorGridlines>
          <c:spPr>
            <a:ln>
              <a:solidFill>
                <a:schemeClr val="bg1">
                  <a:lumMod val="85000"/>
                </a:schemeClr>
              </a:solidFill>
            </a:ln>
          </c:spPr>
        </c:majorGridlines>
        <c:numFmt formatCode="0%" sourceLinked="1"/>
        <c:tickLblPos val="nextTo"/>
        <c:crossAx val="101971840"/>
        <c:crosses val="autoZero"/>
        <c:crossBetween val="between"/>
      </c:valAx>
    </c:plotArea>
    <c:legend>
      <c:legendPos val="t"/>
    </c:legend>
    <c:plotVisOnly val="1"/>
    <c:dispBlanksAs val="gap"/>
  </c:chart>
  <c:spPr>
    <a:ln>
      <a:solidFill>
        <a:schemeClr val="bg1">
          <a:lumMod val="50000"/>
        </a:schemeClr>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9.8827845382965115E-2"/>
          <c:y val="0.14221762782445491"/>
          <c:w val="0.87591962936451673"/>
          <c:h val="0.67742770642314365"/>
        </c:manualLayout>
      </c:layout>
      <c:barChart>
        <c:barDir val="col"/>
        <c:grouping val="stacked"/>
        <c:ser>
          <c:idx val="0"/>
          <c:order val="0"/>
          <c:tx>
            <c:strRef>
              <c:f>II_PrepProgEmployment!$B$4</c:f>
              <c:strCache>
                <c:ptCount val="1"/>
                <c:pt idx="0">
                  <c:v>Employed as a Teacher</c:v>
                </c:pt>
              </c:strCache>
            </c:strRef>
          </c:tx>
          <c:cat>
            <c:strRef>
              <c:f>II_PrepProgEmployment!$A$14:$A$16</c:f>
              <c:strCache>
                <c:ptCount val="3"/>
                <c:pt idx="0">
                  <c:v>Baccalaureate Program</c:v>
                </c:pt>
                <c:pt idx="1">
                  <c:v>Post-Baccalaureate Program</c:v>
                </c:pt>
                <c:pt idx="2">
                  <c:v>Post-Baccalaureate - Apprenticeship/Teacher of Record Program</c:v>
                </c:pt>
              </c:strCache>
            </c:strRef>
          </c:cat>
          <c:val>
            <c:numRef>
              <c:f>II_PrepProgEmployment!$B$14:$B$16</c:f>
              <c:numCache>
                <c:formatCode>0%</c:formatCode>
                <c:ptCount val="3"/>
                <c:pt idx="0">
                  <c:v>0.25523399999999996</c:v>
                </c:pt>
                <c:pt idx="1">
                  <c:v>0.54545399999999589</c:v>
                </c:pt>
                <c:pt idx="2">
                  <c:v>0.74131199999999997</c:v>
                </c:pt>
              </c:numCache>
            </c:numRef>
          </c:val>
        </c:ser>
        <c:ser>
          <c:idx val="1"/>
          <c:order val="1"/>
          <c:tx>
            <c:strRef>
              <c:f>II_PrepProgEmployment!$C$4</c:f>
              <c:strCache>
                <c:ptCount val="1"/>
                <c:pt idx="0">
                  <c:v>Employed in a Non-Teaching Position</c:v>
                </c:pt>
              </c:strCache>
            </c:strRef>
          </c:tx>
          <c:cat>
            <c:strRef>
              <c:f>II_PrepProgEmployment!$A$14:$A$16</c:f>
              <c:strCache>
                <c:ptCount val="3"/>
                <c:pt idx="0">
                  <c:v>Baccalaureate Program</c:v>
                </c:pt>
                <c:pt idx="1">
                  <c:v>Post-Baccalaureate Program</c:v>
                </c:pt>
                <c:pt idx="2">
                  <c:v>Post-Baccalaureate - Apprenticeship/Teacher of Record Program</c:v>
                </c:pt>
              </c:strCache>
            </c:strRef>
          </c:cat>
          <c:val>
            <c:numRef>
              <c:f>II_PrepProgEmployment!$C$14:$C$16</c:f>
              <c:numCache>
                <c:formatCode>0%</c:formatCode>
                <c:ptCount val="3"/>
                <c:pt idx="0">
                  <c:v>0.15776600000000168</c:v>
                </c:pt>
                <c:pt idx="1">
                  <c:v>0.12054599999999994</c:v>
                </c:pt>
                <c:pt idx="2">
                  <c:v>5.0688000000000101E-2</c:v>
                </c:pt>
              </c:numCache>
            </c:numRef>
          </c:val>
        </c:ser>
        <c:dLbls/>
        <c:overlap val="100"/>
        <c:axId val="102011264"/>
        <c:axId val="102012800"/>
      </c:barChart>
      <c:catAx>
        <c:axId val="102011264"/>
        <c:scaling>
          <c:orientation val="minMax"/>
        </c:scaling>
        <c:axPos val="b"/>
        <c:numFmt formatCode="General" sourceLinked="0"/>
        <c:tickLblPos val="nextTo"/>
        <c:crossAx val="102012800"/>
        <c:crosses val="autoZero"/>
        <c:auto val="1"/>
        <c:lblAlgn val="ctr"/>
        <c:lblOffset val="100"/>
      </c:catAx>
      <c:valAx>
        <c:axId val="102012800"/>
        <c:scaling>
          <c:orientation val="minMax"/>
          <c:max val="1"/>
        </c:scaling>
        <c:axPos val="l"/>
        <c:majorGridlines>
          <c:spPr>
            <a:ln>
              <a:solidFill>
                <a:schemeClr val="bg1">
                  <a:lumMod val="85000"/>
                </a:schemeClr>
              </a:solidFill>
            </a:ln>
          </c:spPr>
        </c:majorGridlines>
        <c:numFmt formatCode="0%" sourceLinked="1"/>
        <c:tickLblPos val="nextTo"/>
        <c:crossAx val="102011264"/>
        <c:crosses val="autoZero"/>
        <c:crossBetween val="between"/>
      </c:valAx>
    </c:plotArea>
    <c:legend>
      <c:legendPos val="t"/>
    </c:legend>
    <c:plotVisOnly val="1"/>
    <c:dispBlanksAs val="gap"/>
  </c:chart>
  <c:spPr>
    <a:ln>
      <a:solidFill>
        <a:schemeClr val="bg1">
          <a:lumMod val="50000"/>
        </a:schemeClr>
      </a:soli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style val="3"/>
  <c:chart>
    <c:plotArea>
      <c:layout>
        <c:manualLayout>
          <c:layoutTarget val="inner"/>
          <c:xMode val="edge"/>
          <c:yMode val="edge"/>
          <c:x val="8.1055966905235768E-2"/>
          <c:y val="7.6831557005242412E-2"/>
          <c:w val="0.90576166990115248"/>
          <c:h val="0.6439368693689016"/>
        </c:manualLayout>
      </c:layout>
      <c:barChart>
        <c:barDir val="col"/>
        <c:grouping val="stacked"/>
        <c:ser>
          <c:idx val="0"/>
          <c:order val="0"/>
          <c:tx>
            <c:strRef>
              <c:f>II_PrepProgEmployment!$B$4</c:f>
              <c:strCache>
                <c:ptCount val="1"/>
                <c:pt idx="0">
                  <c:v>Employed as a Teacher</c:v>
                </c:pt>
              </c:strCache>
            </c:strRef>
          </c:tx>
          <c:cat>
            <c:strRef>
              <c:f>II_PrepProgEmployment!$A$19:$A$27</c:f>
              <c:strCache>
                <c:ptCount val="9"/>
                <c:pt idx="0">
                  <c:v>All Fields</c:v>
                </c:pt>
                <c:pt idx="1">
                  <c:v>English as a Second Language</c:v>
                </c:pt>
                <c:pt idx="2">
                  <c:v>Mathematics</c:v>
                </c:pt>
                <c:pt idx="3">
                  <c:v>Moderate Disabilities</c:v>
                </c:pt>
                <c:pt idx="4">
                  <c:v>Science</c:v>
                </c:pt>
                <c:pt idx="5">
                  <c:v>Foreign Language</c:v>
                </c:pt>
                <c:pt idx="6">
                  <c:v>English</c:v>
                </c:pt>
                <c:pt idx="7">
                  <c:v>Severe Disabilities</c:v>
                </c:pt>
                <c:pt idx="8">
                  <c:v>Early Childhood</c:v>
                </c:pt>
              </c:strCache>
            </c:strRef>
          </c:cat>
          <c:val>
            <c:numRef>
              <c:f>II_PrepProgEmployment!$B$19:$B$27</c:f>
              <c:numCache>
                <c:formatCode>0%</c:formatCode>
                <c:ptCount val="9"/>
                <c:pt idx="0">
                  <c:v>0.46905200000000002</c:v>
                </c:pt>
                <c:pt idx="1">
                  <c:v>0.74758600000000008</c:v>
                </c:pt>
                <c:pt idx="2">
                  <c:v>0.69237499999999996</c:v>
                </c:pt>
                <c:pt idx="3">
                  <c:v>0.64420599999999995</c:v>
                </c:pt>
                <c:pt idx="4">
                  <c:v>0.68835800000000003</c:v>
                </c:pt>
                <c:pt idx="5">
                  <c:v>0.63816800000000062</c:v>
                </c:pt>
                <c:pt idx="6">
                  <c:v>0.48038400000000314</c:v>
                </c:pt>
                <c:pt idx="7">
                  <c:v>0.51607400000000003</c:v>
                </c:pt>
                <c:pt idx="8">
                  <c:v>0.27348000000000211</c:v>
                </c:pt>
              </c:numCache>
            </c:numRef>
          </c:val>
        </c:ser>
        <c:ser>
          <c:idx val="1"/>
          <c:order val="1"/>
          <c:tx>
            <c:strRef>
              <c:f>II_PrepProgEmployment!$C$4</c:f>
              <c:strCache>
                <c:ptCount val="1"/>
                <c:pt idx="0">
                  <c:v>Employed in a Non-Teaching Position</c:v>
                </c:pt>
              </c:strCache>
            </c:strRef>
          </c:tx>
          <c:cat>
            <c:strRef>
              <c:f>II_PrepProgEmployment!$A$19:$A$27</c:f>
              <c:strCache>
                <c:ptCount val="9"/>
                <c:pt idx="0">
                  <c:v>All Fields</c:v>
                </c:pt>
                <c:pt idx="1">
                  <c:v>English as a Second Language</c:v>
                </c:pt>
                <c:pt idx="2">
                  <c:v>Mathematics</c:v>
                </c:pt>
                <c:pt idx="3">
                  <c:v>Moderate Disabilities</c:v>
                </c:pt>
                <c:pt idx="4">
                  <c:v>Science</c:v>
                </c:pt>
                <c:pt idx="5">
                  <c:v>Foreign Language</c:v>
                </c:pt>
                <c:pt idx="6">
                  <c:v>English</c:v>
                </c:pt>
                <c:pt idx="7">
                  <c:v>Severe Disabilities</c:v>
                </c:pt>
                <c:pt idx="8">
                  <c:v>Early Childhood</c:v>
                </c:pt>
              </c:strCache>
            </c:strRef>
          </c:cat>
          <c:val>
            <c:numRef>
              <c:f>II_PrepProgEmployment!$C$19:$C$27</c:f>
              <c:numCache>
                <c:formatCode>0%</c:formatCode>
                <c:ptCount val="9"/>
                <c:pt idx="0">
                  <c:v>0.12694800000000125</c:v>
                </c:pt>
                <c:pt idx="1">
                  <c:v>4.9414000000000124E-2</c:v>
                </c:pt>
                <c:pt idx="2">
                  <c:v>3.2625000000000091E-2</c:v>
                </c:pt>
                <c:pt idx="3">
                  <c:v>0.12179400000000097</c:v>
                </c:pt>
                <c:pt idx="4">
                  <c:v>4.8641999999999956E-2</c:v>
                </c:pt>
                <c:pt idx="5">
                  <c:v>2.3831999999999992E-2</c:v>
                </c:pt>
                <c:pt idx="6">
                  <c:v>7.5615999999999919E-2</c:v>
                </c:pt>
                <c:pt idx="7">
                  <c:v>8.1926000000000027E-2</c:v>
                </c:pt>
                <c:pt idx="8">
                  <c:v>0.24252000000000001</c:v>
                </c:pt>
              </c:numCache>
            </c:numRef>
          </c:val>
        </c:ser>
        <c:dLbls/>
        <c:overlap val="100"/>
        <c:axId val="102047744"/>
        <c:axId val="102049664"/>
      </c:barChart>
      <c:catAx>
        <c:axId val="102047744"/>
        <c:scaling>
          <c:orientation val="minMax"/>
        </c:scaling>
        <c:axPos val="b"/>
        <c:title>
          <c:tx>
            <c:rich>
              <a:bodyPr/>
              <a:lstStyle/>
              <a:p>
                <a:pPr>
                  <a:defRPr b="0"/>
                </a:pPr>
                <a:r>
                  <a:rPr lang="en-US" b="0"/>
                  <a:t>Preparation</a:t>
                </a:r>
                <a:r>
                  <a:rPr lang="en-US" b="0" baseline="0"/>
                  <a:t> Program Subject Area</a:t>
                </a:r>
                <a:endParaRPr lang="en-US" b="0"/>
              </a:p>
            </c:rich>
          </c:tx>
        </c:title>
        <c:numFmt formatCode="General" sourceLinked="0"/>
        <c:tickLblPos val="nextTo"/>
        <c:txPr>
          <a:bodyPr rot="-5400000" vert="horz"/>
          <a:lstStyle/>
          <a:p>
            <a:pPr>
              <a:defRPr/>
            </a:pPr>
            <a:endParaRPr lang="en-US"/>
          </a:p>
        </c:txPr>
        <c:crossAx val="102049664"/>
        <c:crosses val="autoZero"/>
        <c:auto val="1"/>
        <c:lblAlgn val="ctr"/>
        <c:lblOffset val="100"/>
      </c:catAx>
      <c:valAx>
        <c:axId val="102049664"/>
        <c:scaling>
          <c:orientation val="minMax"/>
          <c:max val="1"/>
        </c:scaling>
        <c:axPos val="l"/>
        <c:majorGridlines>
          <c:spPr>
            <a:ln>
              <a:solidFill>
                <a:schemeClr val="bg1">
                  <a:lumMod val="85000"/>
                </a:schemeClr>
              </a:solidFill>
            </a:ln>
          </c:spPr>
        </c:majorGridlines>
        <c:numFmt formatCode="0%" sourceLinked="1"/>
        <c:tickLblPos val="nextTo"/>
        <c:crossAx val="102047744"/>
        <c:crosses val="autoZero"/>
        <c:crossBetween val="between"/>
      </c:valAx>
    </c:plotArea>
    <c:legend>
      <c:legendPos val="t"/>
    </c:legend>
    <c:plotVisOnly val="1"/>
    <c:dispBlanksAs val="gap"/>
  </c:chart>
  <c:spPr>
    <a:ln>
      <a:solidFill>
        <a:schemeClr val="bg1">
          <a:lumMod val="50000"/>
        </a:schemeClr>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AF344-F9F4-4C8E-ABB4-E1830A3A43E7}">
  <ds:schemaRefs>
    <ds:schemaRef ds:uri="http://schemas.openxmlformats.org/officeDocument/2006/bibliography"/>
  </ds:schemaRefs>
</ds:datastoreItem>
</file>

<file path=customXml/itemProps2.xml><?xml version="1.0" encoding="utf-8"?>
<ds:datastoreItem xmlns:ds="http://schemas.openxmlformats.org/officeDocument/2006/customXml" ds:itemID="{DAA94137-1066-4365-A6CC-E2CDB6473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8691</Words>
  <Characters>49541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Status of the Massachusetts Educator Workforce 2013</vt:lpstr>
    </vt:vector>
  </TitlesOfParts>
  <Company/>
  <LinksUpToDate>false</LinksUpToDate>
  <CharactersWithSpaces>58116</CharactersWithSpaces>
  <SharedDoc>false</SharedDoc>
  <HLinks>
    <vt:vector size="114" baseType="variant">
      <vt:variant>
        <vt:i4>1638453</vt:i4>
      </vt:variant>
      <vt:variant>
        <vt:i4>104</vt:i4>
      </vt:variant>
      <vt:variant>
        <vt:i4>0</vt:i4>
      </vt:variant>
      <vt:variant>
        <vt:i4>5</vt:i4>
      </vt:variant>
      <vt:variant>
        <vt:lpwstr/>
      </vt:variant>
      <vt:variant>
        <vt:lpwstr>_Toc370229422</vt:lpwstr>
      </vt:variant>
      <vt:variant>
        <vt:i4>1638453</vt:i4>
      </vt:variant>
      <vt:variant>
        <vt:i4>98</vt:i4>
      </vt:variant>
      <vt:variant>
        <vt:i4>0</vt:i4>
      </vt:variant>
      <vt:variant>
        <vt:i4>5</vt:i4>
      </vt:variant>
      <vt:variant>
        <vt:lpwstr/>
      </vt:variant>
      <vt:variant>
        <vt:lpwstr>_Toc370229421</vt:lpwstr>
      </vt:variant>
      <vt:variant>
        <vt:i4>1638453</vt:i4>
      </vt:variant>
      <vt:variant>
        <vt:i4>92</vt:i4>
      </vt:variant>
      <vt:variant>
        <vt:i4>0</vt:i4>
      </vt:variant>
      <vt:variant>
        <vt:i4>5</vt:i4>
      </vt:variant>
      <vt:variant>
        <vt:lpwstr/>
      </vt:variant>
      <vt:variant>
        <vt:lpwstr>_Toc370229420</vt:lpwstr>
      </vt:variant>
      <vt:variant>
        <vt:i4>1703989</vt:i4>
      </vt:variant>
      <vt:variant>
        <vt:i4>86</vt:i4>
      </vt:variant>
      <vt:variant>
        <vt:i4>0</vt:i4>
      </vt:variant>
      <vt:variant>
        <vt:i4>5</vt:i4>
      </vt:variant>
      <vt:variant>
        <vt:lpwstr/>
      </vt:variant>
      <vt:variant>
        <vt:lpwstr>_Toc370229419</vt:lpwstr>
      </vt:variant>
      <vt:variant>
        <vt:i4>1703989</vt:i4>
      </vt:variant>
      <vt:variant>
        <vt:i4>80</vt:i4>
      </vt:variant>
      <vt:variant>
        <vt:i4>0</vt:i4>
      </vt:variant>
      <vt:variant>
        <vt:i4>5</vt:i4>
      </vt:variant>
      <vt:variant>
        <vt:lpwstr/>
      </vt:variant>
      <vt:variant>
        <vt:lpwstr>_Toc370229418</vt:lpwstr>
      </vt:variant>
      <vt:variant>
        <vt:i4>1703989</vt:i4>
      </vt:variant>
      <vt:variant>
        <vt:i4>74</vt:i4>
      </vt:variant>
      <vt:variant>
        <vt:i4>0</vt:i4>
      </vt:variant>
      <vt:variant>
        <vt:i4>5</vt:i4>
      </vt:variant>
      <vt:variant>
        <vt:lpwstr/>
      </vt:variant>
      <vt:variant>
        <vt:lpwstr>_Toc370229417</vt:lpwstr>
      </vt:variant>
      <vt:variant>
        <vt:i4>1703989</vt:i4>
      </vt:variant>
      <vt:variant>
        <vt:i4>68</vt:i4>
      </vt:variant>
      <vt:variant>
        <vt:i4>0</vt:i4>
      </vt:variant>
      <vt:variant>
        <vt:i4>5</vt:i4>
      </vt:variant>
      <vt:variant>
        <vt:lpwstr/>
      </vt:variant>
      <vt:variant>
        <vt:lpwstr>_Toc370229416</vt:lpwstr>
      </vt:variant>
      <vt:variant>
        <vt:i4>1703989</vt:i4>
      </vt:variant>
      <vt:variant>
        <vt:i4>62</vt:i4>
      </vt:variant>
      <vt:variant>
        <vt:i4>0</vt:i4>
      </vt:variant>
      <vt:variant>
        <vt:i4>5</vt:i4>
      </vt:variant>
      <vt:variant>
        <vt:lpwstr/>
      </vt:variant>
      <vt:variant>
        <vt:lpwstr>_Toc370229415</vt:lpwstr>
      </vt:variant>
      <vt:variant>
        <vt:i4>1703989</vt:i4>
      </vt:variant>
      <vt:variant>
        <vt:i4>56</vt:i4>
      </vt:variant>
      <vt:variant>
        <vt:i4>0</vt:i4>
      </vt:variant>
      <vt:variant>
        <vt:i4>5</vt:i4>
      </vt:variant>
      <vt:variant>
        <vt:lpwstr/>
      </vt:variant>
      <vt:variant>
        <vt:lpwstr>_Toc370229414</vt:lpwstr>
      </vt:variant>
      <vt:variant>
        <vt:i4>1703989</vt:i4>
      </vt:variant>
      <vt:variant>
        <vt:i4>50</vt:i4>
      </vt:variant>
      <vt:variant>
        <vt:i4>0</vt:i4>
      </vt:variant>
      <vt:variant>
        <vt:i4>5</vt:i4>
      </vt:variant>
      <vt:variant>
        <vt:lpwstr/>
      </vt:variant>
      <vt:variant>
        <vt:lpwstr>_Toc370229413</vt:lpwstr>
      </vt:variant>
      <vt:variant>
        <vt:i4>1703989</vt:i4>
      </vt:variant>
      <vt:variant>
        <vt:i4>44</vt:i4>
      </vt:variant>
      <vt:variant>
        <vt:i4>0</vt:i4>
      </vt:variant>
      <vt:variant>
        <vt:i4>5</vt:i4>
      </vt:variant>
      <vt:variant>
        <vt:lpwstr/>
      </vt:variant>
      <vt:variant>
        <vt:lpwstr>_Toc370229412</vt:lpwstr>
      </vt:variant>
      <vt:variant>
        <vt:i4>1703989</vt:i4>
      </vt:variant>
      <vt:variant>
        <vt:i4>38</vt:i4>
      </vt:variant>
      <vt:variant>
        <vt:i4>0</vt:i4>
      </vt:variant>
      <vt:variant>
        <vt:i4>5</vt:i4>
      </vt:variant>
      <vt:variant>
        <vt:lpwstr/>
      </vt:variant>
      <vt:variant>
        <vt:lpwstr>_Toc370229411</vt:lpwstr>
      </vt:variant>
      <vt:variant>
        <vt:i4>1703989</vt:i4>
      </vt:variant>
      <vt:variant>
        <vt:i4>32</vt:i4>
      </vt:variant>
      <vt:variant>
        <vt:i4>0</vt:i4>
      </vt:variant>
      <vt:variant>
        <vt:i4>5</vt:i4>
      </vt:variant>
      <vt:variant>
        <vt:lpwstr/>
      </vt:variant>
      <vt:variant>
        <vt:lpwstr>_Toc370229410</vt:lpwstr>
      </vt:variant>
      <vt:variant>
        <vt:i4>1769525</vt:i4>
      </vt:variant>
      <vt:variant>
        <vt:i4>26</vt:i4>
      </vt:variant>
      <vt:variant>
        <vt:i4>0</vt:i4>
      </vt:variant>
      <vt:variant>
        <vt:i4>5</vt:i4>
      </vt:variant>
      <vt:variant>
        <vt:lpwstr/>
      </vt:variant>
      <vt:variant>
        <vt:lpwstr>_Toc370229409</vt:lpwstr>
      </vt:variant>
      <vt:variant>
        <vt:i4>1769525</vt:i4>
      </vt:variant>
      <vt:variant>
        <vt:i4>20</vt:i4>
      </vt:variant>
      <vt:variant>
        <vt:i4>0</vt:i4>
      </vt:variant>
      <vt:variant>
        <vt:i4>5</vt:i4>
      </vt:variant>
      <vt:variant>
        <vt:lpwstr/>
      </vt:variant>
      <vt:variant>
        <vt:lpwstr>_Toc370229408</vt:lpwstr>
      </vt:variant>
      <vt:variant>
        <vt:i4>1769525</vt:i4>
      </vt:variant>
      <vt:variant>
        <vt:i4>14</vt:i4>
      </vt:variant>
      <vt:variant>
        <vt:i4>0</vt:i4>
      </vt:variant>
      <vt:variant>
        <vt:i4>5</vt:i4>
      </vt:variant>
      <vt:variant>
        <vt:lpwstr/>
      </vt:variant>
      <vt:variant>
        <vt:lpwstr>_Toc370229407</vt:lpwstr>
      </vt:variant>
      <vt:variant>
        <vt:i4>1769525</vt:i4>
      </vt:variant>
      <vt:variant>
        <vt:i4>8</vt:i4>
      </vt:variant>
      <vt:variant>
        <vt:i4>0</vt:i4>
      </vt:variant>
      <vt:variant>
        <vt:i4>5</vt:i4>
      </vt:variant>
      <vt:variant>
        <vt:lpwstr/>
      </vt:variant>
      <vt:variant>
        <vt:lpwstr>_Toc370229406</vt:lpwstr>
      </vt:variant>
      <vt:variant>
        <vt:i4>1769525</vt:i4>
      </vt:variant>
      <vt:variant>
        <vt:i4>2</vt:i4>
      </vt:variant>
      <vt:variant>
        <vt:i4>0</vt:i4>
      </vt:variant>
      <vt:variant>
        <vt:i4>5</vt:i4>
      </vt:variant>
      <vt:variant>
        <vt:lpwstr/>
      </vt:variant>
      <vt:variant>
        <vt:lpwstr>_Toc370229405</vt:lpwstr>
      </vt:variant>
      <vt:variant>
        <vt:i4>2883702</vt:i4>
      </vt:variant>
      <vt:variant>
        <vt:i4>0</vt:i4>
      </vt:variant>
      <vt:variant>
        <vt:i4>0</vt:i4>
      </vt:variant>
      <vt:variant>
        <vt:i4>5</vt:i4>
      </vt:variant>
      <vt:variant>
        <vt:lpwstr>http://www.doe.mass.edu/news/news.aspx?id=6596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Massachusetts Educator Workforce 2013</dc:title>
  <dc:creator>ESE</dc:creator>
  <cp:lastModifiedBy>dzou</cp:lastModifiedBy>
  <cp:revision>4</cp:revision>
  <cp:lastPrinted>2013-12-27T16:55:00Z</cp:lastPrinted>
  <dcterms:created xsi:type="dcterms:W3CDTF">2013-12-27T16:55:00Z</dcterms:created>
  <dcterms:modified xsi:type="dcterms:W3CDTF">2016-03-02T21:44:00Z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26 2013</vt:lpwstr>
  </property>
</Properties>
</file>