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93AA" w14:textId="58E2CC81" w:rsidR="00B921DC" w:rsidRDefault="00B56C0C" w:rsidP="001B02EB">
      <w:pPr>
        <w:widowControl w:val="0"/>
        <w:jc w:val="center"/>
        <w:rPr>
          <w:b/>
          <w:sz w:val="32"/>
          <w:szCs w:val="32"/>
        </w:rPr>
      </w:pPr>
      <w:r>
        <w:rPr>
          <w:b/>
          <w:sz w:val="32"/>
          <w:szCs w:val="32"/>
        </w:rPr>
        <w:t>S</w:t>
      </w:r>
      <w:r w:rsidR="00D446B8">
        <w:rPr>
          <w:b/>
          <w:sz w:val="32"/>
          <w:szCs w:val="32"/>
        </w:rPr>
        <w:t>tudent Opportunity Act Plan: SY</w:t>
      </w:r>
      <w:r>
        <w:rPr>
          <w:b/>
          <w:sz w:val="32"/>
          <w:szCs w:val="32"/>
        </w:rPr>
        <w:t>2021-2023</w:t>
      </w:r>
    </w:p>
    <w:p w14:paraId="2D155926" w14:textId="2709CB5E" w:rsidR="001B02EB" w:rsidRPr="002E5FFF" w:rsidRDefault="001B02EB" w:rsidP="001B02EB">
      <w:pPr>
        <w:widowControl w:val="0"/>
        <w:jc w:val="center"/>
        <w:rPr>
          <w:b/>
          <w:i/>
          <w:iCs/>
          <w:color w:val="0070C0"/>
          <w:sz w:val="32"/>
          <w:szCs w:val="32"/>
        </w:rPr>
      </w:pPr>
      <w:r w:rsidRPr="002E5FFF">
        <w:rPr>
          <w:b/>
          <w:i/>
          <w:iCs/>
          <w:color w:val="0070C0"/>
          <w:sz w:val="32"/>
          <w:szCs w:val="32"/>
        </w:rPr>
        <w:t>Boston Renaissance Charter Public School</w:t>
      </w:r>
    </w:p>
    <w:p w14:paraId="3481B68D" w14:textId="77777777" w:rsidR="00B921DC" w:rsidRDefault="00B921DC">
      <w:pPr>
        <w:widowControl w:val="0"/>
        <w:spacing w:before="7"/>
        <w:rPr>
          <w:b/>
          <w:sz w:val="17"/>
          <w:szCs w:val="17"/>
        </w:rPr>
      </w:pPr>
    </w:p>
    <w:p w14:paraId="6F45183C" w14:textId="77777777" w:rsidR="00B921DC" w:rsidRDefault="00B56C0C">
      <w:pPr>
        <w:widowControl w:val="0"/>
        <w:spacing w:before="85"/>
        <w:ind w:left="107"/>
        <w:rPr>
          <w:b/>
          <w:sz w:val="26"/>
          <w:szCs w:val="26"/>
        </w:rPr>
      </w:pPr>
      <w:r>
        <w:rPr>
          <w:b/>
          <w:color w:val="2D74B5"/>
          <w:sz w:val="26"/>
          <w:szCs w:val="26"/>
        </w:rPr>
        <w:t>Commitment 1: Focusing on Student Subgroups</w:t>
      </w:r>
    </w:p>
    <w:p w14:paraId="48BFADE8" w14:textId="77777777" w:rsidR="00B921DC" w:rsidRDefault="00B56C0C">
      <w:pPr>
        <w:widowControl w:val="0"/>
        <w:spacing w:before="70"/>
        <w:ind w:left="107" w:right="890"/>
        <w:rPr>
          <w:b/>
          <w:sz w:val="22"/>
          <w:szCs w:val="22"/>
        </w:rPr>
      </w:pPr>
      <w:r>
        <w:rPr>
          <w:b/>
          <w:color w:val="1F3863"/>
          <w:sz w:val="22"/>
          <w:szCs w:val="22"/>
        </w:rPr>
        <w:t>Which student groups will require focused support to ensure all students achieve at high levels in school and are successfully prepared for life?</w:t>
      </w:r>
    </w:p>
    <w:p w14:paraId="7C7F7DB6" w14:textId="77777777" w:rsidR="00B921DC" w:rsidRDefault="00B921DC">
      <w:pPr>
        <w:widowControl w:val="0"/>
        <w:spacing w:before="11"/>
        <w:rPr>
          <w:b/>
          <w:sz w:val="22"/>
          <w:szCs w:val="22"/>
        </w:rPr>
      </w:pPr>
    </w:p>
    <w:p w14:paraId="4206A68E" w14:textId="77777777" w:rsidR="00B921DC" w:rsidRDefault="00B56C0C">
      <w:pPr>
        <w:widowControl w:val="0"/>
        <w:spacing w:before="1"/>
        <w:rPr>
          <w:sz w:val="22"/>
          <w:szCs w:val="22"/>
        </w:rPr>
      </w:pPr>
      <w:r>
        <w:rPr>
          <w:sz w:val="22"/>
          <w:szCs w:val="22"/>
        </w:rPr>
        <w:t>BRCPS is committed to improving outcomes for all students and meeting the academic condition placed on our recently renewed charter.  To reach our goals for academic achievement, we must simultaneously implement school-wide programs and programs targeted at our lowest-performing subgroups. Our MCAS data indicates students with disabilities (SWD) consistently score below their non-disabled peers at BRCPS and we are committed to addressing these gaps in achievement.</w:t>
      </w:r>
    </w:p>
    <w:p w14:paraId="14305DBF" w14:textId="77777777" w:rsidR="00B921DC" w:rsidRDefault="00B921DC">
      <w:pPr>
        <w:widowControl w:val="0"/>
        <w:spacing w:before="1"/>
        <w:rPr>
          <w:sz w:val="22"/>
          <w:szCs w:val="22"/>
        </w:rPr>
      </w:pPr>
    </w:p>
    <w:p w14:paraId="1E8918CB" w14:textId="77777777" w:rsidR="00B921DC" w:rsidRDefault="00B56C0C">
      <w:pPr>
        <w:widowControl w:val="0"/>
        <w:spacing w:before="1"/>
        <w:rPr>
          <w:sz w:val="22"/>
          <w:szCs w:val="22"/>
        </w:rPr>
      </w:pPr>
      <w:r>
        <w:rPr>
          <w:sz w:val="22"/>
          <w:szCs w:val="22"/>
        </w:rPr>
        <w:t xml:space="preserve">Looking at 2019 MCAS data, in ELA, Math, and Science, there are significant gaps between the average scaled scores for SWD at BRCPS and that of our non-disabled students. Low scores by our SWD lead to similar gaps between the percentage of SWD and non-disable students achieving the Meeting or Exceeding (M/E) expectations benchmark set by the Department of Elementary and Secondary Education. </w:t>
      </w:r>
    </w:p>
    <w:p w14:paraId="0C88E443" w14:textId="77777777" w:rsidR="00B921DC" w:rsidRDefault="00B921DC">
      <w:pPr>
        <w:rPr>
          <w:sz w:val="22"/>
          <w:szCs w:val="22"/>
        </w:rPr>
      </w:pPr>
    </w:p>
    <w:tbl>
      <w:tblPr>
        <w:tblStyle w:val="a"/>
        <w:tblW w:w="10800" w:type="dxa"/>
        <w:tblInd w:w="48" w:type="dxa"/>
        <w:tblBorders>
          <w:top w:val="nil"/>
          <w:left w:val="nil"/>
          <w:bottom w:val="nil"/>
          <w:right w:val="nil"/>
          <w:insideH w:val="nil"/>
          <w:insideV w:val="nil"/>
        </w:tblBorders>
        <w:tblLayout w:type="fixed"/>
        <w:tblLook w:val="0620" w:firstRow="1" w:lastRow="0" w:firstColumn="0" w:lastColumn="0" w:noHBand="1" w:noVBand="1"/>
      </w:tblPr>
      <w:tblGrid>
        <w:gridCol w:w="1231"/>
        <w:gridCol w:w="1231"/>
        <w:gridCol w:w="1043"/>
        <w:gridCol w:w="1043"/>
        <w:gridCol w:w="1042"/>
        <w:gridCol w:w="1042"/>
        <w:gridCol w:w="1042"/>
        <w:gridCol w:w="1042"/>
        <w:gridCol w:w="1042"/>
        <w:gridCol w:w="1042"/>
      </w:tblGrid>
      <w:tr w:rsidR="00B921DC" w14:paraId="5B9EF462" w14:textId="77777777" w:rsidTr="001B02EB">
        <w:trPr>
          <w:trHeight w:val="315"/>
        </w:trPr>
        <w:tc>
          <w:tcPr>
            <w:tcW w:w="12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9A0DF" w14:textId="77777777" w:rsidR="00B921DC" w:rsidRDefault="00B921DC">
            <w:pPr>
              <w:widowControl w:val="0"/>
              <w:spacing w:line="276" w:lineRule="auto"/>
              <w:rPr>
                <w:sz w:val="20"/>
                <w:szCs w:val="20"/>
              </w:rPr>
            </w:pPr>
          </w:p>
        </w:tc>
        <w:tc>
          <w:tcPr>
            <w:tcW w:w="3314" w:type="dxa"/>
            <w:gridSpan w:val="3"/>
            <w:tcBorders>
              <w:top w:val="single" w:sz="6" w:space="0" w:color="000000"/>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588D969A" w14:textId="77777777" w:rsidR="00B921DC" w:rsidRDefault="00B56C0C">
            <w:pPr>
              <w:widowControl w:val="0"/>
              <w:spacing w:line="276" w:lineRule="auto"/>
              <w:jc w:val="center"/>
              <w:rPr>
                <w:sz w:val="20"/>
                <w:szCs w:val="20"/>
              </w:rPr>
            </w:pPr>
            <w:r>
              <w:rPr>
                <w:b/>
                <w:sz w:val="20"/>
                <w:szCs w:val="20"/>
              </w:rPr>
              <w:t>ELA</w:t>
            </w:r>
          </w:p>
        </w:tc>
        <w:tc>
          <w:tcPr>
            <w:tcW w:w="3126" w:type="dxa"/>
            <w:gridSpan w:val="3"/>
            <w:tcBorders>
              <w:top w:val="single" w:sz="6" w:space="0" w:color="000000"/>
              <w:left w:val="single" w:sz="6" w:space="0" w:color="CCCCCC"/>
              <w:bottom w:val="single" w:sz="6" w:space="0" w:color="000000"/>
              <w:right w:val="single" w:sz="18" w:space="0" w:color="000000"/>
            </w:tcBorders>
            <w:shd w:val="clear" w:color="auto" w:fill="D9D9D9"/>
            <w:tcMar>
              <w:top w:w="40" w:type="dxa"/>
              <w:left w:w="40" w:type="dxa"/>
              <w:bottom w:w="40" w:type="dxa"/>
              <w:right w:w="40" w:type="dxa"/>
            </w:tcMar>
            <w:vAlign w:val="bottom"/>
          </w:tcPr>
          <w:p w14:paraId="4AD77B12" w14:textId="77777777" w:rsidR="00B921DC" w:rsidRDefault="00B56C0C">
            <w:pPr>
              <w:widowControl w:val="0"/>
              <w:spacing w:line="276" w:lineRule="auto"/>
              <w:jc w:val="center"/>
              <w:rPr>
                <w:sz w:val="20"/>
                <w:szCs w:val="20"/>
              </w:rPr>
            </w:pPr>
            <w:r>
              <w:rPr>
                <w:b/>
                <w:sz w:val="20"/>
                <w:szCs w:val="20"/>
              </w:rPr>
              <w:t>Math</w:t>
            </w:r>
          </w:p>
        </w:tc>
        <w:tc>
          <w:tcPr>
            <w:tcW w:w="3126" w:type="dxa"/>
            <w:gridSpan w:val="3"/>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799354F" w14:textId="77777777" w:rsidR="00B921DC" w:rsidRDefault="00B56C0C">
            <w:pPr>
              <w:widowControl w:val="0"/>
              <w:spacing w:line="276" w:lineRule="auto"/>
              <w:jc w:val="center"/>
              <w:rPr>
                <w:sz w:val="20"/>
                <w:szCs w:val="20"/>
              </w:rPr>
            </w:pPr>
            <w:r>
              <w:rPr>
                <w:b/>
                <w:sz w:val="20"/>
                <w:szCs w:val="20"/>
              </w:rPr>
              <w:t>STE</w:t>
            </w:r>
          </w:p>
        </w:tc>
      </w:tr>
      <w:tr w:rsidR="00B921DC" w14:paraId="37C928BF" w14:textId="77777777" w:rsidTr="001B02EB">
        <w:trPr>
          <w:trHeight w:val="315"/>
        </w:trPr>
        <w:tc>
          <w:tcPr>
            <w:tcW w:w="12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C1247E3" w14:textId="77777777" w:rsidR="00B921DC" w:rsidRDefault="00B921DC">
            <w:pPr>
              <w:widowControl w:val="0"/>
              <w:spacing w:line="276" w:lineRule="auto"/>
              <w:rPr>
                <w:sz w:val="20"/>
                <w:szCs w:val="20"/>
              </w:rPr>
            </w:pP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5CCC12" w14:textId="77777777" w:rsidR="00B921DC" w:rsidRDefault="00B56C0C">
            <w:pPr>
              <w:widowControl w:val="0"/>
              <w:spacing w:line="276" w:lineRule="auto"/>
              <w:rPr>
                <w:sz w:val="20"/>
                <w:szCs w:val="20"/>
              </w:rPr>
            </w:pPr>
            <w:r>
              <w:rPr>
                <w:sz w:val="20"/>
                <w:szCs w:val="20"/>
              </w:rPr>
              <w:t>BRCPS SWD</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0DAB13" w14:textId="77777777" w:rsidR="00B921DC" w:rsidRDefault="00B56C0C">
            <w:pPr>
              <w:widowControl w:val="0"/>
              <w:spacing w:line="276" w:lineRule="auto"/>
              <w:rPr>
                <w:sz w:val="20"/>
                <w:szCs w:val="20"/>
              </w:rPr>
            </w:pPr>
            <w:r>
              <w:rPr>
                <w:sz w:val="20"/>
                <w:szCs w:val="20"/>
              </w:rPr>
              <w:t>Non-</w:t>
            </w:r>
          </w:p>
          <w:p w14:paraId="4268DE41" w14:textId="77777777" w:rsidR="00B921DC" w:rsidRDefault="00B56C0C">
            <w:pPr>
              <w:widowControl w:val="0"/>
              <w:spacing w:line="276" w:lineRule="auto"/>
              <w:rPr>
                <w:sz w:val="20"/>
                <w:szCs w:val="20"/>
              </w:rPr>
            </w:pPr>
            <w:r>
              <w:rPr>
                <w:sz w:val="20"/>
                <w:szCs w:val="20"/>
              </w:rPr>
              <w:t>Disabled</w:t>
            </w:r>
          </w:p>
        </w:tc>
        <w:tc>
          <w:tcPr>
            <w:tcW w:w="1042" w:type="dxa"/>
            <w:tcBorders>
              <w:top w:val="single" w:sz="6" w:space="0" w:color="CCCCCC"/>
              <w:left w:val="single" w:sz="6" w:space="0" w:color="CCCCCC"/>
              <w:bottom w:val="single" w:sz="6" w:space="0" w:color="000000"/>
              <w:right w:val="single" w:sz="18" w:space="0" w:color="000000"/>
            </w:tcBorders>
            <w:shd w:val="clear" w:color="auto" w:fill="EFEFEF"/>
            <w:tcMar>
              <w:top w:w="40" w:type="dxa"/>
              <w:left w:w="40" w:type="dxa"/>
              <w:bottom w:w="40" w:type="dxa"/>
              <w:right w:w="40" w:type="dxa"/>
            </w:tcMar>
            <w:vAlign w:val="bottom"/>
          </w:tcPr>
          <w:p w14:paraId="4C234219" w14:textId="77777777" w:rsidR="00B921DC" w:rsidRDefault="00B56C0C">
            <w:pPr>
              <w:widowControl w:val="0"/>
              <w:spacing w:line="276" w:lineRule="auto"/>
              <w:rPr>
                <w:sz w:val="20"/>
                <w:szCs w:val="20"/>
              </w:rPr>
            </w:pPr>
            <w:r>
              <w:rPr>
                <w:sz w:val="20"/>
                <w:szCs w:val="20"/>
              </w:rPr>
              <w:t>Gap</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AB94CA" w14:textId="77777777" w:rsidR="00B921DC" w:rsidRDefault="00B56C0C">
            <w:pPr>
              <w:widowControl w:val="0"/>
              <w:spacing w:line="276" w:lineRule="auto"/>
              <w:rPr>
                <w:sz w:val="20"/>
                <w:szCs w:val="20"/>
              </w:rPr>
            </w:pPr>
            <w:r>
              <w:rPr>
                <w:sz w:val="20"/>
                <w:szCs w:val="20"/>
              </w:rPr>
              <w:t>BRCPS SWD</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78162C" w14:textId="77777777" w:rsidR="00B921DC" w:rsidRDefault="00B56C0C">
            <w:pPr>
              <w:widowControl w:val="0"/>
              <w:spacing w:line="276" w:lineRule="auto"/>
              <w:rPr>
                <w:sz w:val="20"/>
                <w:szCs w:val="20"/>
              </w:rPr>
            </w:pPr>
            <w:r>
              <w:rPr>
                <w:sz w:val="20"/>
                <w:szCs w:val="20"/>
              </w:rPr>
              <w:t>Non-</w:t>
            </w:r>
          </w:p>
          <w:p w14:paraId="3DF77B83" w14:textId="77777777" w:rsidR="00B921DC" w:rsidRDefault="00B56C0C">
            <w:pPr>
              <w:widowControl w:val="0"/>
              <w:spacing w:line="276" w:lineRule="auto"/>
              <w:rPr>
                <w:sz w:val="20"/>
                <w:szCs w:val="20"/>
              </w:rPr>
            </w:pPr>
            <w:r>
              <w:rPr>
                <w:sz w:val="20"/>
                <w:szCs w:val="20"/>
              </w:rPr>
              <w:t>Disabled</w:t>
            </w:r>
          </w:p>
        </w:tc>
        <w:tc>
          <w:tcPr>
            <w:tcW w:w="1042" w:type="dxa"/>
            <w:tcBorders>
              <w:top w:val="single" w:sz="6" w:space="0" w:color="CCCCCC"/>
              <w:left w:val="single" w:sz="6" w:space="0" w:color="CCCCCC"/>
              <w:bottom w:val="single" w:sz="6" w:space="0" w:color="000000"/>
              <w:right w:val="single" w:sz="18" w:space="0" w:color="000000"/>
            </w:tcBorders>
            <w:shd w:val="clear" w:color="auto" w:fill="EFEFEF"/>
            <w:tcMar>
              <w:top w:w="40" w:type="dxa"/>
              <w:left w:w="40" w:type="dxa"/>
              <w:bottom w:w="40" w:type="dxa"/>
              <w:right w:w="40" w:type="dxa"/>
            </w:tcMar>
            <w:vAlign w:val="bottom"/>
          </w:tcPr>
          <w:p w14:paraId="5A4A2F39" w14:textId="77777777" w:rsidR="00B921DC" w:rsidRDefault="00B56C0C">
            <w:pPr>
              <w:widowControl w:val="0"/>
              <w:spacing w:line="276" w:lineRule="auto"/>
              <w:rPr>
                <w:sz w:val="20"/>
                <w:szCs w:val="20"/>
              </w:rPr>
            </w:pPr>
            <w:r>
              <w:rPr>
                <w:sz w:val="20"/>
                <w:szCs w:val="20"/>
              </w:rPr>
              <w:t>Gap</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02875B" w14:textId="77777777" w:rsidR="00B921DC" w:rsidRDefault="00B56C0C">
            <w:pPr>
              <w:widowControl w:val="0"/>
              <w:spacing w:line="276" w:lineRule="auto"/>
              <w:rPr>
                <w:sz w:val="20"/>
                <w:szCs w:val="20"/>
              </w:rPr>
            </w:pPr>
            <w:r>
              <w:rPr>
                <w:sz w:val="20"/>
                <w:szCs w:val="20"/>
              </w:rPr>
              <w:t>BRCPS SWD</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B0F8C3E" w14:textId="77777777" w:rsidR="00B921DC" w:rsidRDefault="00B56C0C">
            <w:pPr>
              <w:widowControl w:val="0"/>
              <w:spacing w:line="276" w:lineRule="auto"/>
              <w:rPr>
                <w:sz w:val="20"/>
                <w:szCs w:val="20"/>
              </w:rPr>
            </w:pPr>
            <w:r>
              <w:rPr>
                <w:sz w:val="20"/>
                <w:szCs w:val="20"/>
              </w:rPr>
              <w:t>Non-</w:t>
            </w:r>
          </w:p>
          <w:p w14:paraId="7E840CCC" w14:textId="77777777" w:rsidR="00B921DC" w:rsidRDefault="00B56C0C">
            <w:pPr>
              <w:widowControl w:val="0"/>
              <w:spacing w:line="276" w:lineRule="auto"/>
              <w:rPr>
                <w:sz w:val="20"/>
                <w:szCs w:val="20"/>
              </w:rPr>
            </w:pPr>
            <w:r>
              <w:rPr>
                <w:sz w:val="20"/>
                <w:szCs w:val="20"/>
              </w:rPr>
              <w:t>Disabled</w:t>
            </w:r>
          </w:p>
        </w:tc>
        <w:tc>
          <w:tcPr>
            <w:tcW w:w="1042"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AEBEBFE" w14:textId="77777777" w:rsidR="00B921DC" w:rsidRDefault="00B56C0C">
            <w:pPr>
              <w:widowControl w:val="0"/>
              <w:spacing w:line="276" w:lineRule="auto"/>
              <w:rPr>
                <w:sz w:val="20"/>
                <w:szCs w:val="20"/>
              </w:rPr>
            </w:pPr>
            <w:r>
              <w:rPr>
                <w:sz w:val="20"/>
                <w:szCs w:val="20"/>
              </w:rPr>
              <w:t>Gap</w:t>
            </w:r>
          </w:p>
        </w:tc>
      </w:tr>
      <w:tr w:rsidR="00B921DC" w14:paraId="19B2827C" w14:textId="77777777" w:rsidTr="001B02EB">
        <w:trPr>
          <w:trHeight w:val="315"/>
        </w:trPr>
        <w:tc>
          <w:tcPr>
            <w:tcW w:w="12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B2CE714" w14:textId="77777777" w:rsidR="00B921DC" w:rsidRDefault="00B56C0C">
            <w:pPr>
              <w:widowControl w:val="0"/>
              <w:spacing w:line="276" w:lineRule="auto"/>
              <w:rPr>
                <w:sz w:val="20"/>
                <w:szCs w:val="20"/>
              </w:rPr>
            </w:pPr>
            <w:r>
              <w:rPr>
                <w:sz w:val="20"/>
                <w:szCs w:val="20"/>
              </w:rPr>
              <w:t>Avg Scaled Score</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A9ACE0" w14:textId="77777777" w:rsidR="00B921DC" w:rsidRDefault="00B56C0C">
            <w:pPr>
              <w:widowControl w:val="0"/>
              <w:spacing w:line="276" w:lineRule="auto"/>
              <w:jc w:val="right"/>
              <w:rPr>
                <w:sz w:val="20"/>
                <w:szCs w:val="20"/>
              </w:rPr>
            </w:pPr>
            <w:r>
              <w:rPr>
                <w:sz w:val="20"/>
                <w:szCs w:val="20"/>
              </w:rPr>
              <w:t>470.9</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C59F992" w14:textId="77777777" w:rsidR="00B921DC" w:rsidRDefault="00B56C0C">
            <w:pPr>
              <w:widowControl w:val="0"/>
              <w:spacing w:line="276" w:lineRule="auto"/>
              <w:jc w:val="right"/>
              <w:rPr>
                <w:sz w:val="20"/>
                <w:szCs w:val="20"/>
              </w:rPr>
            </w:pPr>
            <w:r>
              <w:rPr>
                <w:sz w:val="20"/>
                <w:szCs w:val="20"/>
              </w:rPr>
              <w:t>496.7</w:t>
            </w:r>
          </w:p>
        </w:tc>
        <w:tc>
          <w:tcPr>
            <w:tcW w:w="1042" w:type="dxa"/>
            <w:tcBorders>
              <w:top w:val="single" w:sz="6" w:space="0" w:color="CCCCCC"/>
              <w:left w:val="single" w:sz="6" w:space="0" w:color="CCCCCC"/>
              <w:bottom w:val="single" w:sz="6" w:space="0" w:color="000000"/>
              <w:right w:val="single" w:sz="18" w:space="0" w:color="000000"/>
            </w:tcBorders>
            <w:shd w:val="clear" w:color="auto" w:fill="EFEFEF"/>
            <w:tcMar>
              <w:top w:w="40" w:type="dxa"/>
              <w:left w:w="40" w:type="dxa"/>
              <w:bottom w:w="40" w:type="dxa"/>
              <w:right w:w="40" w:type="dxa"/>
            </w:tcMar>
            <w:vAlign w:val="bottom"/>
          </w:tcPr>
          <w:p w14:paraId="62C83AF7" w14:textId="77777777" w:rsidR="00B921DC" w:rsidRDefault="00B56C0C">
            <w:pPr>
              <w:widowControl w:val="0"/>
              <w:spacing w:line="276" w:lineRule="auto"/>
              <w:jc w:val="right"/>
              <w:rPr>
                <w:sz w:val="20"/>
                <w:szCs w:val="20"/>
              </w:rPr>
            </w:pPr>
            <w:r>
              <w:rPr>
                <w:sz w:val="20"/>
                <w:szCs w:val="20"/>
              </w:rPr>
              <w:t>25.8</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8B0945" w14:textId="77777777" w:rsidR="00B921DC" w:rsidRDefault="00B56C0C">
            <w:pPr>
              <w:widowControl w:val="0"/>
              <w:spacing w:line="276" w:lineRule="auto"/>
              <w:jc w:val="right"/>
              <w:rPr>
                <w:sz w:val="20"/>
                <w:szCs w:val="20"/>
              </w:rPr>
            </w:pPr>
            <w:r>
              <w:rPr>
                <w:sz w:val="20"/>
                <w:szCs w:val="20"/>
              </w:rPr>
              <w:t>475.2</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EF795B" w14:textId="77777777" w:rsidR="00B921DC" w:rsidRDefault="00B56C0C">
            <w:pPr>
              <w:widowControl w:val="0"/>
              <w:spacing w:line="276" w:lineRule="auto"/>
              <w:jc w:val="right"/>
              <w:rPr>
                <w:sz w:val="20"/>
                <w:szCs w:val="20"/>
              </w:rPr>
            </w:pPr>
            <w:r>
              <w:rPr>
                <w:sz w:val="20"/>
                <w:szCs w:val="20"/>
              </w:rPr>
              <w:t>497.1</w:t>
            </w:r>
          </w:p>
        </w:tc>
        <w:tc>
          <w:tcPr>
            <w:tcW w:w="1042" w:type="dxa"/>
            <w:tcBorders>
              <w:top w:val="single" w:sz="6" w:space="0" w:color="CCCCCC"/>
              <w:left w:val="single" w:sz="6" w:space="0" w:color="CCCCCC"/>
              <w:bottom w:val="single" w:sz="6" w:space="0" w:color="000000"/>
              <w:right w:val="single" w:sz="18" w:space="0" w:color="000000"/>
            </w:tcBorders>
            <w:shd w:val="clear" w:color="auto" w:fill="EFEFEF"/>
            <w:tcMar>
              <w:top w:w="40" w:type="dxa"/>
              <w:left w:w="40" w:type="dxa"/>
              <w:bottom w:w="40" w:type="dxa"/>
              <w:right w:w="40" w:type="dxa"/>
            </w:tcMar>
            <w:vAlign w:val="bottom"/>
          </w:tcPr>
          <w:p w14:paraId="140F5102" w14:textId="77777777" w:rsidR="00B921DC" w:rsidRDefault="00B56C0C">
            <w:pPr>
              <w:widowControl w:val="0"/>
              <w:spacing w:line="276" w:lineRule="auto"/>
              <w:jc w:val="right"/>
              <w:rPr>
                <w:sz w:val="20"/>
                <w:szCs w:val="20"/>
              </w:rPr>
            </w:pPr>
            <w:r>
              <w:rPr>
                <w:sz w:val="20"/>
                <w:szCs w:val="20"/>
              </w:rPr>
              <w:t>21.9</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A36F01" w14:textId="77777777" w:rsidR="00B921DC" w:rsidRDefault="00B56C0C">
            <w:pPr>
              <w:widowControl w:val="0"/>
              <w:spacing w:line="276" w:lineRule="auto"/>
              <w:jc w:val="right"/>
              <w:rPr>
                <w:sz w:val="20"/>
                <w:szCs w:val="20"/>
              </w:rPr>
            </w:pPr>
            <w:r>
              <w:rPr>
                <w:sz w:val="20"/>
                <w:szCs w:val="20"/>
              </w:rPr>
              <w:t>471.8</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E63275" w14:textId="77777777" w:rsidR="00B921DC" w:rsidRDefault="00B56C0C">
            <w:pPr>
              <w:widowControl w:val="0"/>
              <w:spacing w:line="276" w:lineRule="auto"/>
              <w:jc w:val="right"/>
              <w:rPr>
                <w:sz w:val="20"/>
                <w:szCs w:val="20"/>
              </w:rPr>
            </w:pPr>
            <w:r>
              <w:rPr>
                <w:sz w:val="20"/>
                <w:szCs w:val="20"/>
              </w:rPr>
              <w:t>488.3</w:t>
            </w:r>
          </w:p>
        </w:tc>
        <w:tc>
          <w:tcPr>
            <w:tcW w:w="1042"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C2A9C14" w14:textId="77777777" w:rsidR="00B921DC" w:rsidRDefault="00B56C0C">
            <w:pPr>
              <w:widowControl w:val="0"/>
              <w:spacing w:line="276" w:lineRule="auto"/>
              <w:jc w:val="right"/>
              <w:rPr>
                <w:sz w:val="20"/>
                <w:szCs w:val="20"/>
              </w:rPr>
            </w:pPr>
            <w:r>
              <w:rPr>
                <w:sz w:val="20"/>
                <w:szCs w:val="20"/>
              </w:rPr>
              <w:t>16.5</w:t>
            </w:r>
          </w:p>
        </w:tc>
      </w:tr>
      <w:tr w:rsidR="00B921DC" w14:paraId="1B0F2E9E" w14:textId="77777777" w:rsidTr="001B02EB">
        <w:trPr>
          <w:trHeight w:val="315"/>
        </w:trPr>
        <w:tc>
          <w:tcPr>
            <w:tcW w:w="12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0449301" w14:textId="77777777" w:rsidR="00B921DC" w:rsidRDefault="00B56C0C">
            <w:pPr>
              <w:widowControl w:val="0"/>
              <w:spacing w:line="276" w:lineRule="auto"/>
              <w:rPr>
                <w:sz w:val="20"/>
                <w:szCs w:val="20"/>
              </w:rPr>
            </w:pPr>
            <w:r>
              <w:rPr>
                <w:sz w:val="20"/>
                <w:szCs w:val="20"/>
              </w:rPr>
              <w:t>M/E expectations</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C883E7" w14:textId="77777777" w:rsidR="00B921DC" w:rsidRDefault="00B56C0C">
            <w:pPr>
              <w:widowControl w:val="0"/>
              <w:spacing w:line="276" w:lineRule="auto"/>
              <w:jc w:val="right"/>
              <w:rPr>
                <w:sz w:val="20"/>
                <w:szCs w:val="20"/>
              </w:rPr>
            </w:pPr>
            <w:r>
              <w:rPr>
                <w:sz w:val="20"/>
                <w:szCs w:val="20"/>
              </w:rPr>
              <w:t>0%</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78F62E" w14:textId="77777777" w:rsidR="00B921DC" w:rsidRDefault="00B56C0C">
            <w:pPr>
              <w:widowControl w:val="0"/>
              <w:spacing w:line="276" w:lineRule="auto"/>
              <w:jc w:val="right"/>
              <w:rPr>
                <w:sz w:val="20"/>
                <w:szCs w:val="20"/>
              </w:rPr>
            </w:pPr>
            <w:r>
              <w:rPr>
                <w:sz w:val="20"/>
                <w:szCs w:val="20"/>
              </w:rPr>
              <w:t>40%</w:t>
            </w:r>
          </w:p>
        </w:tc>
        <w:tc>
          <w:tcPr>
            <w:tcW w:w="1042" w:type="dxa"/>
            <w:tcBorders>
              <w:top w:val="single" w:sz="6" w:space="0" w:color="CCCCCC"/>
              <w:left w:val="single" w:sz="6" w:space="0" w:color="CCCCCC"/>
              <w:bottom w:val="single" w:sz="6" w:space="0" w:color="000000"/>
              <w:right w:val="single" w:sz="18" w:space="0" w:color="000000"/>
            </w:tcBorders>
            <w:shd w:val="clear" w:color="auto" w:fill="EFEFEF"/>
            <w:tcMar>
              <w:top w:w="40" w:type="dxa"/>
              <w:left w:w="40" w:type="dxa"/>
              <w:bottom w:w="40" w:type="dxa"/>
              <w:right w:w="40" w:type="dxa"/>
            </w:tcMar>
            <w:vAlign w:val="bottom"/>
          </w:tcPr>
          <w:p w14:paraId="3F892491" w14:textId="77777777" w:rsidR="00B921DC" w:rsidRDefault="00B56C0C">
            <w:pPr>
              <w:widowControl w:val="0"/>
              <w:spacing w:line="276" w:lineRule="auto"/>
              <w:jc w:val="right"/>
              <w:rPr>
                <w:sz w:val="20"/>
                <w:szCs w:val="20"/>
              </w:rPr>
            </w:pPr>
            <w:r>
              <w:rPr>
                <w:sz w:val="20"/>
                <w:szCs w:val="20"/>
              </w:rPr>
              <w:t>40%</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4CB10F" w14:textId="77777777" w:rsidR="00B921DC" w:rsidRDefault="00B56C0C">
            <w:pPr>
              <w:widowControl w:val="0"/>
              <w:spacing w:line="276" w:lineRule="auto"/>
              <w:jc w:val="right"/>
              <w:rPr>
                <w:sz w:val="20"/>
                <w:szCs w:val="20"/>
              </w:rPr>
            </w:pPr>
            <w:r>
              <w:rPr>
                <w:sz w:val="20"/>
                <w:szCs w:val="20"/>
              </w:rPr>
              <w:t>8%</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3152E2" w14:textId="77777777" w:rsidR="00B921DC" w:rsidRDefault="00B56C0C">
            <w:pPr>
              <w:widowControl w:val="0"/>
              <w:spacing w:line="276" w:lineRule="auto"/>
              <w:jc w:val="right"/>
              <w:rPr>
                <w:sz w:val="20"/>
                <w:szCs w:val="20"/>
              </w:rPr>
            </w:pPr>
            <w:r>
              <w:rPr>
                <w:sz w:val="20"/>
                <w:szCs w:val="20"/>
              </w:rPr>
              <w:t>40%</w:t>
            </w:r>
          </w:p>
        </w:tc>
        <w:tc>
          <w:tcPr>
            <w:tcW w:w="1042" w:type="dxa"/>
            <w:tcBorders>
              <w:top w:val="single" w:sz="6" w:space="0" w:color="CCCCCC"/>
              <w:left w:val="single" w:sz="6" w:space="0" w:color="CCCCCC"/>
              <w:bottom w:val="single" w:sz="6" w:space="0" w:color="000000"/>
              <w:right w:val="single" w:sz="18" w:space="0" w:color="000000"/>
            </w:tcBorders>
            <w:shd w:val="clear" w:color="auto" w:fill="EFEFEF"/>
            <w:tcMar>
              <w:top w:w="40" w:type="dxa"/>
              <w:left w:w="40" w:type="dxa"/>
              <w:bottom w:w="40" w:type="dxa"/>
              <w:right w:w="40" w:type="dxa"/>
            </w:tcMar>
            <w:vAlign w:val="bottom"/>
          </w:tcPr>
          <w:p w14:paraId="3745780D" w14:textId="77777777" w:rsidR="00B921DC" w:rsidRDefault="00B56C0C">
            <w:pPr>
              <w:widowControl w:val="0"/>
              <w:spacing w:line="276" w:lineRule="auto"/>
              <w:jc w:val="right"/>
              <w:rPr>
                <w:sz w:val="20"/>
                <w:szCs w:val="20"/>
              </w:rPr>
            </w:pPr>
            <w:r>
              <w:rPr>
                <w:sz w:val="20"/>
                <w:szCs w:val="20"/>
              </w:rPr>
              <w:t>32%</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1B5D4A" w14:textId="77777777" w:rsidR="00B921DC" w:rsidRDefault="00B56C0C">
            <w:pPr>
              <w:widowControl w:val="0"/>
              <w:spacing w:line="276" w:lineRule="auto"/>
              <w:jc w:val="right"/>
              <w:rPr>
                <w:sz w:val="20"/>
                <w:szCs w:val="20"/>
              </w:rPr>
            </w:pPr>
            <w:r>
              <w:rPr>
                <w:sz w:val="20"/>
                <w:szCs w:val="20"/>
              </w:rPr>
              <w:t>9%</w:t>
            </w:r>
          </w:p>
        </w:tc>
        <w:tc>
          <w:tcPr>
            <w:tcW w:w="10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D6E687" w14:textId="77777777" w:rsidR="00B921DC" w:rsidRDefault="00B56C0C">
            <w:pPr>
              <w:widowControl w:val="0"/>
              <w:spacing w:line="276" w:lineRule="auto"/>
              <w:jc w:val="right"/>
              <w:rPr>
                <w:sz w:val="20"/>
                <w:szCs w:val="20"/>
              </w:rPr>
            </w:pPr>
            <w:r>
              <w:rPr>
                <w:sz w:val="20"/>
                <w:szCs w:val="20"/>
              </w:rPr>
              <w:t>28%</w:t>
            </w:r>
          </w:p>
        </w:tc>
        <w:tc>
          <w:tcPr>
            <w:tcW w:w="1042"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A56B29D" w14:textId="77777777" w:rsidR="00B921DC" w:rsidRDefault="00B56C0C">
            <w:pPr>
              <w:widowControl w:val="0"/>
              <w:spacing w:line="276" w:lineRule="auto"/>
              <w:jc w:val="right"/>
              <w:rPr>
                <w:sz w:val="20"/>
                <w:szCs w:val="20"/>
              </w:rPr>
            </w:pPr>
            <w:r>
              <w:rPr>
                <w:sz w:val="20"/>
                <w:szCs w:val="20"/>
              </w:rPr>
              <w:t>19%</w:t>
            </w:r>
          </w:p>
        </w:tc>
      </w:tr>
    </w:tbl>
    <w:p w14:paraId="307C275C" w14:textId="77777777" w:rsidR="00B921DC" w:rsidRDefault="00B921DC">
      <w:pPr>
        <w:rPr>
          <w:sz w:val="20"/>
          <w:szCs w:val="20"/>
        </w:rPr>
      </w:pPr>
    </w:p>
    <w:p w14:paraId="25FEC499" w14:textId="77777777" w:rsidR="00B921DC" w:rsidRDefault="00B56C0C">
      <w:pPr>
        <w:rPr>
          <w:sz w:val="22"/>
          <w:szCs w:val="22"/>
        </w:rPr>
      </w:pPr>
      <w:r>
        <w:rPr>
          <w:color w:val="000000"/>
          <w:sz w:val="22"/>
          <w:szCs w:val="22"/>
        </w:rPr>
        <w:t xml:space="preserve">We are committing to intensive work to close achievement and opportunity gaps for students and recognize that this important work will take not just the efforts of staff, but also our families and community. Our plan will direct resources to evidence-based programs to support SWD, while engaging and empowering their families. </w:t>
      </w:r>
    </w:p>
    <w:p w14:paraId="39C8E2B2" w14:textId="77777777" w:rsidR="00B921DC" w:rsidRDefault="00B921DC">
      <w:pPr>
        <w:widowControl w:val="0"/>
        <w:spacing w:before="1"/>
        <w:rPr>
          <w:sz w:val="22"/>
          <w:szCs w:val="22"/>
        </w:rPr>
      </w:pPr>
    </w:p>
    <w:p w14:paraId="6AAD9A95" w14:textId="77777777" w:rsidR="00B921DC" w:rsidRDefault="00B921DC">
      <w:pPr>
        <w:widowControl w:val="0"/>
        <w:spacing w:before="1"/>
        <w:rPr>
          <w:sz w:val="22"/>
          <w:szCs w:val="22"/>
        </w:rPr>
      </w:pPr>
    </w:p>
    <w:p w14:paraId="211030C1" w14:textId="77777777" w:rsidR="00B921DC" w:rsidRDefault="00B56C0C">
      <w:pPr>
        <w:widowControl w:val="0"/>
        <w:ind w:left="107"/>
        <w:rPr>
          <w:b/>
          <w:sz w:val="26"/>
          <w:szCs w:val="26"/>
        </w:rPr>
      </w:pPr>
      <w:r>
        <w:rPr>
          <w:b/>
          <w:color w:val="2D74B5"/>
          <w:sz w:val="26"/>
          <w:szCs w:val="26"/>
        </w:rPr>
        <w:t>Commitment 2: Using Evidence-Based Programs to Close Gaps</w:t>
      </w:r>
    </w:p>
    <w:p w14:paraId="052B21CD" w14:textId="77777777" w:rsidR="00B921DC" w:rsidRDefault="00B56C0C">
      <w:pPr>
        <w:widowControl w:val="0"/>
        <w:spacing w:before="73"/>
        <w:ind w:left="107" w:right="344"/>
        <w:rPr>
          <w:b/>
          <w:color w:val="1F3863"/>
          <w:sz w:val="22"/>
          <w:szCs w:val="22"/>
        </w:rPr>
      </w:pPr>
      <w:r>
        <w:rPr>
          <w:b/>
          <w:color w:val="1F3863"/>
          <w:sz w:val="22"/>
          <w:szCs w:val="22"/>
        </w:rPr>
        <w:t>What evidence-based programs will your charter school adopt, deepen, or continue to best support the closure of achievement and opportunity gaps? What resources will be allocated to these programs?</w:t>
      </w:r>
    </w:p>
    <w:p w14:paraId="62BC6619" w14:textId="77777777" w:rsidR="00B921DC" w:rsidRDefault="00B921DC">
      <w:pPr>
        <w:widowControl w:val="0"/>
        <w:tabs>
          <w:tab w:val="left" w:pos="1548"/>
          <w:tab w:val="left" w:pos="1549"/>
        </w:tabs>
        <w:ind w:right="298"/>
        <w:rPr>
          <w:b/>
          <w:sz w:val="22"/>
          <w:szCs w:val="22"/>
        </w:rPr>
      </w:pPr>
    </w:p>
    <w:p w14:paraId="70A5C8DC" w14:textId="77777777" w:rsidR="00B921DC" w:rsidRDefault="00B56C0C">
      <w:pPr>
        <w:widowControl w:val="0"/>
        <w:tabs>
          <w:tab w:val="left" w:pos="1548"/>
          <w:tab w:val="left" w:pos="1549"/>
        </w:tabs>
        <w:ind w:right="298"/>
        <w:rPr>
          <w:b/>
          <w:sz w:val="22"/>
          <w:szCs w:val="22"/>
        </w:rPr>
      </w:pPr>
      <w:r>
        <w:rPr>
          <w:b/>
          <w:sz w:val="22"/>
          <w:szCs w:val="22"/>
        </w:rPr>
        <w:t>Evidence-based program: Inclusion/co-teaching for students with disabilities</w:t>
      </w:r>
    </w:p>
    <w:p w14:paraId="2317A2D3" w14:textId="77777777" w:rsidR="00B921DC" w:rsidRDefault="00B921DC">
      <w:pPr>
        <w:widowControl w:val="0"/>
        <w:rPr>
          <w:b/>
          <w:sz w:val="22"/>
          <w:szCs w:val="22"/>
        </w:rPr>
      </w:pPr>
    </w:p>
    <w:p w14:paraId="5CCE38B7" w14:textId="77777777" w:rsidR="00B921DC" w:rsidRDefault="00B56C0C">
      <w:pPr>
        <w:rPr>
          <w:color w:val="000000"/>
          <w:sz w:val="22"/>
          <w:szCs w:val="22"/>
        </w:rPr>
      </w:pPr>
      <w:r>
        <w:rPr>
          <w:color w:val="000000"/>
          <w:sz w:val="22"/>
          <w:szCs w:val="22"/>
        </w:rPr>
        <w:t xml:space="preserve">To improve outcomes for SWD we will deepen the use of inclusion/co-teaching practices. Students with Resource Room services will now receive core content instruction in inclusion </w:t>
      </w:r>
      <w:proofErr w:type="gramStart"/>
      <w:r>
        <w:rPr>
          <w:color w:val="000000"/>
          <w:sz w:val="22"/>
          <w:szCs w:val="22"/>
        </w:rPr>
        <w:t>classrooms, and</w:t>
      </w:r>
      <w:proofErr w:type="gramEnd"/>
      <w:r>
        <w:rPr>
          <w:color w:val="000000"/>
          <w:sz w:val="22"/>
          <w:szCs w:val="22"/>
        </w:rPr>
        <w:t xml:space="preserve"> receive additional services within the Resource Room setting during specific times in the school schedule. To support this shift, we will expand the roles of our Reading Specialists and Math Specialists to include more targeted support and collaborative teaching in inclusion classrooms. </w:t>
      </w:r>
    </w:p>
    <w:p w14:paraId="6E62A9EE" w14:textId="77777777" w:rsidR="00B921DC" w:rsidRDefault="00B921DC">
      <w:pPr>
        <w:rPr>
          <w:color w:val="000000"/>
          <w:sz w:val="22"/>
          <w:szCs w:val="22"/>
        </w:rPr>
      </w:pPr>
    </w:p>
    <w:p w14:paraId="5A1E0D6A" w14:textId="77777777" w:rsidR="00B921DC" w:rsidRDefault="00B56C0C">
      <w:pPr>
        <w:rPr>
          <w:color w:val="000000"/>
          <w:sz w:val="22"/>
          <w:szCs w:val="22"/>
        </w:rPr>
      </w:pPr>
      <w:r>
        <w:rPr>
          <w:color w:val="000000"/>
          <w:sz w:val="22"/>
          <w:szCs w:val="22"/>
        </w:rPr>
        <w:t>We have created new schedule blocks, named WIN (What I Need) blocks in Lower School (K-2) and FLEX blocks in Upper School (3-6), which will be utilized for all students K-6 to receive targeted support. During these blocks, SWD will receive targeted instruction from special education teachers in Resource Rooms, one-on-one or small</w:t>
      </w:r>
      <w:r>
        <w:rPr>
          <w:sz w:val="22"/>
          <w:szCs w:val="22"/>
        </w:rPr>
        <w:t>-</w:t>
      </w:r>
      <w:r>
        <w:rPr>
          <w:color w:val="000000"/>
          <w:sz w:val="22"/>
          <w:szCs w:val="22"/>
        </w:rPr>
        <w:t xml:space="preserve">group instruction from Reading Specialists or Math Specialists, and other services as indicated by their IEPs, such as occupational therapy or </w:t>
      </w:r>
      <w:r>
        <w:rPr>
          <w:color w:val="000000"/>
          <w:sz w:val="22"/>
          <w:szCs w:val="22"/>
        </w:rPr>
        <w:lastRenderedPageBreak/>
        <w:t>speech therapy with our Related Service Providers.</w:t>
      </w:r>
      <w:r>
        <w:rPr>
          <w:sz w:val="22"/>
          <w:szCs w:val="22"/>
        </w:rPr>
        <w:t xml:space="preserve"> This shift will allow us to create more effective data collection/intervention cycles and more equitably serve students across a range of needs and skill levels.  </w:t>
      </w:r>
    </w:p>
    <w:p w14:paraId="4DF58262" w14:textId="77777777" w:rsidR="00B921DC" w:rsidRDefault="00B921DC">
      <w:pPr>
        <w:ind w:left="720"/>
        <w:rPr>
          <w:color w:val="000000"/>
          <w:sz w:val="22"/>
          <w:szCs w:val="22"/>
        </w:rPr>
      </w:pPr>
    </w:p>
    <w:p w14:paraId="5E97D280" w14:textId="77777777" w:rsidR="00B921DC" w:rsidRDefault="00B56C0C">
      <w:pPr>
        <w:rPr>
          <w:color w:val="000000"/>
          <w:sz w:val="22"/>
          <w:szCs w:val="22"/>
        </w:rPr>
      </w:pPr>
      <w:bookmarkStart w:id="0" w:name="_30j0zll" w:colFirst="0" w:colLast="0"/>
      <w:bookmarkEnd w:id="0"/>
      <w:r>
        <w:rPr>
          <w:color w:val="000000"/>
          <w:sz w:val="22"/>
          <w:szCs w:val="22"/>
        </w:rPr>
        <w:t>BRCPS began planning these program changes during the winter and spring of 2020</w:t>
      </w:r>
      <w:r>
        <w:rPr>
          <w:sz w:val="22"/>
          <w:szCs w:val="22"/>
        </w:rPr>
        <w:t xml:space="preserve"> </w:t>
      </w:r>
      <w:r>
        <w:rPr>
          <w:color w:val="000000"/>
          <w:sz w:val="22"/>
          <w:szCs w:val="22"/>
        </w:rPr>
        <w:t>with the intention to make the necessary structural shifts and investments in SY20-21, and there is clear alignment in scope and timing with the Student Opportunity Act.  This direction is also supported by</w:t>
      </w:r>
      <w:r>
        <w:rPr>
          <w:sz w:val="22"/>
          <w:szCs w:val="22"/>
        </w:rPr>
        <w:t xml:space="preserve"> feedback from community stakeholders, </w:t>
      </w:r>
      <w:r>
        <w:rPr>
          <w:color w:val="000000"/>
          <w:sz w:val="22"/>
          <w:szCs w:val="22"/>
        </w:rPr>
        <w:t xml:space="preserve">gathered through </w:t>
      </w:r>
      <w:r>
        <w:rPr>
          <w:sz w:val="22"/>
          <w:szCs w:val="22"/>
        </w:rPr>
        <w:t xml:space="preserve">surveys and email </w:t>
      </w:r>
      <w:r>
        <w:rPr>
          <w:color w:val="000000"/>
          <w:sz w:val="22"/>
          <w:szCs w:val="22"/>
        </w:rPr>
        <w:t>outreach conducted in spring of 2020.</w:t>
      </w:r>
    </w:p>
    <w:p w14:paraId="01735DBB" w14:textId="77777777" w:rsidR="00B921DC" w:rsidRDefault="00B921DC">
      <w:pPr>
        <w:widowControl w:val="0"/>
        <w:rPr>
          <w:i/>
          <w:sz w:val="20"/>
          <w:szCs w:val="20"/>
        </w:rPr>
      </w:pPr>
    </w:p>
    <w:p w14:paraId="41DF919F" w14:textId="77777777" w:rsidR="00B921DC" w:rsidRDefault="00B921DC">
      <w:pPr>
        <w:widowControl w:val="0"/>
        <w:rPr>
          <w:sz w:val="20"/>
          <w:szCs w:val="20"/>
        </w:rPr>
      </w:pPr>
    </w:p>
    <w:tbl>
      <w:tblPr>
        <w:tblStyle w:val="a0"/>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B921DC" w14:paraId="58861699" w14:textId="77777777" w:rsidTr="001B02EB">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38E24D91" w14:textId="77777777" w:rsidR="00B921DC" w:rsidRDefault="00B56C0C">
            <w:pPr>
              <w:widowControl w:val="0"/>
              <w:spacing w:line="219" w:lineRule="auto"/>
              <w:ind w:left="100"/>
              <w:rPr>
                <w:b/>
                <w:sz w:val="20"/>
                <w:szCs w:val="20"/>
              </w:rPr>
            </w:pPr>
            <w:r>
              <w:rPr>
                <w:b/>
                <w:sz w:val="20"/>
                <w:szCs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5CC67995" w14:textId="77777777" w:rsidR="00B921DC" w:rsidRDefault="00B56C0C">
            <w:pPr>
              <w:widowControl w:val="0"/>
              <w:spacing w:line="219" w:lineRule="auto"/>
              <w:ind w:left="103"/>
              <w:rPr>
                <w:b/>
                <w:sz w:val="20"/>
                <w:szCs w:val="20"/>
              </w:rPr>
            </w:pPr>
            <w:r>
              <w:rPr>
                <w:b/>
                <w:sz w:val="20"/>
                <w:szCs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45333507" w14:textId="77777777" w:rsidR="00B921DC" w:rsidRDefault="00B56C0C">
            <w:pPr>
              <w:widowControl w:val="0"/>
              <w:spacing w:line="219" w:lineRule="auto"/>
              <w:ind w:left="105"/>
              <w:rPr>
                <w:b/>
                <w:sz w:val="20"/>
                <w:szCs w:val="20"/>
              </w:rPr>
            </w:pPr>
            <w:r>
              <w:rPr>
                <w:b/>
                <w:sz w:val="20"/>
                <w:szCs w:val="20"/>
              </w:rPr>
              <w:t>Foundation Category</w:t>
            </w:r>
          </w:p>
        </w:tc>
      </w:tr>
      <w:tr w:rsidR="00B921DC" w14:paraId="6036710D" w14:textId="77777777" w:rsidTr="001B02EB">
        <w:trPr>
          <w:trHeight w:val="292"/>
        </w:trPr>
        <w:tc>
          <w:tcPr>
            <w:tcW w:w="3081" w:type="dxa"/>
            <w:tcBorders>
              <w:top w:val="single" w:sz="4" w:space="0" w:color="000000"/>
              <w:left w:val="single" w:sz="4" w:space="0" w:color="000000"/>
              <w:bottom w:val="single" w:sz="4" w:space="0" w:color="000000"/>
              <w:right w:val="single" w:sz="4" w:space="0" w:color="000000"/>
            </w:tcBorders>
          </w:tcPr>
          <w:p w14:paraId="2B1DC93E" w14:textId="77777777" w:rsidR="00B921DC" w:rsidRDefault="00B56C0C">
            <w:pPr>
              <w:widowControl w:val="0"/>
              <w:rPr>
                <w:sz w:val="20"/>
                <w:szCs w:val="20"/>
              </w:rPr>
            </w:pPr>
            <w:r>
              <w:rPr>
                <w:sz w:val="20"/>
                <w:szCs w:val="20"/>
              </w:rPr>
              <w:t>Special education teachers working in inclusion classrooms (12)</w:t>
            </w:r>
          </w:p>
        </w:tc>
        <w:tc>
          <w:tcPr>
            <w:tcW w:w="1760" w:type="dxa"/>
            <w:tcBorders>
              <w:top w:val="single" w:sz="4" w:space="0" w:color="000000"/>
              <w:left w:val="single" w:sz="4" w:space="0" w:color="000000"/>
              <w:bottom w:val="single" w:sz="4" w:space="0" w:color="000000"/>
              <w:right w:val="single" w:sz="4" w:space="0" w:color="000000"/>
            </w:tcBorders>
          </w:tcPr>
          <w:p w14:paraId="30BE2B50" w14:textId="77777777" w:rsidR="00B921DC" w:rsidRDefault="00B56C0C">
            <w:pPr>
              <w:widowControl w:val="0"/>
              <w:rPr>
                <w:sz w:val="20"/>
                <w:szCs w:val="20"/>
              </w:rPr>
            </w:pPr>
            <w:r>
              <w:rPr>
                <w:sz w:val="20"/>
                <w:szCs w:val="20"/>
              </w:rPr>
              <w:t xml:space="preserve"> 800,000</w:t>
            </w:r>
          </w:p>
        </w:tc>
        <w:tc>
          <w:tcPr>
            <w:tcW w:w="5662" w:type="dxa"/>
            <w:tcBorders>
              <w:top w:val="single" w:sz="4" w:space="0" w:color="000000"/>
              <w:left w:val="single" w:sz="4" w:space="0" w:color="000000"/>
              <w:bottom w:val="single" w:sz="4" w:space="0" w:color="000000"/>
              <w:right w:val="single" w:sz="4" w:space="0" w:color="000000"/>
            </w:tcBorders>
          </w:tcPr>
          <w:p w14:paraId="0A906319" w14:textId="77777777" w:rsidR="00B921DC" w:rsidRDefault="00B56C0C">
            <w:pPr>
              <w:widowControl w:val="0"/>
              <w:rPr>
                <w:sz w:val="20"/>
                <w:szCs w:val="20"/>
              </w:rPr>
            </w:pPr>
            <w:r>
              <w:rPr>
                <w:sz w:val="20"/>
                <w:szCs w:val="20"/>
              </w:rPr>
              <w:t xml:space="preserve"> Classroom &amp; Specialist Teachers</w:t>
            </w:r>
          </w:p>
        </w:tc>
      </w:tr>
      <w:tr w:rsidR="00B921DC" w14:paraId="096D2659" w14:textId="77777777" w:rsidTr="001B02EB">
        <w:trPr>
          <w:trHeight w:val="292"/>
        </w:trPr>
        <w:tc>
          <w:tcPr>
            <w:tcW w:w="3081" w:type="dxa"/>
            <w:tcBorders>
              <w:top w:val="single" w:sz="4" w:space="0" w:color="000000"/>
              <w:left w:val="single" w:sz="4" w:space="0" w:color="000000"/>
              <w:bottom w:val="single" w:sz="4" w:space="0" w:color="000000"/>
              <w:right w:val="single" w:sz="4" w:space="0" w:color="000000"/>
            </w:tcBorders>
          </w:tcPr>
          <w:p w14:paraId="239BD7B1" w14:textId="77777777" w:rsidR="00B921DC" w:rsidRDefault="00B56C0C">
            <w:pPr>
              <w:widowControl w:val="0"/>
              <w:rPr>
                <w:sz w:val="20"/>
                <w:szCs w:val="20"/>
              </w:rPr>
            </w:pPr>
            <w:r>
              <w:rPr>
                <w:sz w:val="20"/>
                <w:szCs w:val="20"/>
              </w:rPr>
              <w:t>Reading Specialists (2)</w:t>
            </w:r>
          </w:p>
        </w:tc>
        <w:tc>
          <w:tcPr>
            <w:tcW w:w="1760" w:type="dxa"/>
            <w:tcBorders>
              <w:top w:val="single" w:sz="4" w:space="0" w:color="000000"/>
              <w:left w:val="single" w:sz="4" w:space="0" w:color="000000"/>
              <w:bottom w:val="single" w:sz="4" w:space="0" w:color="000000"/>
              <w:right w:val="single" w:sz="4" w:space="0" w:color="000000"/>
            </w:tcBorders>
          </w:tcPr>
          <w:p w14:paraId="2CAE5E38" w14:textId="77777777" w:rsidR="00B921DC" w:rsidRDefault="00B56C0C">
            <w:pPr>
              <w:widowControl w:val="0"/>
              <w:rPr>
                <w:sz w:val="20"/>
                <w:szCs w:val="20"/>
              </w:rPr>
            </w:pPr>
            <w:r>
              <w:rPr>
                <w:sz w:val="20"/>
                <w:szCs w:val="20"/>
              </w:rPr>
              <w:t xml:space="preserve"> 130,000</w:t>
            </w:r>
          </w:p>
        </w:tc>
        <w:tc>
          <w:tcPr>
            <w:tcW w:w="5662" w:type="dxa"/>
            <w:tcBorders>
              <w:top w:val="single" w:sz="4" w:space="0" w:color="000000"/>
              <w:left w:val="single" w:sz="4" w:space="0" w:color="000000"/>
              <w:bottom w:val="single" w:sz="4" w:space="0" w:color="000000"/>
              <w:right w:val="single" w:sz="4" w:space="0" w:color="000000"/>
            </w:tcBorders>
          </w:tcPr>
          <w:p w14:paraId="386157AC" w14:textId="77777777" w:rsidR="00B921DC" w:rsidRDefault="00B56C0C">
            <w:pPr>
              <w:widowControl w:val="0"/>
              <w:rPr>
                <w:sz w:val="20"/>
                <w:szCs w:val="20"/>
              </w:rPr>
            </w:pPr>
            <w:r>
              <w:rPr>
                <w:sz w:val="20"/>
                <w:szCs w:val="20"/>
              </w:rPr>
              <w:t xml:space="preserve"> Classroom &amp; Specialist Teachers</w:t>
            </w:r>
          </w:p>
        </w:tc>
      </w:tr>
      <w:tr w:rsidR="00B921DC" w14:paraId="61549324" w14:textId="77777777" w:rsidTr="001B02EB">
        <w:trPr>
          <w:trHeight w:val="299"/>
        </w:trPr>
        <w:tc>
          <w:tcPr>
            <w:tcW w:w="3081" w:type="dxa"/>
            <w:tcBorders>
              <w:top w:val="single" w:sz="4" w:space="0" w:color="000000"/>
              <w:left w:val="single" w:sz="4" w:space="0" w:color="000000"/>
              <w:bottom w:val="single" w:sz="8" w:space="0" w:color="000000"/>
              <w:right w:val="single" w:sz="4" w:space="0" w:color="000000"/>
            </w:tcBorders>
          </w:tcPr>
          <w:p w14:paraId="3B64D509" w14:textId="77777777" w:rsidR="00B921DC" w:rsidRDefault="00B56C0C">
            <w:pPr>
              <w:widowControl w:val="0"/>
              <w:rPr>
                <w:sz w:val="20"/>
                <w:szCs w:val="20"/>
              </w:rPr>
            </w:pPr>
            <w:r>
              <w:rPr>
                <w:sz w:val="20"/>
                <w:szCs w:val="20"/>
              </w:rPr>
              <w:t>Math Specialists (2)</w:t>
            </w:r>
          </w:p>
        </w:tc>
        <w:tc>
          <w:tcPr>
            <w:tcW w:w="1760" w:type="dxa"/>
            <w:tcBorders>
              <w:top w:val="single" w:sz="4" w:space="0" w:color="000000"/>
              <w:left w:val="single" w:sz="4" w:space="0" w:color="000000"/>
              <w:bottom w:val="single" w:sz="8" w:space="0" w:color="000000"/>
              <w:right w:val="single" w:sz="4" w:space="0" w:color="000000"/>
            </w:tcBorders>
          </w:tcPr>
          <w:p w14:paraId="264D96A8" w14:textId="77777777" w:rsidR="00B921DC" w:rsidRDefault="00B56C0C">
            <w:pPr>
              <w:widowControl w:val="0"/>
              <w:rPr>
                <w:sz w:val="20"/>
                <w:szCs w:val="20"/>
              </w:rPr>
            </w:pPr>
            <w:r>
              <w:rPr>
                <w:sz w:val="20"/>
                <w:szCs w:val="20"/>
              </w:rPr>
              <w:t xml:space="preserve"> 145,000</w:t>
            </w:r>
          </w:p>
        </w:tc>
        <w:tc>
          <w:tcPr>
            <w:tcW w:w="5662" w:type="dxa"/>
            <w:tcBorders>
              <w:top w:val="single" w:sz="4" w:space="0" w:color="000000"/>
              <w:left w:val="single" w:sz="4" w:space="0" w:color="000000"/>
              <w:bottom w:val="single" w:sz="8" w:space="0" w:color="000000"/>
              <w:right w:val="single" w:sz="4" w:space="0" w:color="000000"/>
            </w:tcBorders>
          </w:tcPr>
          <w:p w14:paraId="09998373" w14:textId="77777777" w:rsidR="00B921DC" w:rsidRDefault="00B56C0C">
            <w:pPr>
              <w:widowControl w:val="0"/>
              <w:rPr>
                <w:sz w:val="20"/>
                <w:szCs w:val="20"/>
              </w:rPr>
            </w:pPr>
            <w:r>
              <w:rPr>
                <w:sz w:val="20"/>
                <w:szCs w:val="20"/>
              </w:rPr>
              <w:t xml:space="preserve"> Classroom &amp; Specialist Teachers</w:t>
            </w:r>
          </w:p>
        </w:tc>
      </w:tr>
      <w:tr w:rsidR="00B921DC" w14:paraId="0D0AC43C" w14:textId="77777777" w:rsidTr="001B02EB">
        <w:trPr>
          <w:trHeight w:val="299"/>
        </w:trPr>
        <w:tc>
          <w:tcPr>
            <w:tcW w:w="3081" w:type="dxa"/>
            <w:tcBorders>
              <w:top w:val="single" w:sz="4" w:space="0" w:color="000000"/>
              <w:left w:val="single" w:sz="4" w:space="0" w:color="000000"/>
              <w:bottom w:val="single" w:sz="8" w:space="0" w:color="000000"/>
              <w:right w:val="single" w:sz="4" w:space="0" w:color="000000"/>
            </w:tcBorders>
          </w:tcPr>
          <w:p w14:paraId="049DA70C" w14:textId="77777777" w:rsidR="00B921DC" w:rsidRDefault="00B56C0C">
            <w:pPr>
              <w:widowControl w:val="0"/>
              <w:rPr>
                <w:sz w:val="20"/>
                <w:szCs w:val="20"/>
              </w:rPr>
            </w:pPr>
            <w:r>
              <w:rPr>
                <w:sz w:val="20"/>
                <w:szCs w:val="20"/>
              </w:rPr>
              <w:t>Inclusion/Co-teaching PD</w:t>
            </w:r>
          </w:p>
        </w:tc>
        <w:tc>
          <w:tcPr>
            <w:tcW w:w="1760" w:type="dxa"/>
            <w:tcBorders>
              <w:top w:val="single" w:sz="4" w:space="0" w:color="000000"/>
              <w:left w:val="single" w:sz="4" w:space="0" w:color="000000"/>
              <w:bottom w:val="single" w:sz="8" w:space="0" w:color="000000"/>
              <w:right w:val="single" w:sz="4" w:space="0" w:color="000000"/>
            </w:tcBorders>
          </w:tcPr>
          <w:p w14:paraId="2F1E181B" w14:textId="77777777" w:rsidR="00B921DC" w:rsidRDefault="00B56C0C">
            <w:pPr>
              <w:widowControl w:val="0"/>
              <w:rPr>
                <w:sz w:val="20"/>
                <w:szCs w:val="20"/>
              </w:rPr>
            </w:pPr>
            <w:r>
              <w:rPr>
                <w:sz w:val="20"/>
                <w:szCs w:val="20"/>
              </w:rPr>
              <w:t>Most PD in FY21 will be provided by school staff.</w:t>
            </w:r>
          </w:p>
        </w:tc>
        <w:tc>
          <w:tcPr>
            <w:tcW w:w="5662" w:type="dxa"/>
            <w:tcBorders>
              <w:top w:val="single" w:sz="4" w:space="0" w:color="000000"/>
              <w:left w:val="single" w:sz="4" w:space="0" w:color="000000"/>
              <w:bottom w:val="single" w:sz="8" w:space="0" w:color="000000"/>
              <w:right w:val="single" w:sz="4" w:space="0" w:color="000000"/>
            </w:tcBorders>
          </w:tcPr>
          <w:p w14:paraId="308F85BF" w14:textId="77777777" w:rsidR="00B921DC" w:rsidRDefault="00B56C0C">
            <w:pPr>
              <w:widowControl w:val="0"/>
              <w:rPr>
                <w:sz w:val="20"/>
                <w:szCs w:val="20"/>
              </w:rPr>
            </w:pPr>
            <w:r>
              <w:rPr>
                <w:sz w:val="20"/>
                <w:szCs w:val="20"/>
              </w:rPr>
              <w:t xml:space="preserve"> Professional Development</w:t>
            </w:r>
          </w:p>
        </w:tc>
      </w:tr>
      <w:tr w:rsidR="00B921DC" w14:paraId="63556E96" w14:textId="77777777" w:rsidTr="001B02EB">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7116EF16" w14:textId="77777777" w:rsidR="00B921DC" w:rsidRDefault="00B56C0C">
            <w:pPr>
              <w:widowControl w:val="0"/>
              <w:spacing w:line="219" w:lineRule="auto"/>
              <w:ind w:left="100"/>
              <w:rPr>
                <w:b/>
                <w:sz w:val="20"/>
                <w:szCs w:val="20"/>
              </w:rPr>
            </w:pPr>
            <w:r>
              <w:rPr>
                <w:b/>
                <w:sz w:val="20"/>
                <w:szCs w:val="20"/>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17DF0F2A" w14:textId="77777777" w:rsidR="00B921DC" w:rsidRDefault="00B56C0C">
            <w:pPr>
              <w:widowControl w:val="0"/>
              <w:spacing w:line="256" w:lineRule="auto"/>
              <w:rPr>
                <w:sz w:val="20"/>
                <w:szCs w:val="20"/>
              </w:rPr>
            </w:pPr>
            <w:r>
              <w:rPr>
                <w:sz w:val="20"/>
                <w:szCs w:val="20"/>
              </w:rPr>
              <w:t xml:space="preserve"> Inclusion/co-teaching</w:t>
            </w:r>
          </w:p>
        </w:tc>
      </w:tr>
      <w:tr w:rsidR="00B921DC" w14:paraId="0B222BC2" w14:textId="77777777" w:rsidTr="001B02EB">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805066" w14:textId="77777777" w:rsidR="00B921DC" w:rsidRDefault="00B56C0C">
            <w:pPr>
              <w:widowControl w:val="0"/>
              <w:spacing w:before="2" w:line="256" w:lineRule="auto"/>
              <w:ind w:left="100"/>
              <w:rPr>
                <w:b/>
                <w:sz w:val="20"/>
                <w:szCs w:val="20"/>
              </w:rPr>
            </w:pPr>
            <w:r>
              <w:rPr>
                <w:b/>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58994613" w14:textId="792C2B08" w:rsidR="00B921DC" w:rsidRDefault="00B56C0C">
            <w:pPr>
              <w:widowControl w:val="0"/>
              <w:spacing w:line="256" w:lineRule="auto"/>
              <w:rPr>
                <w:sz w:val="20"/>
                <w:szCs w:val="20"/>
              </w:rPr>
            </w:pPr>
            <w:r>
              <w:rPr>
                <w:sz w:val="20"/>
                <w:szCs w:val="20"/>
              </w:rPr>
              <w:t xml:space="preserve"> </w:t>
            </w:r>
            <w:r w:rsidR="008D3C3F">
              <w:rPr>
                <w:sz w:val="20"/>
                <w:szCs w:val="20"/>
              </w:rPr>
              <w:t>D) Hiring school personnel that best support improved student performance; E) Increased or improved professional development</w:t>
            </w:r>
          </w:p>
        </w:tc>
      </w:tr>
    </w:tbl>
    <w:p w14:paraId="38F577AF" w14:textId="77777777" w:rsidR="00B921DC" w:rsidRDefault="00B921DC">
      <w:pPr>
        <w:widowControl w:val="0"/>
        <w:spacing w:before="86"/>
        <w:rPr>
          <w:sz w:val="22"/>
          <w:szCs w:val="22"/>
        </w:rPr>
      </w:pPr>
    </w:p>
    <w:p w14:paraId="3BFD55FB" w14:textId="77777777" w:rsidR="00B921DC" w:rsidRDefault="00B56C0C">
      <w:pPr>
        <w:widowControl w:val="0"/>
        <w:spacing w:before="86"/>
        <w:ind w:left="107"/>
        <w:rPr>
          <w:b/>
          <w:sz w:val="26"/>
          <w:szCs w:val="26"/>
        </w:rPr>
      </w:pPr>
      <w:r>
        <w:rPr>
          <w:b/>
          <w:color w:val="2D74B5"/>
          <w:sz w:val="26"/>
          <w:szCs w:val="26"/>
        </w:rPr>
        <w:t>Commitment 3: Monitoring Success with Outcome Metrics and Targets</w:t>
      </w:r>
    </w:p>
    <w:p w14:paraId="00D85D1F" w14:textId="77777777" w:rsidR="00B921DC" w:rsidRDefault="00B56C0C">
      <w:pPr>
        <w:widowControl w:val="0"/>
        <w:spacing w:before="148"/>
        <w:ind w:left="107" w:right="358"/>
        <w:rPr>
          <w:i/>
          <w:color w:val="1F3863"/>
          <w:sz w:val="22"/>
          <w:szCs w:val="22"/>
        </w:rPr>
      </w:pPr>
      <w:r>
        <w:rPr>
          <w:b/>
          <w:color w:val="1F3863"/>
          <w:sz w:val="22"/>
          <w:szCs w:val="22"/>
        </w:rPr>
        <w:t xml:space="preserve">What metrics will your charter school use to monitor success in reducing disparities in achievement among student subgroups? Select from the list of Department metrics or provide your own. </w:t>
      </w:r>
    </w:p>
    <w:p w14:paraId="07792710" w14:textId="77777777" w:rsidR="00B921DC" w:rsidRDefault="00B921DC">
      <w:pPr>
        <w:widowControl w:val="0"/>
        <w:spacing w:before="8"/>
        <w:rPr>
          <w:i/>
          <w:sz w:val="22"/>
          <w:szCs w:val="22"/>
        </w:rPr>
      </w:pPr>
    </w:p>
    <w:tbl>
      <w:tblPr>
        <w:tblStyle w:val="a1"/>
        <w:tblW w:w="807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070"/>
      </w:tblGrid>
      <w:tr w:rsidR="00B921DC" w14:paraId="0C7C8B56" w14:textId="77777777" w:rsidTr="001B02EB">
        <w:trPr>
          <w:trHeight w:val="1305"/>
        </w:trPr>
        <w:tc>
          <w:tcPr>
            <w:tcW w:w="8070" w:type="dxa"/>
          </w:tcPr>
          <w:p w14:paraId="4DDC3827" w14:textId="77777777" w:rsidR="00B921DC" w:rsidRDefault="00B56C0C">
            <w:pPr>
              <w:widowControl w:val="0"/>
              <w:tabs>
                <w:tab w:val="left" w:pos="442"/>
              </w:tabs>
              <w:spacing w:line="211" w:lineRule="auto"/>
              <w:ind w:left="441"/>
              <w:jc w:val="both"/>
              <w:rPr>
                <w:b/>
                <w:sz w:val="22"/>
                <w:szCs w:val="22"/>
              </w:rPr>
            </w:pPr>
            <w:r>
              <w:rPr>
                <w:b/>
                <w:sz w:val="22"/>
                <w:szCs w:val="22"/>
              </w:rPr>
              <w:t xml:space="preserve">Department outcome metrics: </w:t>
            </w:r>
          </w:p>
          <w:p w14:paraId="1462FD03" w14:textId="77777777" w:rsidR="00B921DC" w:rsidRDefault="00B56C0C" w:rsidP="00D446B8">
            <w:pPr>
              <w:widowControl w:val="0"/>
              <w:numPr>
                <w:ilvl w:val="1"/>
                <w:numId w:val="5"/>
              </w:numPr>
              <w:tabs>
                <w:tab w:val="left" w:pos="629"/>
              </w:tabs>
              <w:spacing w:before="39" w:line="245" w:lineRule="auto"/>
            </w:pPr>
            <w:r>
              <w:rPr>
                <w:sz w:val="22"/>
                <w:szCs w:val="22"/>
              </w:rPr>
              <w:t>Improved average scaled score in English language arts (ELA)</w:t>
            </w:r>
          </w:p>
          <w:p w14:paraId="349106CD" w14:textId="77777777" w:rsidR="00B921DC" w:rsidRDefault="00B56C0C" w:rsidP="00D446B8">
            <w:pPr>
              <w:widowControl w:val="0"/>
              <w:numPr>
                <w:ilvl w:val="1"/>
                <w:numId w:val="5"/>
              </w:numPr>
              <w:tabs>
                <w:tab w:val="left" w:pos="629"/>
              </w:tabs>
              <w:spacing w:before="39" w:line="245" w:lineRule="auto"/>
            </w:pPr>
            <w:r>
              <w:rPr>
                <w:sz w:val="22"/>
                <w:szCs w:val="22"/>
              </w:rPr>
              <w:t xml:space="preserve">Increase in % M/E Expectations in English language arts (ELA) </w:t>
            </w:r>
          </w:p>
          <w:p w14:paraId="3ABEAE7B" w14:textId="77777777" w:rsidR="00B921DC" w:rsidRDefault="00B56C0C" w:rsidP="00D446B8">
            <w:pPr>
              <w:widowControl w:val="0"/>
              <w:numPr>
                <w:ilvl w:val="1"/>
                <w:numId w:val="5"/>
              </w:numPr>
              <w:tabs>
                <w:tab w:val="left" w:pos="629"/>
              </w:tabs>
              <w:spacing w:line="244" w:lineRule="auto"/>
            </w:pPr>
            <w:r>
              <w:rPr>
                <w:sz w:val="22"/>
                <w:szCs w:val="22"/>
              </w:rPr>
              <w:t xml:space="preserve">Improved average scaled score in </w:t>
            </w:r>
            <w:proofErr w:type="gramStart"/>
            <w:r>
              <w:rPr>
                <w:sz w:val="22"/>
                <w:szCs w:val="22"/>
              </w:rPr>
              <w:t>Mathematics</w:t>
            </w:r>
            <w:proofErr w:type="gramEnd"/>
            <w:r>
              <w:rPr>
                <w:sz w:val="22"/>
                <w:szCs w:val="22"/>
              </w:rPr>
              <w:t xml:space="preserve"> </w:t>
            </w:r>
          </w:p>
          <w:p w14:paraId="40386D84" w14:textId="77777777" w:rsidR="00B921DC" w:rsidRDefault="00B56C0C" w:rsidP="00D446B8">
            <w:pPr>
              <w:widowControl w:val="0"/>
              <w:numPr>
                <w:ilvl w:val="1"/>
                <w:numId w:val="5"/>
              </w:numPr>
              <w:tabs>
                <w:tab w:val="left" w:pos="629"/>
              </w:tabs>
              <w:spacing w:line="244" w:lineRule="auto"/>
            </w:pPr>
            <w:r>
              <w:rPr>
                <w:sz w:val="22"/>
                <w:szCs w:val="22"/>
              </w:rPr>
              <w:t xml:space="preserve">Increase in % M/E Expectations in Mathematics </w:t>
            </w:r>
          </w:p>
          <w:p w14:paraId="4FCE29B5" w14:textId="77777777" w:rsidR="00B921DC" w:rsidRDefault="00B56C0C" w:rsidP="00D446B8">
            <w:pPr>
              <w:widowControl w:val="0"/>
              <w:numPr>
                <w:ilvl w:val="1"/>
                <w:numId w:val="5"/>
              </w:numPr>
              <w:tabs>
                <w:tab w:val="left" w:pos="629"/>
              </w:tabs>
              <w:spacing w:line="244" w:lineRule="auto"/>
            </w:pPr>
            <w:r>
              <w:rPr>
                <w:sz w:val="22"/>
                <w:szCs w:val="22"/>
              </w:rPr>
              <w:t xml:space="preserve">Improved average scaled score in </w:t>
            </w:r>
            <w:proofErr w:type="gramStart"/>
            <w:r>
              <w:rPr>
                <w:sz w:val="22"/>
                <w:szCs w:val="22"/>
              </w:rPr>
              <w:t>Science</w:t>
            </w:r>
            <w:proofErr w:type="gramEnd"/>
            <w:r>
              <w:rPr>
                <w:sz w:val="22"/>
                <w:szCs w:val="22"/>
              </w:rPr>
              <w:t xml:space="preserve"> </w:t>
            </w:r>
          </w:p>
          <w:p w14:paraId="3322ECE8" w14:textId="77777777" w:rsidR="00B921DC" w:rsidRDefault="00B56C0C" w:rsidP="00D446B8">
            <w:pPr>
              <w:widowControl w:val="0"/>
              <w:numPr>
                <w:ilvl w:val="1"/>
                <w:numId w:val="5"/>
              </w:numPr>
              <w:tabs>
                <w:tab w:val="left" w:pos="629"/>
              </w:tabs>
              <w:spacing w:line="244" w:lineRule="auto"/>
            </w:pPr>
            <w:r>
              <w:rPr>
                <w:sz w:val="22"/>
                <w:szCs w:val="22"/>
              </w:rPr>
              <w:t xml:space="preserve">Increase in % M/E Expectations in Science </w:t>
            </w:r>
          </w:p>
          <w:p w14:paraId="5DE74630" w14:textId="77777777" w:rsidR="00B921DC" w:rsidRDefault="00B921DC">
            <w:pPr>
              <w:widowControl w:val="0"/>
              <w:tabs>
                <w:tab w:val="left" w:pos="629"/>
              </w:tabs>
              <w:spacing w:line="244" w:lineRule="auto"/>
              <w:ind w:left="799"/>
              <w:rPr>
                <w:sz w:val="22"/>
                <w:szCs w:val="22"/>
              </w:rPr>
            </w:pPr>
          </w:p>
        </w:tc>
      </w:tr>
    </w:tbl>
    <w:p w14:paraId="20FA2B4D" w14:textId="77777777" w:rsidR="00B921DC" w:rsidRDefault="00B921DC">
      <w:pPr>
        <w:widowControl w:val="0"/>
        <w:spacing w:before="12"/>
        <w:rPr>
          <w:i/>
          <w:sz w:val="22"/>
          <w:szCs w:val="22"/>
        </w:rPr>
      </w:pPr>
    </w:p>
    <w:p w14:paraId="385BE045" w14:textId="77777777" w:rsidR="00B921DC" w:rsidRDefault="00B56C0C">
      <w:pPr>
        <w:widowControl w:val="0"/>
        <w:spacing w:before="12"/>
        <w:rPr>
          <w:sz w:val="22"/>
          <w:szCs w:val="22"/>
        </w:rPr>
      </w:pPr>
      <w:r>
        <w:rPr>
          <w:sz w:val="22"/>
          <w:szCs w:val="22"/>
        </w:rPr>
        <w:t xml:space="preserve">Using data from the state’s annual MCAS exams, improvements in the average scaled scores and increases in the percentage of students who reach the Meeting/Exceeding Expectations benchmarks will demonstrate our SWD are learning and achieving at a higher level. If gaps in achievement do not narrow because our non-disabled students make larger gains than our SWD, this will be a positive indicator for our overall academic program but will indicate we must commit additional effort/resources to SWD. </w:t>
      </w:r>
    </w:p>
    <w:p w14:paraId="37B792DB" w14:textId="77777777" w:rsidR="00B921DC" w:rsidRDefault="00B921DC">
      <w:pPr>
        <w:widowControl w:val="0"/>
        <w:spacing w:before="12"/>
      </w:pPr>
    </w:p>
    <w:p w14:paraId="1889A298" w14:textId="77777777" w:rsidR="00B921DC" w:rsidRDefault="00B56C0C">
      <w:pPr>
        <w:widowControl w:val="0"/>
        <w:rPr>
          <w:b/>
          <w:sz w:val="26"/>
          <w:szCs w:val="26"/>
        </w:rPr>
      </w:pPr>
      <w:r>
        <w:rPr>
          <w:b/>
          <w:color w:val="2D74B5"/>
          <w:sz w:val="26"/>
          <w:szCs w:val="26"/>
        </w:rPr>
        <w:t>Commitment 4: Engaging All Families</w:t>
      </w:r>
    </w:p>
    <w:p w14:paraId="732F5C2F" w14:textId="77777777" w:rsidR="00B921DC" w:rsidRDefault="00B56C0C">
      <w:pPr>
        <w:widowControl w:val="0"/>
        <w:spacing w:before="73"/>
        <w:ind w:left="107" w:right="221"/>
        <w:rPr>
          <w:sz w:val="22"/>
          <w:szCs w:val="22"/>
        </w:rPr>
      </w:pPr>
      <w:r>
        <w:rPr>
          <w:b/>
          <w:color w:val="1F3863"/>
          <w:sz w:val="22"/>
          <w:szCs w:val="22"/>
        </w:rPr>
        <w:t>How will your charter school ensure that all families, particularly those representing the student subgroups most in need of support, have the opportunity to meaningfully engage with the charter school regarding their students’ needs?</w:t>
      </w:r>
    </w:p>
    <w:p w14:paraId="7AF07566" w14:textId="77777777" w:rsidR="00B921DC" w:rsidRDefault="00B921DC">
      <w:pPr>
        <w:widowControl w:val="0"/>
        <w:rPr>
          <w:b/>
          <w:sz w:val="22"/>
          <w:szCs w:val="22"/>
        </w:rPr>
      </w:pPr>
    </w:p>
    <w:p w14:paraId="75D4D3D8" w14:textId="77777777" w:rsidR="00B921DC" w:rsidRDefault="00B56C0C">
      <w:pPr>
        <w:rPr>
          <w:sz w:val="22"/>
          <w:szCs w:val="22"/>
          <w:highlight w:val="white"/>
        </w:rPr>
      </w:pPr>
      <w:bookmarkStart w:id="1" w:name="_rynplzno470n" w:colFirst="0" w:colLast="0"/>
      <w:bookmarkEnd w:id="1"/>
      <w:r>
        <w:rPr>
          <w:sz w:val="22"/>
          <w:szCs w:val="22"/>
        </w:rPr>
        <w:t xml:space="preserve">In SY21 we will continue to </w:t>
      </w:r>
      <w:r>
        <w:rPr>
          <w:sz w:val="22"/>
          <w:szCs w:val="22"/>
          <w:highlight w:val="white"/>
        </w:rPr>
        <w:t xml:space="preserve">take necessary steps toward establishing a functioning and stable Special Education Parent Advisory Council (SEPAC).  We will build on the work we started in SY20, providing families with the tools and information to create an effective self-governing SEPAC.  Under a waiver granted to BRCPS in 2019, the school is </w:t>
      </w:r>
      <w:r>
        <w:rPr>
          <w:sz w:val="22"/>
          <w:szCs w:val="22"/>
          <w:highlight w:val="white"/>
        </w:rPr>
        <w:lastRenderedPageBreak/>
        <w:t xml:space="preserve">following a multi-year process to establish the SEPAC; as we do so, we will work to ensure the families who are interested in joining and leading the council are fully informed of our special education programs and services, including those described in this plan.  Once officially established, the council will meet regularly with school officials to participate in the planning, </w:t>
      </w:r>
      <w:proofErr w:type="gramStart"/>
      <w:r>
        <w:rPr>
          <w:sz w:val="22"/>
          <w:szCs w:val="22"/>
          <w:highlight w:val="white"/>
        </w:rPr>
        <w:t>development</w:t>
      </w:r>
      <w:proofErr w:type="gramEnd"/>
      <w:r>
        <w:rPr>
          <w:sz w:val="22"/>
          <w:szCs w:val="22"/>
          <w:highlight w:val="white"/>
        </w:rPr>
        <w:t xml:space="preserve"> and evaluation of BRCPS’ special education programs.  In addition to family engagement to build the SEPAC, BRCPS will conduct an annual survey of all parents/guardians of SWD to obtain meaningful feedback and input to be used in program evaluation and planning.</w:t>
      </w:r>
    </w:p>
    <w:p w14:paraId="47AFE6A5" w14:textId="77777777" w:rsidR="00B921DC" w:rsidRDefault="00B921DC">
      <w:pPr>
        <w:widowControl w:val="0"/>
      </w:pPr>
      <w:bookmarkStart w:id="2" w:name="_7tklmvihftrj" w:colFirst="0" w:colLast="0"/>
      <w:bookmarkEnd w:id="2"/>
    </w:p>
    <w:p w14:paraId="55DF15E7" w14:textId="77777777" w:rsidR="00D446B8" w:rsidRDefault="00D446B8">
      <w:pPr>
        <w:widowControl w:val="0"/>
        <w:rPr>
          <w:sz w:val="22"/>
          <w:szCs w:val="22"/>
        </w:rPr>
      </w:pPr>
    </w:p>
    <w:p w14:paraId="4230229B" w14:textId="77777777" w:rsidR="00B921DC" w:rsidRDefault="00B56C0C">
      <w:pPr>
        <w:widowControl w:val="0"/>
        <w:ind w:left="107"/>
        <w:rPr>
          <w:b/>
          <w:sz w:val="26"/>
          <w:szCs w:val="26"/>
        </w:rPr>
      </w:pPr>
      <w:r>
        <w:rPr>
          <w:b/>
          <w:color w:val="2D74B5"/>
          <w:sz w:val="26"/>
          <w:szCs w:val="26"/>
        </w:rPr>
        <w:t>Certifications:</w:t>
      </w:r>
    </w:p>
    <w:p w14:paraId="4BAC715F" w14:textId="74ED32B8" w:rsidR="00B921DC" w:rsidRPr="00C7013F" w:rsidRDefault="008D3C3F" w:rsidP="00C7013F">
      <w:pPr>
        <w:pStyle w:val="ListParagraph"/>
        <w:widowControl w:val="0"/>
        <w:numPr>
          <w:ilvl w:val="0"/>
          <w:numId w:val="6"/>
        </w:numPr>
        <w:tabs>
          <w:tab w:val="left" w:pos="466"/>
        </w:tabs>
        <w:spacing w:before="114"/>
        <w:ind w:right="467"/>
        <w:rPr>
          <w:rFonts w:ascii="Helvetica Neue" w:eastAsia="Helvetica Neue" w:hAnsi="Helvetica Neue" w:cs="Helvetica Neue"/>
          <w:b/>
          <w:sz w:val="22"/>
          <w:szCs w:val="22"/>
        </w:rPr>
      </w:pPr>
      <w:r w:rsidRPr="00C7013F">
        <w:rPr>
          <w:b/>
          <w:color w:val="1F3863"/>
          <w:sz w:val="22"/>
          <w:szCs w:val="22"/>
        </w:rPr>
        <w:t xml:space="preserve"> </w:t>
      </w:r>
      <w:r w:rsidR="00B56C0C" w:rsidRPr="00C7013F">
        <w:rPr>
          <w:b/>
          <w:color w:val="1F3863"/>
          <w:sz w:val="22"/>
          <w:szCs w:val="22"/>
        </w:rPr>
        <w:t>By checking here, I certify that our charter school has engaged stakeholders in our community in accordance with the Student Opportunity Act</w:t>
      </w:r>
    </w:p>
    <w:p w14:paraId="318613EB" w14:textId="77777777" w:rsidR="00B921DC" w:rsidRDefault="00B56C0C">
      <w:pPr>
        <w:widowControl w:val="0"/>
        <w:spacing w:before="194"/>
        <w:ind w:left="107"/>
        <w:rPr>
          <w:b/>
          <w:sz w:val="22"/>
          <w:szCs w:val="22"/>
        </w:rPr>
      </w:pPr>
      <w:r>
        <w:rPr>
          <w:b/>
          <w:color w:val="1F3863"/>
          <w:sz w:val="22"/>
          <w:szCs w:val="22"/>
        </w:rPr>
        <w:t>Please summarize your stakeholder engagement process, including specific groups that were engaged:</w:t>
      </w:r>
    </w:p>
    <w:p w14:paraId="7FB6E001" w14:textId="77777777" w:rsidR="00B921DC" w:rsidRDefault="00B56C0C">
      <w:pPr>
        <w:widowControl w:val="0"/>
        <w:spacing w:before="74"/>
        <w:ind w:left="107"/>
        <w:rPr>
          <w:sz w:val="22"/>
          <w:szCs w:val="22"/>
        </w:rPr>
      </w:pPr>
      <w:r>
        <w:rPr>
          <w:sz w:val="22"/>
          <w:szCs w:val="22"/>
        </w:rPr>
        <w:t xml:space="preserve">BRCPS engaged two core stakeholder groups - families of students with disabilities, and all BRCPS teachers and special education service providers. Due to the coronavirus public health crisis, we were unable to meet with these stakeholders in person. To get input and feedback from BRCPS teachers and service providers, we created a brief survey and sent it to them via email. For the families of SWD, we emailed each family a letter that explained the proposed program </w:t>
      </w:r>
      <w:proofErr w:type="gramStart"/>
      <w:r>
        <w:rPr>
          <w:sz w:val="22"/>
          <w:szCs w:val="22"/>
        </w:rPr>
        <w:t>changes, and</w:t>
      </w:r>
      <w:proofErr w:type="gramEnd"/>
      <w:r>
        <w:rPr>
          <w:sz w:val="22"/>
          <w:szCs w:val="22"/>
        </w:rPr>
        <w:t xml:space="preserve"> asked for their feedback and input through two open-ended questions.</w:t>
      </w:r>
    </w:p>
    <w:p w14:paraId="25BC8B10" w14:textId="77777777" w:rsidR="00B921DC" w:rsidRDefault="00B921DC">
      <w:pPr>
        <w:widowControl w:val="0"/>
        <w:rPr>
          <w:sz w:val="22"/>
          <w:szCs w:val="22"/>
        </w:rPr>
      </w:pPr>
    </w:p>
    <w:p w14:paraId="4D2FB2AA" w14:textId="77777777" w:rsidR="00B921DC" w:rsidRDefault="00B921DC">
      <w:pPr>
        <w:widowControl w:val="0"/>
        <w:spacing w:before="4"/>
        <w:rPr>
          <w:sz w:val="22"/>
          <w:szCs w:val="22"/>
        </w:rPr>
      </w:pPr>
    </w:p>
    <w:p w14:paraId="39E5F308" w14:textId="0AE0009F" w:rsidR="00B921DC" w:rsidRPr="00C7013F" w:rsidRDefault="00C7013F" w:rsidP="00C7013F">
      <w:pPr>
        <w:pStyle w:val="ListParagraph"/>
        <w:widowControl w:val="0"/>
        <w:numPr>
          <w:ilvl w:val="0"/>
          <w:numId w:val="7"/>
        </w:numPr>
        <w:tabs>
          <w:tab w:val="left" w:pos="476"/>
        </w:tabs>
        <w:spacing w:before="1"/>
        <w:rPr>
          <w:rFonts w:ascii="Helvetica Neue" w:eastAsia="Helvetica Neue" w:hAnsi="Helvetica Neue" w:cs="Helvetica Neue"/>
          <w:b/>
          <w:color w:val="1F3863"/>
          <w:sz w:val="22"/>
          <w:szCs w:val="22"/>
        </w:rPr>
      </w:pPr>
      <w:r w:rsidRPr="00C7013F">
        <w:rPr>
          <w:b/>
          <w:color w:val="1F3863"/>
          <w:sz w:val="22"/>
          <w:szCs w:val="22"/>
        </w:rPr>
        <w:t xml:space="preserve"> </w:t>
      </w:r>
      <w:r w:rsidR="00B56C0C" w:rsidRPr="00C7013F">
        <w:rPr>
          <w:b/>
          <w:color w:val="1F3863"/>
          <w:sz w:val="22"/>
          <w:szCs w:val="22"/>
        </w:rPr>
        <w:t xml:space="preserve">By checking here, I certify that the </w:t>
      </w:r>
      <w:r w:rsidR="00D446B8" w:rsidRPr="00C7013F">
        <w:rPr>
          <w:b/>
          <w:color w:val="1F3863"/>
          <w:sz w:val="22"/>
          <w:szCs w:val="22"/>
        </w:rPr>
        <w:t>Boston Renaissance Charter Public School</w:t>
      </w:r>
      <w:r w:rsidR="00B56C0C" w:rsidRPr="00C7013F">
        <w:rPr>
          <w:b/>
          <w:color w:val="1F3863"/>
          <w:sz w:val="22"/>
          <w:szCs w:val="22"/>
        </w:rPr>
        <w:t xml:space="preserve"> Board of Trustees voted on our Student Opportunity Act Plan.</w:t>
      </w:r>
    </w:p>
    <w:p w14:paraId="4FC61AFC" w14:textId="77777777" w:rsidR="00C7013F" w:rsidRDefault="00C7013F" w:rsidP="00C7013F">
      <w:pPr>
        <w:widowControl w:val="0"/>
        <w:tabs>
          <w:tab w:val="left" w:pos="829"/>
          <w:tab w:val="left" w:pos="2988"/>
        </w:tabs>
        <w:spacing w:before="146"/>
        <w:rPr>
          <w:rFonts w:ascii="Helvetica Neue" w:eastAsia="Helvetica Neue" w:hAnsi="Helvetica Neue" w:cs="Helvetica Neue"/>
          <w:b/>
          <w:color w:val="1F3863"/>
          <w:sz w:val="22"/>
          <w:szCs w:val="22"/>
        </w:rPr>
      </w:pPr>
      <w:r>
        <w:rPr>
          <w:rFonts w:ascii="Helvetica Neue" w:eastAsia="Helvetica Neue" w:hAnsi="Helvetica Neue" w:cs="Helvetica Neue"/>
          <w:b/>
          <w:color w:val="1F3863"/>
          <w:sz w:val="22"/>
          <w:szCs w:val="22"/>
        </w:rPr>
        <w:tab/>
      </w:r>
    </w:p>
    <w:p w14:paraId="45A95A7D" w14:textId="63C56110" w:rsidR="00B921DC" w:rsidRDefault="00C7013F" w:rsidP="00C7013F">
      <w:pPr>
        <w:widowControl w:val="0"/>
        <w:tabs>
          <w:tab w:val="left" w:pos="829"/>
          <w:tab w:val="left" w:pos="2988"/>
        </w:tabs>
        <w:spacing w:before="146"/>
        <w:rPr>
          <w:rFonts w:ascii="Times New Roman" w:eastAsia="Times New Roman" w:hAnsi="Times New Roman" w:cs="Times New Roman"/>
          <w:sz w:val="22"/>
          <w:szCs w:val="22"/>
        </w:rPr>
      </w:pPr>
      <w:r>
        <w:rPr>
          <w:rFonts w:ascii="Helvetica Neue" w:eastAsia="Helvetica Neue" w:hAnsi="Helvetica Neue" w:cs="Helvetica Neue"/>
          <w:b/>
          <w:color w:val="1F3863"/>
          <w:sz w:val="22"/>
          <w:szCs w:val="22"/>
        </w:rPr>
        <w:t xml:space="preserve">  </w:t>
      </w:r>
      <w:r w:rsidR="00B56C0C">
        <w:rPr>
          <w:b/>
          <w:color w:val="1F3863"/>
          <w:sz w:val="22"/>
          <w:szCs w:val="22"/>
        </w:rPr>
        <w:t>Date of vote:</w:t>
      </w:r>
      <w:r>
        <w:rPr>
          <w:b/>
          <w:color w:val="1F3863"/>
          <w:sz w:val="22"/>
          <w:szCs w:val="22"/>
        </w:rPr>
        <w:t xml:space="preserve">  8/10/20</w:t>
      </w:r>
      <w:r>
        <w:rPr>
          <w:b/>
          <w:color w:val="1F3863"/>
          <w:sz w:val="22"/>
          <w:szCs w:val="22"/>
        </w:rPr>
        <w:tab/>
      </w:r>
      <w:r w:rsidR="00B56C0C">
        <w:rPr>
          <w:b/>
          <w:color w:val="1F3863"/>
          <w:sz w:val="22"/>
          <w:szCs w:val="22"/>
        </w:rPr>
        <w:tab/>
        <w:t>Outcome of vote:</w:t>
      </w:r>
      <w:r>
        <w:rPr>
          <w:b/>
          <w:color w:val="1F3863"/>
          <w:sz w:val="22"/>
          <w:szCs w:val="22"/>
        </w:rPr>
        <w:t xml:space="preserve">  8 Yes, 2 Abstain</w:t>
      </w:r>
      <w:r w:rsidR="00317400">
        <w:rPr>
          <w:b/>
          <w:color w:val="1F3863"/>
          <w:sz w:val="22"/>
          <w:szCs w:val="22"/>
        </w:rPr>
        <w:t>, 0 No</w:t>
      </w:r>
    </w:p>
    <w:p w14:paraId="0D014C6C" w14:textId="77777777" w:rsidR="00B921DC" w:rsidRDefault="00B921DC">
      <w:pPr>
        <w:rPr>
          <w:rFonts w:ascii="Times New Roman" w:eastAsia="Times New Roman" w:hAnsi="Times New Roman" w:cs="Times New Roman"/>
        </w:rPr>
      </w:pPr>
    </w:p>
    <w:p w14:paraId="05DD8B01" w14:textId="77777777" w:rsidR="00B921DC" w:rsidRDefault="00B921DC"/>
    <w:sectPr w:rsidR="00B921DC">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8C83" w14:textId="77777777" w:rsidR="007E37D1" w:rsidRDefault="007E37D1">
      <w:r>
        <w:separator/>
      </w:r>
    </w:p>
  </w:endnote>
  <w:endnote w:type="continuationSeparator" w:id="0">
    <w:p w14:paraId="5B644A51" w14:textId="77777777" w:rsidR="007E37D1" w:rsidRDefault="007E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4184" w14:textId="77777777" w:rsidR="00B921DC" w:rsidRDefault="00B56C0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17400">
      <w:rPr>
        <w:noProof/>
        <w:color w:val="000000"/>
      </w:rPr>
      <w:t>2</w:t>
    </w:r>
    <w:r>
      <w:rPr>
        <w:color w:val="000000"/>
      </w:rPr>
      <w:fldChar w:fldCharType="end"/>
    </w:r>
  </w:p>
  <w:p w14:paraId="76B80A7D" w14:textId="77777777" w:rsidR="00B921DC" w:rsidRDefault="00B921D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0194" w14:textId="77777777" w:rsidR="00B921DC" w:rsidRDefault="00B921DC">
    <w:pPr>
      <w:pBdr>
        <w:top w:val="nil"/>
        <w:left w:val="nil"/>
        <w:bottom w:val="nil"/>
        <w:right w:val="nil"/>
        <w:between w:val="nil"/>
      </w:pBdr>
      <w:tabs>
        <w:tab w:val="center" w:pos="4680"/>
        <w:tab w:val="right" w:pos="9360"/>
      </w:tabs>
      <w:rPr>
        <w:color w:val="000000"/>
      </w:rPr>
    </w:pPr>
  </w:p>
  <w:p w14:paraId="60136008" w14:textId="77777777" w:rsidR="00B921DC" w:rsidRDefault="00B92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F8BF" w14:textId="77777777" w:rsidR="007E37D1" w:rsidRDefault="007E37D1">
      <w:r>
        <w:separator/>
      </w:r>
    </w:p>
  </w:footnote>
  <w:footnote w:type="continuationSeparator" w:id="0">
    <w:p w14:paraId="2680A4B6" w14:textId="77777777" w:rsidR="007E37D1" w:rsidRDefault="007E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370A"/>
    <w:multiLevelType w:val="hybridMultilevel"/>
    <w:tmpl w:val="62689794"/>
    <w:lvl w:ilvl="0" w:tplc="0409000D">
      <w:start w:val="1"/>
      <w:numFmt w:val="bullet"/>
      <w:lvlText w:val=""/>
      <w:lvlJc w:val="left"/>
      <w:pPr>
        <w:ind w:left="467" w:hanging="360"/>
      </w:pPr>
      <w:rPr>
        <w:rFonts w:ascii="Wingdings" w:hAnsi="Wingdings" w:hint="default"/>
        <w:w w:val="147"/>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12F6129F"/>
    <w:multiLevelType w:val="hybridMultilevel"/>
    <w:tmpl w:val="0B180FE6"/>
    <w:lvl w:ilvl="0" w:tplc="56C8A494">
      <w:numFmt w:val="bullet"/>
      <w:lvlText w:val="✓"/>
      <w:lvlJc w:val="left"/>
      <w:pPr>
        <w:ind w:left="891" w:hanging="360"/>
      </w:pPr>
      <w:rPr>
        <w:rFonts w:ascii="MS UI Gothic" w:eastAsia="MS UI Gothic" w:hAnsi="MS UI Gothic" w:cs="MS UI Gothic" w:hint="eastAsia"/>
        <w:b w:val="0"/>
        <w:bCs w:val="0"/>
        <w:w w:val="78"/>
        <w:sz w:val="22"/>
        <w:szCs w:val="22"/>
      </w:rPr>
    </w:lvl>
    <w:lvl w:ilvl="1" w:tplc="DD80F052">
      <w:numFmt w:val="bullet"/>
      <w:lvlText w:val=""/>
      <w:lvlJc w:val="left"/>
      <w:pPr>
        <w:ind w:left="1611" w:hanging="360"/>
      </w:pPr>
      <w:rPr>
        <w:rFonts w:ascii="Symbol" w:eastAsia="Symbol" w:hAnsi="Symbol" w:cs="Symbol" w:hint="default"/>
        <w:w w:val="100"/>
        <w:sz w:val="21"/>
        <w:szCs w:val="21"/>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15:restartNumberingAfterBreak="0">
    <w:nsid w:val="2B116F16"/>
    <w:multiLevelType w:val="hybridMultilevel"/>
    <w:tmpl w:val="B756EF8C"/>
    <w:lvl w:ilvl="0" w:tplc="56C8A494">
      <w:numFmt w:val="bullet"/>
      <w:lvlText w:val="✓"/>
      <w:lvlJc w:val="left"/>
      <w:pPr>
        <w:ind w:left="891" w:hanging="360"/>
      </w:pPr>
      <w:rPr>
        <w:rFonts w:ascii="MS UI Gothic" w:eastAsia="MS UI Gothic" w:hAnsi="MS UI Gothic" w:cs="MS UI Gothic" w:hint="eastAsia"/>
        <w:b w:val="0"/>
        <w:bCs w:val="0"/>
        <w:w w:val="78"/>
        <w:sz w:val="22"/>
        <w:szCs w:val="22"/>
      </w:rPr>
    </w:lvl>
    <w:lvl w:ilvl="1" w:tplc="20D87E82">
      <w:numFmt w:val="bullet"/>
      <w:lvlText w:val="□"/>
      <w:lvlJc w:val="left"/>
      <w:pPr>
        <w:ind w:left="1611" w:hanging="360"/>
      </w:pPr>
      <w:rPr>
        <w:rFonts w:ascii="Calibri" w:eastAsia="Calibri" w:hAnsi="Calibri" w:cs="Calibri" w:hint="default"/>
        <w:w w:val="100"/>
        <w:sz w:val="21"/>
        <w:szCs w:val="21"/>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 w15:restartNumberingAfterBreak="0">
    <w:nsid w:val="439020E0"/>
    <w:multiLevelType w:val="hybridMultilevel"/>
    <w:tmpl w:val="BF28F174"/>
    <w:lvl w:ilvl="0" w:tplc="0409000D">
      <w:start w:val="1"/>
      <w:numFmt w:val="bullet"/>
      <w:lvlText w:val=""/>
      <w:lvlJc w:val="left"/>
      <w:pPr>
        <w:ind w:left="467" w:hanging="360"/>
      </w:pPr>
      <w:rPr>
        <w:rFonts w:ascii="Wingdings" w:hAnsi="Wingdings" w:hint="default"/>
        <w:w w:val="147"/>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47C16D2D"/>
    <w:multiLevelType w:val="hybridMultilevel"/>
    <w:tmpl w:val="6E7AD4EE"/>
    <w:lvl w:ilvl="0" w:tplc="56C8A494">
      <w:numFmt w:val="bullet"/>
      <w:lvlText w:val="✓"/>
      <w:lvlJc w:val="left"/>
      <w:pPr>
        <w:ind w:left="891" w:hanging="360"/>
      </w:pPr>
      <w:rPr>
        <w:rFonts w:ascii="MS UI Gothic" w:eastAsia="MS UI Gothic" w:hAnsi="MS UI Gothic" w:cs="MS UI Gothic" w:hint="eastAsia"/>
        <w:b w:val="0"/>
        <w:bCs w:val="0"/>
        <w:w w:val="78"/>
        <w:sz w:val="22"/>
        <w:szCs w:val="22"/>
      </w:rPr>
    </w:lvl>
    <w:lvl w:ilvl="1" w:tplc="0409000D">
      <w:start w:val="1"/>
      <w:numFmt w:val="bullet"/>
      <w:lvlText w:val=""/>
      <w:lvlJc w:val="left"/>
      <w:pPr>
        <w:ind w:left="1611" w:hanging="360"/>
      </w:pPr>
      <w:rPr>
        <w:rFonts w:ascii="Wingdings" w:hAnsi="Wingdings" w:hint="default"/>
        <w:w w:val="147"/>
        <w:sz w:val="21"/>
        <w:szCs w:val="21"/>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 w15:restartNumberingAfterBreak="0">
    <w:nsid w:val="59195736"/>
    <w:multiLevelType w:val="multilevel"/>
    <w:tmpl w:val="EC669764"/>
    <w:lvl w:ilvl="0">
      <w:start w:val="1"/>
      <w:numFmt w:val="bullet"/>
      <w:lvlText w:val="●"/>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abstractNum w:abstractNumId="6" w15:restartNumberingAfterBreak="0">
    <w:nsid w:val="61042262"/>
    <w:multiLevelType w:val="hybridMultilevel"/>
    <w:tmpl w:val="80A816F6"/>
    <w:lvl w:ilvl="0" w:tplc="56C8A494">
      <w:numFmt w:val="bullet"/>
      <w:lvlText w:val="✓"/>
      <w:lvlJc w:val="left"/>
      <w:pPr>
        <w:ind w:left="891" w:hanging="360"/>
      </w:pPr>
      <w:rPr>
        <w:rFonts w:ascii="MS UI Gothic" w:eastAsia="MS UI Gothic" w:hAnsi="MS UI Gothic" w:cs="MS UI Gothic" w:hint="eastAsia"/>
        <w:b w:val="0"/>
        <w:bCs w:val="0"/>
        <w:w w:val="78"/>
        <w:sz w:val="22"/>
        <w:szCs w:val="22"/>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DC"/>
    <w:rsid w:val="00031434"/>
    <w:rsid w:val="00123DC7"/>
    <w:rsid w:val="001B02EB"/>
    <w:rsid w:val="002E5FFF"/>
    <w:rsid w:val="002F1BE1"/>
    <w:rsid w:val="00317400"/>
    <w:rsid w:val="00395D1F"/>
    <w:rsid w:val="004C66E4"/>
    <w:rsid w:val="0072551F"/>
    <w:rsid w:val="007E37D1"/>
    <w:rsid w:val="008647FF"/>
    <w:rsid w:val="008D3C3F"/>
    <w:rsid w:val="00B56C0C"/>
    <w:rsid w:val="00B921DC"/>
    <w:rsid w:val="00C7013F"/>
    <w:rsid w:val="00D446B8"/>
    <w:rsid w:val="00F1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7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7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97600-5ED8-F841-8402-FB2D92D9FE7E}">
  <ds:schemaRefs>
    <ds:schemaRef ds:uri="http://schemas.openxmlformats.org/officeDocument/2006/bibliography"/>
  </ds:schemaRefs>
</ds:datastoreItem>
</file>

<file path=customXml/itemProps2.xml><?xml version="1.0" encoding="utf-8"?>
<ds:datastoreItem xmlns:ds="http://schemas.openxmlformats.org/officeDocument/2006/customXml" ds:itemID="{A29F9A12-A4A5-4711-A683-C36AA762276E}"/>
</file>

<file path=customXml/itemProps3.xml><?xml version="1.0" encoding="utf-8"?>
<ds:datastoreItem xmlns:ds="http://schemas.openxmlformats.org/officeDocument/2006/customXml" ds:itemID="{B513DA24-801C-4EF8-A197-7AB61AA3D42D}"/>
</file>

<file path=customXml/itemProps4.xml><?xml version="1.0" encoding="utf-8"?>
<ds:datastoreItem xmlns:ds="http://schemas.openxmlformats.org/officeDocument/2006/customXml" ds:itemID="{B89194E2-99C3-44E2-A33D-CCA1088A23E0}"/>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Boston Renaissance Charter Public School Student Opportunity Act Plan: SY 2021-2023</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Renaissance Charter Public School Student Opportunity Act Plan: SY 2021-2023</dc:title>
  <dc:creator>DeLorenzo, Lee E (DESE)</dc:creator>
  <cp:lastModifiedBy>DeLorenzo, Lee E (DESE)</cp:lastModifiedBy>
  <cp:revision>4</cp:revision>
  <dcterms:created xsi:type="dcterms:W3CDTF">2021-03-19T18:47:00Z</dcterms:created>
  <dcterms:modified xsi:type="dcterms:W3CDTF">2021-03-24T15:16:00Z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