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2CA0ACB1" w:rsidR="0076100D" w:rsidRDefault="0076100D" w:rsidP="00151AA7">
      <w:pPr>
        <w:jc w:val="center"/>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2B0DC5F6" w14:textId="4A704908" w:rsidR="00151AA7" w:rsidRPr="008C2C6F" w:rsidRDefault="00151AA7" w:rsidP="00151AA7">
      <w:pPr>
        <w:jc w:val="center"/>
        <w:rPr>
          <w:rFonts w:ascii="Calibri" w:eastAsia="Calibri" w:hAnsi="Calibri" w:cs="Calibri"/>
          <w:b/>
          <w:bCs/>
          <w:i/>
          <w:sz w:val="28"/>
          <w:szCs w:val="28"/>
        </w:rPr>
      </w:pPr>
      <w:r>
        <w:rPr>
          <w:rFonts w:ascii="Calibri" w:eastAsia="Calibri" w:hAnsi="Calibri" w:cs="Calibri"/>
          <w:b/>
          <w:bCs/>
          <w:i/>
          <w:color w:val="2D74B5"/>
          <w:sz w:val="32"/>
          <w:szCs w:val="32"/>
        </w:rPr>
        <w:t>Collegiate Charter School of Lowell</w:t>
      </w:r>
    </w:p>
    <w:p w14:paraId="1DB69CBC" w14:textId="2398DE79" w:rsidR="0076100D" w:rsidRDefault="0076100D" w:rsidP="0076100D">
      <w:pPr>
        <w:widowControl w:val="0"/>
        <w:autoSpaceDE w:val="0"/>
        <w:autoSpaceDN w:val="0"/>
        <w:spacing w:before="7"/>
        <w:rPr>
          <w:rFonts w:ascii="Calibri" w:eastAsia="Calibri" w:hAnsi="Calibri" w:cs="Calibri"/>
          <w:b/>
          <w:sz w:val="17"/>
          <w:szCs w:val="22"/>
        </w:rPr>
      </w:pPr>
    </w:p>
    <w:p w14:paraId="3A9B973B" w14:textId="77777777" w:rsidR="00B93B23" w:rsidRPr="008C2C6F" w:rsidRDefault="00B93B23"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73C1AA0E" w:rsidR="0076100D" w:rsidRDefault="0076100D" w:rsidP="0076100D">
      <w:pPr>
        <w:widowControl w:val="0"/>
        <w:autoSpaceDE w:val="0"/>
        <w:autoSpaceDN w:val="0"/>
        <w:spacing w:before="70"/>
        <w:ind w:left="107" w:right="890"/>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67A5E0D5" w14:textId="77777777" w:rsidR="00963333" w:rsidRPr="008C2C6F" w:rsidRDefault="00963333" w:rsidP="0076100D">
      <w:pPr>
        <w:widowControl w:val="0"/>
        <w:autoSpaceDE w:val="0"/>
        <w:autoSpaceDN w:val="0"/>
        <w:spacing w:before="70"/>
        <w:ind w:left="107" w:right="890"/>
        <w:outlineLvl w:val="5"/>
        <w:rPr>
          <w:rFonts w:ascii="Calibri" w:eastAsia="Calibri" w:hAnsi="Calibri" w:cs="Calibri"/>
          <w:b/>
          <w:bCs/>
          <w:sz w:val="23"/>
          <w:szCs w:val="23"/>
        </w:rPr>
      </w:pPr>
    </w:p>
    <w:p w14:paraId="1D6843DF" w14:textId="77777777" w:rsidR="0076100D" w:rsidRPr="008C2C6F" w:rsidRDefault="0076100D" w:rsidP="0076100D">
      <w:pPr>
        <w:widowControl w:val="0"/>
        <w:autoSpaceDE w:val="0"/>
        <w:autoSpaceDN w:val="0"/>
        <w:spacing w:before="11"/>
        <w:rPr>
          <w:rFonts w:ascii="Calibri" w:eastAsia="Calibri" w:hAnsi="Calibri" w:cs="Calibri"/>
          <w:b/>
          <w:sz w:val="21"/>
          <w:szCs w:val="22"/>
        </w:rPr>
      </w:pPr>
    </w:p>
    <w:p w14:paraId="5C9D2788" w14:textId="113A1539" w:rsidR="0076100D" w:rsidRDefault="00966DB0" w:rsidP="00D56107">
      <w:pPr>
        <w:widowControl w:val="0"/>
        <w:autoSpaceDE w:val="0"/>
        <w:autoSpaceDN w:val="0"/>
        <w:spacing w:before="1"/>
        <w:rPr>
          <w:rFonts w:ascii="Calibri" w:eastAsia="Calibri" w:hAnsi="Calibri" w:cs="Calibri"/>
          <w:sz w:val="22"/>
          <w:szCs w:val="22"/>
        </w:rPr>
      </w:pPr>
      <w:r>
        <w:rPr>
          <w:rFonts w:ascii="Calibri" w:eastAsia="Calibri" w:hAnsi="Calibri" w:cs="Calibri"/>
          <w:sz w:val="22"/>
          <w:szCs w:val="22"/>
        </w:rPr>
        <w:t>As noted in our Accountability Plan, Collegiate Charter School of Lowell (CCSL) is committed to providing a top-quality education to</w:t>
      </w:r>
      <w:r w:rsidR="00432765">
        <w:rPr>
          <w:rFonts w:ascii="Calibri" w:eastAsia="Calibri" w:hAnsi="Calibri" w:cs="Calibri"/>
          <w:sz w:val="22"/>
          <w:szCs w:val="22"/>
        </w:rPr>
        <w:t xml:space="preserve"> a highly </w:t>
      </w:r>
      <w:r>
        <w:rPr>
          <w:rFonts w:ascii="Calibri" w:eastAsia="Calibri" w:hAnsi="Calibri" w:cs="Calibri"/>
          <w:sz w:val="22"/>
          <w:szCs w:val="22"/>
        </w:rPr>
        <w:t xml:space="preserve">diverse student body that will prepare students for success in college.  However, we recognize that not all student groups have experienced the same level of success to date.  Based on a review of our data, our English </w:t>
      </w:r>
      <w:proofErr w:type="gramStart"/>
      <w:r>
        <w:rPr>
          <w:rFonts w:ascii="Calibri" w:eastAsia="Calibri" w:hAnsi="Calibri" w:cs="Calibri"/>
          <w:sz w:val="22"/>
          <w:szCs w:val="22"/>
        </w:rPr>
        <w:t>learners</w:t>
      </w:r>
      <w:proofErr w:type="gramEnd"/>
      <w:r>
        <w:rPr>
          <w:rFonts w:ascii="Calibri" w:eastAsia="Calibri" w:hAnsi="Calibri" w:cs="Calibri"/>
          <w:sz w:val="22"/>
          <w:szCs w:val="22"/>
        </w:rPr>
        <w:t xml:space="preserve"> and students with special needs, report lower engagement in school as measured by</w:t>
      </w:r>
      <w:r w:rsidR="002A49BD">
        <w:rPr>
          <w:rFonts w:ascii="Calibri" w:eastAsia="Calibri" w:hAnsi="Calibri" w:cs="Calibri"/>
          <w:sz w:val="22"/>
          <w:szCs w:val="22"/>
        </w:rPr>
        <w:t xml:space="preserve"> achievement data.  In addition</w:t>
      </w:r>
      <w:r>
        <w:rPr>
          <w:rFonts w:ascii="Calibri" w:eastAsia="Calibri" w:hAnsi="Calibri" w:cs="Calibri"/>
          <w:sz w:val="22"/>
          <w:szCs w:val="22"/>
        </w:rPr>
        <w:t xml:space="preserve">, our educator workforce </w:t>
      </w:r>
      <w:r w:rsidR="002A49BD">
        <w:rPr>
          <w:rFonts w:ascii="Calibri" w:eastAsia="Calibri" w:hAnsi="Calibri" w:cs="Calibri"/>
          <w:sz w:val="22"/>
          <w:szCs w:val="22"/>
        </w:rPr>
        <w:t>does not mirror our student population: Just 20 percent of our educators are of color, compared to 80 percent of our students.</w:t>
      </w:r>
      <w:r w:rsidR="00432765">
        <w:rPr>
          <w:rFonts w:ascii="Calibri" w:eastAsia="Calibri" w:hAnsi="Calibri" w:cs="Calibri"/>
          <w:sz w:val="22"/>
          <w:szCs w:val="22"/>
        </w:rPr>
        <w:t xml:space="preserve">  Finally, in the time of COVID-19, our students’ SEL has dissipated since online learning.</w:t>
      </w:r>
    </w:p>
    <w:p w14:paraId="7C4CDA3C" w14:textId="77777777" w:rsidR="00963333" w:rsidRPr="008C2C6F" w:rsidRDefault="00963333" w:rsidP="00D56107">
      <w:pPr>
        <w:widowControl w:val="0"/>
        <w:autoSpaceDE w:val="0"/>
        <w:autoSpaceDN w:val="0"/>
        <w:spacing w:before="1"/>
        <w:rPr>
          <w:rFonts w:ascii="Calibri" w:eastAsia="Calibri" w:hAnsi="Calibri" w:cs="Calibri"/>
          <w:sz w:val="22"/>
          <w:szCs w:val="22"/>
        </w:rPr>
      </w:pP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3A58E643" w:rsidR="0076100D" w:rsidRDefault="0076100D" w:rsidP="0076100D">
      <w:pPr>
        <w:widowControl w:val="0"/>
        <w:autoSpaceDE w:val="0"/>
        <w:autoSpaceDN w:val="0"/>
        <w:spacing w:before="73"/>
        <w:ind w:left="107" w:right="344"/>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7F867A6B" w14:textId="77777777" w:rsidR="00963333" w:rsidRPr="008C2C6F" w:rsidRDefault="00963333" w:rsidP="0076100D">
      <w:pPr>
        <w:widowControl w:val="0"/>
        <w:autoSpaceDE w:val="0"/>
        <w:autoSpaceDN w:val="0"/>
        <w:spacing w:before="73"/>
        <w:ind w:left="107" w:right="344"/>
        <w:outlineLvl w:val="5"/>
        <w:rPr>
          <w:rFonts w:ascii="Calibri" w:eastAsia="Calibri" w:hAnsi="Calibri" w:cs="Calibri"/>
          <w:b/>
          <w:bCs/>
          <w:sz w:val="23"/>
          <w:szCs w:val="23"/>
        </w:rPr>
      </w:pP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p w14:paraId="6399BC68" w14:textId="7FDAB8C9" w:rsidR="00AE0647" w:rsidRPr="00A93F8C" w:rsidRDefault="00AE0647" w:rsidP="00AE0647">
      <w:pPr>
        <w:widowControl w:val="0"/>
        <w:numPr>
          <w:ilvl w:val="0"/>
          <w:numId w:val="6"/>
        </w:numPr>
        <w:tabs>
          <w:tab w:val="left" w:pos="320"/>
        </w:tabs>
        <w:autoSpaceDE w:val="0"/>
        <w:autoSpaceDN w:val="0"/>
        <w:spacing w:before="1"/>
        <w:ind w:right="117" w:firstLine="0"/>
        <w:rPr>
          <w:rFonts w:asciiTheme="minorHAnsi" w:eastAsia="Calibri" w:hAnsiTheme="minorHAnsi" w:cstheme="minorHAnsi"/>
          <w:sz w:val="22"/>
          <w:szCs w:val="22"/>
        </w:rPr>
      </w:pPr>
      <w:r w:rsidRPr="00A93F8C">
        <w:rPr>
          <w:rFonts w:asciiTheme="minorHAnsi" w:eastAsia="Calibri" w:hAnsiTheme="minorHAnsi" w:cstheme="minorHAnsi"/>
          <w:b/>
          <w:sz w:val="22"/>
          <w:szCs w:val="22"/>
        </w:rPr>
        <w:t xml:space="preserve">Inclusion for students with disabilities (SWD). </w:t>
      </w:r>
      <w:r w:rsidRPr="00A93F8C">
        <w:rPr>
          <w:rFonts w:asciiTheme="minorHAnsi" w:eastAsia="Calibri" w:hAnsiTheme="minorHAnsi" w:cstheme="minorHAnsi"/>
          <w:bCs/>
          <w:sz w:val="22"/>
          <w:szCs w:val="22"/>
        </w:rPr>
        <w:t>For the past two year</w:t>
      </w:r>
      <w:r w:rsidR="00D56107" w:rsidRPr="00A93F8C">
        <w:rPr>
          <w:rFonts w:asciiTheme="minorHAnsi" w:eastAsia="Calibri" w:hAnsiTheme="minorHAnsi" w:cstheme="minorHAnsi"/>
          <w:bCs/>
          <w:sz w:val="22"/>
          <w:szCs w:val="22"/>
        </w:rPr>
        <w:t>s, our Special Education and English Language Learner Programs</w:t>
      </w:r>
      <w:r w:rsidRPr="00A93F8C">
        <w:rPr>
          <w:rFonts w:asciiTheme="minorHAnsi" w:eastAsia="Calibri" w:hAnsiTheme="minorHAnsi" w:cstheme="minorHAnsi"/>
          <w:bCs/>
          <w:sz w:val="22"/>
          <w:szCs w:val="22"/>
        </w:rPr>
        <w:t xml:space="preserve"> Self-Assessment</w:t>
      </w:r>
      <w:r w:rsidRPr="00A93F8C">
        <w:rPr>
          <w:rFonts w:asciiTheme="minorHAnsi" w:eastAsia="Calibri" w:hAnsiTheme="minorHAnsi" w:cstheme="minorHAnsi"/>
          <w:sz w:val="22"/>
          <w:szCs w:val="22"/>
        </w:rPr>
        <w:t xml:space="preserve"> determined that our school needed to better serve SWD in a least restrictive environment and we did not have sufficient staff to provide inclusion services to all students. We have invested in four additional inclusion teachers and associated PD as part of a pilot program to support the development of educators in delivering instruction in an inclusionary setting in AOCS. This inclusion pilot program will be available to all SWD, including students of color and low-income</w:t>
      </w:r>
      <w:r w:rsidRPr="00A93F8C">
        <w:rPr>
          <w:rFonts w:asciiTheme="minorHAnsi" w:eastAsia="Calibri" w:hAnsiTheme="minorHAnsi" w:cstheme="minorHAnsi"/>
          <w:spacing w:val="-32"/>
          <w:sz w:val="22"/>
          <w:szCs w:val="22"/>
        </w:rPr>
        <w:t xml:space="preserve"> </w:t>
      </w:r>
      <w:r w:rsidRPr="00A93F8C">
        <w:rPr>
          <w:rFonts w:asciiTheme="minorHAnsi" w:eastAsia="Calibri" w:hAnsiTheme="minorHAnsi" w:cstheme="minorHAnsi"/>
          <w:sz w:val="22"/>
          <w:szCs w:val="22"/>
        </w:rPr>
        <w:t>students as well as ELs who also receive special education services.</w:t>
      </w:r>
    </w:p>
    <w:p w14:paraId="1BDDC224" w14:textId="074D79BF" w:rsidR="00AE0647" w:rsidRDefault="00AE0647" w:rsidP="00AE0647">
      <w:pPr>
        <w:widowControl w:val="0"/>
        <w:autoSpaceDE w:val="0"/>
        <w:autoSpaceDN w:val="0"/>
        <w:spacing w:before="11" w:after="1"/>
        <w:rPr>
          <w:rFonts w:asciiTheme="minorHAnsi" w:eastAsia="Calibri" w:hAnsiTheme="minorHAnsi" w:cstheme="minorHAnsi"/>
          <w:sz w:val="22"/>
          <w:szCs w:val="22"/>
        </w:rPr>
      </w:pPr>
    </w:p>
    <w:p w14:paraId="42444850" w14:textId="77777777" w:rsidR="00963333" w:rsidRPr="00A93F8C" w:rsidRDefault="00963333" w:rsidP="00AE0647">
      <w:pPr>
        <w:widowControl w:val="0"/>
        <w:autoSpaceDE w:val="0"/>
        <w:autoSpaceDN w:val="0"/>
        <w:spacing w:before="11" w:after="1"/>
        <w:rPr>
          <w:rFonts w:asciiTheme="minorHAnsi" w:eastAsia="Calibri" w:hAnsiTheme="minorHAnsi" w:cstheme="minorHAnsi"/>
          <w:sz w:val="22"/>
          <w:szCs w:val="22"/>
        </w:rPr>
      </w:pPr>
    </w:p>
    <w:tbl>
      <w:tblPr>
        <w:tblW w:w="1050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9"/>
        <w:gridCol w:w="1343"/>
        <w:gridCol w:w="5570"/>
      </w:tblGrid>
      <w:tr w:rsidR="00AE0647" w:rsidRPr="00A93F8C" w14:paraId="02E0A5B0" w14:textId="77777777" w:rsidTr="00642BE2">
        <w:trPr>
          <w:trHeight w:hRule="exact" w:val="355"/>
        </w:trPr>
        <w:tc>
          <w:tcPr>
            <w:tcW w:w="3589" w:type="dxa"/>
          </w:tcPr>
          <w:p w14:paraId="256DA92F" w14:textId="77777777" w:rsidR="00AE0647" w:rsidRPr="00A93F8C" w:rsidRDefault="00AE0647" w:rsidP="00642BE2">
            <w:pPr>
              <w:widowControl w:val="0"/>
              <w:autoSpaceDE w:val="0"/>
              <w:autoSpaceDN w:val="0"/>
              <w:spacing w:before="1"/>
              <w:ind w:left="103"/>
              <w:rPr>
                <w:rFonts w:asciiTheme="minorHAnsi" w:eastAsia="Arial" w:hAnsiTheme="minorHAnsi" w:cstheme="minorHAnsi"/>
                <w:b/>
                <w:sz w:val="22"/>
                <w:szCs w:val="22"/>
              </w:rPr>
            </w:pPr>
            <w:r w:rsidRPr="00A93F8C">
              <w:rPr>
                <w:rFonts w:asciiTheme="minorHAnsi" w:eastAsia="Arial" w:hAnsiTheme="minorHAnsi" w:cstheme="minorHAnsi"/>
                <w:b/>
                <w:sz w:val="22"/>
                <w:szCs w:val="22"/>
              </w:rPr>
              <w:t>FY21 budget item</w:t>
            </w:r>
          </w:p>
        </w:tc>
        <w:tc>
          <w:tcPr>
            <w:tcW w:w="1343" w:type="dxa"/>
          </w:tcPr>
          <w:p w14:paraId="7B003C33" w14:textId="77777777" w:rsidR="00AE0647" w:rsidRPr="00A93F8C" w:rsidRDefault="00AE0647" w:rsidP="00642BE2">
            <w:pPr>
              <w:widowControl w:val="0"/>
              <w:autoSpaceDE w:val="0"/>
              <w:autoSpaceDN w:val="0"/>
              <w:spacing w:before="1"/>
              <w:ind w:left="103"/>
              <w:jc w:val="center"/>
              <w:rPr>
                <w:rFonts w:asciiTheme="minorHAnsi" w:eastAsia="Arial" w:hAnsiTheme="minorHAnsi" w:cstheme="minorHAnsi"/>
                <w:b/>
                <w:sz w:val="22"/>
                <w:szCs w:val="22"/>
              </w:rPr>
            </w:pPr>
            <w:r w:rsidRPr="00A93F8C">
              <w:rPr>
                <w:rFonts w:asciiTheme="minorHAnsi" w:eastAsia="Arial" w:hAnsiTheme="minorHAnsi" w:cstheme="minorHAnsi"/>
                <w:b/>
                <w:sz w:val="22"/>
                <w:szCs w:val="22"/>
              </w:rPr>
              <w:t>Amount</w:t>
            </w:r>
          </w:p>
        </w:tc>
        <w:tc>
          <w:tcPr>
            <w:tcW w:w="5570" w:type="dxa"/>
          </w:tcPr>
          <w:p w14:paraId="53125F58" w14:textId="77777777" w:rsidR="00AE0647" w:rsidRPr="00A93F8C" w:rsidRDefault="00AE0647" w:rsidP="00642BE2">
            <w:pPr>
              <w:widowControl w:val="0"/>
              <w:autoSpaceDE w:val="0"/>
              <w:autoSpaceDN w:val="0"/>
              <w:spacing w:before="1"/>
              <w:ind w:left="100"/>
              <w:rPr>
                <w:rFonts w:asciiTheme="minorHAnsi" w:eastAsia="Arial" w:hAnsiTheme="minorHAnsi" w:cstheme="minorHAnsi"/>
                <w:b/>
                <w:sz w:val="22"/>
                <w:szCs w:val="22"/>
              </w:rPr>
            </w:pPr>
            <w:r w:rsidRPr="00A93F8C">
              <w:rPr>
                <w:rFonts w:asciiTheme="minorHAnsi" w:eastAsia="Arial" w:hAnsiTheme="minorHAnsi" w:cstheme="minorHAnsi"/>
                <w:b/>
                <w:sz w:val="22"/>
                <w:szCs w:val="22"/>
              </w:rPr>
              <w:t>Foundation Category</w:t>
            </w:r>
          </w:p>
        </w:tc>
      </w:tr>
      <w:tr w:rsidR="00AE0647" w:rsidRPr="00A93F8C" w14:paraId="57B85392" w14:textId="77777777" w:rsidTr="00963333">
        <w:trPr>
          <w:trHeight w:hRule="exact" w:val="523"/>
        </w:trPr>
        <w:tc>
          <w:tcPr>
            <w:tcW w:w="3589" w:type="dxa"/>
          </w:tcPr>
          <w:p w14:paraId="7F4107EE" w14:textId="77777777" w:rsidR="00AE0647" w:rsidRPr="00A93F8C" w:rsidRDefault="00AE0647" w:rsidP="00642BE2">
            <w:pPr>
              <w:widowControl w:val="0"/>
              <w:autoSpaceDE w:val="0"/>
              <w:autoSpaceDN w:val="0"/>
              <w:spacing w:line="219" w:lineRule="exact"/>
              <w:ind w:left="103"/>
              <w:rPr>
                <w:rFonts w:asciiTheme="minorHAnsi" w:eastAsia="Arial" w:hAnsiTheme="minorHAnsi" w:cstheme="minorHAnsi"/>
                <w:sz w:val="22"/>
                <w:szCs w:val="22"/>
              </w:rPr>
            </w:pPr>
            <w:r w:rsidRPr="00A93F8C">
              <w:rPr>
                <w:rFonts w:asciiTheme="minorHAnsi" w:eastAsia="Arial" w:hAnsiTheme="minorHAnsi" w:cstheme="minorHAnsi"/>
                <w:sz w:val="22"/>
                <w:szCs w:val="22"/>
              </w:rPr>
              <w:t>Inclusion teachers (2)</w:t>
            </w:r>
          </w:p>
        </w:tc>
        <w:tc>
          <w:tcPr>
            <w:tcW w:w="1343" w:type="dxa"/>
          </w:tcPr>
          <w:p w14:paraId="7CDA421A" w14:textId="77777777" w:rsidR="00AE0647" w:rsidRPr="00A93F8C" w:rsidRDefault="00AE0647" w:rsidP="00642BE2">
            <w:pPr>
              <w:widowControl w:val="0"/>
              <w:autoSpaceDE w:val="0"/>
              <w:autoSpaceDN w:val="0"/>
              <w:spacing w:line="219" w:lineRule="exact"/>
              <w:ind w:left="103"/>
              <w:jc w:val="center"/>
              <w:rPr>
                <w:rFonts w:asciiTheme="minorHAnsi" w:eastAsia="Arial" w:hAnsiTheme="minorHAnsi" w:cstheme="minorHAnsi"/>
                <w:sz w:val="22"/>
                <w:szCs w:val="22"/>
              </w:rPr>
            </w:pPr>
            <w:r w:rsidRPr="00A93F8C">
              <w:rPr>
                <w:rFonts w:asciiTheme="minorHAnsi" w:eastAsia="Arial" w:hAnsiTheme="minorHAnsi" w:cstheme="minorHAnsi"/>
                <w:sz w:val="22"/>
                <w:szCs w:val="22"/>
              </w:rPr>
              <w:t>$350,000</w:t>
            </w:r>
          </w:p>
        </w:tc>
        <w:tc>
          <w:tcPr>
            <w:tcW w:w="5570" w:type="dxa"/>
          </w:tcPr>
          <w:p w14:paraId="5C26CDF7" w14:textId="77777777" w:rsidR="00AE0647" w:rsidRPr="00A93F8C" w:rsidRDefault="00AE0647" w:rsidP="00642BE2">
            <w:pPr>
              <w:widowControl w:val="0"/>
              <w:autoSpaceDE w:val="0"/>
              <w:autoSpaceDN w:val="0"/>
              <w:spacing w:line="219" w:lineRule="exact"/>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Classroom &amp; Specialist Teachers, Employee Benefits / Fixed Charges</w:t>
            </w:r>
          </w:p>
        </w:tc>
      </w:tr>
      <w:tr w:rsidR="00AE0647" w:rsidRPr="00A93F8C" w14:paraId="2AC61323" w14:textId="77777777" w:rsidTr="00642BE2">
        <w:trPr>
          <w:trHeight w:hRule="exact" w:val="382"/>
        </w:trPr>
        <w:tc>
          <w:tcPr>
            <w:tcW w:w="3589" w:type="dxa"/>
            <w:tcBorders>
              <w:bottom w:val="double" w:sz="6" w:space="0" w:color="000000"/>
            </w:tcBorders>
          </w:tcPr>
          <w:p w14:paraId="556AF5E2" w14:textId="77777777" w:rsidR="00AE0647" w:rsidRPr="00A93F8C" w:rsidRDefault="00AE0647" w:rsidP="00642BE2">
            <w:pPr>
              <w:widowControl w:val="0"/>
              <w:autoSpaceDE w:val="0"/>
              <w:autoSpaceDN w:val="0"/>
              <w:spacing w:before="1"/>
              <w:ind w:left="103"/>
              <w:rPr>
                <w:rFonts w:asciiTheme="minorHAnsi" w:eastAsia="Arial" w:hAnsiTheme="minorHAnsi" w:cstheme="minorHAnsi"/>
                <w:sz w:val="22"/>
                <w:szCs w:val="22"/>
              </w:rPr>
            </w:pPr>
            <w:r w:rsidRPr="00A93F8C">
              <w:rPr>
                <w:rFonts w:asciiTheme="minorHAnsi" w:eastAsia="Arial" w:hAnsiTheme="minorHAnsi" w:cstheme="minorHAnsi"/>
                <w:sz w:val="22"/>
                <w:szCs w:val="22"/>
              </w:rPr>
              <w:t>Inclusion PD</w:t>
            </w:r>
          </w:p>
        </w:tc>
        <w:tc>
          <w:tcPr>
            <w:tcW w:w="1343" w:type="dxa"/>
            <w:tcBorders>
              <w:bottom w:val="double" w:sz="6" w:space="0" w:color="000000"/>
            </w:tcBorders>
          </w:tcPr>
          <w:p w14:paraId="0367C3E2" w14:textId="77777777" w:rsidR="00AE0647" w:rsidRPr="00A93F8C" w:rsidRDefault="00AE0647" w:rsidP="00642BE2">
            <w:pPr>
              <w:widowControl w:val="0"/>
              <w:autoSpaceDE w:val="0"/>
              <w:autoSpaceDN w:val="0"/>
              <w:spacing w:before="1"/>
              <w:ind w:left="103"/>
              <w:jc w:val="center"/>
              <w:rPr>
                <w:rFonts w:asciiTheme="minorHAnsi" w:eastAsia="Arial" w:hAnsiTheme="minorHAnsi" w:cstheme="minorHAnsi"/>
                <w:sz w:val="22"/>
                <w:szCs w:val="22"/>
              </w:rPr>
            </w:pPr>
            <w:r w:rsidRPr="00A93F8C">
              <w:rPr>
                <w:rFonts w:asciiTheme="minorHAnsi" w:eastAsia="Arial" w:hAnsiTheme="minorHAnsi" w:cstheme="minorHAnsi"/>
                <w:sz w:val="22"/>
                <w:szCs w:val="22"/>
              </w:rPr>
              <w:t>$10,000</w:t>
            </w:r>
          </w:p>
        </w:tc>
        <w:tc>
          <w:tcPr>
            <w:tcW w:w="5570" w:type="dxa"/>
            <w:tcBorders>
              <w:bottom w:val="double" w:sz="6" w:space="0" w:color="000000"/>
            </w:tcBorders>
          </w:tcPr>
          <w:p w14:paraId="3ED27457" w14:textId="77777777" w:rsidR="00AE0647" w:rsidRPr="00A93F8C" w:rsidRDefault="00AE0647" w:rsidP="00642BE2">
            <w:pPr>
              <w:widowControl w:val="0"/>
              <w:autoSpaceDE w:val="0"/>
              <w:autoSpaceDN w:val="0"/>
              <w:spacing w:before="1"/>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Professional Development</w:t>
            </w:r>
          </w:p>
        </w:tc>
      </w:tr>
      <w:tr w:rsidR="00AE0647" w:rsidRPr="00A93F8C" w14:paraId="5F535075" w14:textId="77777777" w:rsidTr="00642BE2">
        <w:trPr>
          <w:trHeight w:hRule="exact" w:val="382"/>
        </w:trPr>
        <w:tc>
          <w:tcPr>
            <w:tcW w:w="4932" w:type="dxa"/>
            <w:gridSpan w:val="2"/>
            <w:tcBorders>
              <w:top w:val="double" w:sz="6" w:space="0" w:color="000000"/>
            </w:tcBorders>
          </w:tcPr>
          <w:p w14:paraId="0BD8DDEA" w14:textId="77777777" w:rsidR="00AE0647" w:rsidRPr="00A93F8C" w:rsidRDefault="00AE0647" w:rsidP="00642BE2">
            <w:pPr>
              <w:widowControl w:val="0"/>
              <w:autoSpaceDE w:val="0"/>
              <w:autoSpaceDN w:val="0"/>
              <w:spacing w:before="1"/>
              <w:ind w:left="103"/>
              <w:rPr>
                <w:rFonts w:asciiTheme="minorHAnsi" w:eastAsia="Arial" w:hAnsiTheme="minorHAnsi" w:cstheme="minorHAnsi"/>
                <w:b/>
                <w:sz w:val="22"/>
                <w:szCs w:val="22"/>
              </w:rPr>
            </w:pPr>
            <w:r w:rsidRPr="00A93F8C">
              <w:rPr>
                <w:rFonts w:asciiTheme="minorHAnsi" w:eastAsia="Arial" w:hAnsiTheme="minorHAnsi" w:cstheme="minorHAnsi"/>
                <w:b/>
                <w:sz w:val="22"/>
                <w:szCs w:val="22"/>
              </w:rPr>
              <w:t>Evidence-based program identified by the Department:</w:t>
            </w:r>
          </w:p>
        </w:tc>
        <w:tc>
          <w:tcPr>
            <w:tcW w:w="5570" w:type="dxa"/>
            <w:tcBorders>
              <w:top w:val="double" w:sz="6" w:space="0" w:color="000000"/>
            </w:tcBorders>
          </w:tcPr>
          <w:p w14:paraId="19C61654" w14:textId="77777777" w:rsidR="00AE0647" w:rsidRPr="00A93F8C" w:rsidRDefault="00AE0647" w:rsidP="00642BE2">
            <w:pPr>
              <w:widowControl w:val="0"/>
              <w:autoSpaceDE w:val="0"/>
              <w:autoSpaceDN w:val="0"/>
              <w:spacing w:before="1"/>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Inclusion/co-teaching for students with disabilities</w:t>
            </w:r>
          </w:p>
        </w:tc>
      </w:tr>
      <w:tr w:rsidR="00AE0647" w:rsidRPr="00A93F8C" w14:paraId="76157A79" w14:textId="77777777" w:rsidTr="00963333">
        <w:trPr>
          <w:trHeight w:hRule="exact" w:val="415"/>
        </w:trPr>
        <w:tc>
          <w:tcPr>
            <w:tcW w:w="4932" w:type="dxa"/>
            <w:gridSpan w:val="2"/>
          </w:tcPr>
          <w:p w14:paraId="1A427E56" w14:textId="77777777" w:rsidR="00AE0647" w:rsidRPr="00A93F8C" w:rsidRDefault="00AE0647" w:rsidP="00642BE2">
            <w:pPr>
              <w:widowControl w:val="0"/>
              <w:autoSpaceDE w:val="0"/>
              <w:autoSpaceDN w:val="0"/>
              <w:spacing w:before="1"/>
              <w:ind w:left="103"/>
              <w:rPr>
                <w:rFonts w:asciiTheme="minorHAnsi" w:eastAsia="Arial" w:hAnsiTheme="minorHAnsi" w:cstheme="minorHAnsi"/>
                <w:b/>
                <w:sz w:val="22"/>
                <w:szCs w:val="22"/>
              </w:rPr>
            </w:pPr>
            <w:r w:rsidRPr="00A93F8C">
              <w:rPr>
                <w:rFonts w:asciiTheme="minorHAnsi" w:eastAsia="Arial" w:hAnsiTheme="minorHAnsi" w:cstheme="minorHAnsi"/>
                <w:b/>
                <w:sz w:val="22"/>
                <w:szCs w:val="22"/>
              </w:rPr>
              <w:t>SOA program categories:</w:t>
            </w:r>
          </w:p>
        </w:tc>
        <w:tc>
          <w:tcPr>
            <w:tcW w:w="5570" w:type="dxa"/>
          </w:tcPr>
          <w:p w14:paraId="03F556F4" w14:textId="77777777" w:rsidR="00AE0647" w:rsidRPr="00A93F8C" w:rsidRDefault="00AE0647" w:rsidP="00642BE2">
            <w:pPr>
              <w:widowControl w:val="0"/>
              <w:autoSpaceDE w:val="0"/>
              <w:autoSpaceDN w:val="0"/>
              <w:spacing w:before="1"/>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D (hiring school personnel) and E (PD)</w:t>
            </w:r>
          </w:p>
        </w:tc>
      </w:tr>
    </w:tbl>
    <w:p w14:paraId="4FEC2DD5" w14:textId="3D51A611" w:rsidR="0076100D" w:rsidRDefault="0076100D" w:rsidP="0076100D">
      <w:pPr>
        <w:widowControl w:val="0"/>
        <w:autoSpaceDE w:val="0"/>
        <w:autoSpaceDN w:val="0"/>
        <w:rPr>
          <w:rFonts w:asciiTheme="minorHAnsi" w:eastAsia="Calibri" w:hAnsiTheme="minorHAnsi" w:cstheme="minorHAnsi"/>
          <w:sz w:val="22"/>
          <w:szCs w:val="22"/>
        </w:rPr>
      </w:pPr>
    </w:p>
    <w:p w14:paraId="7EE97468" w14:textId="77777777" w:rsidR="00963333" w:rsidRPr="00A93F8C" w:rsidRDefault="00963333" w:rsidP="0076100D">
      <w:pPr>
        <w:widowControl w:val="0"/>
        <w:autoSpaceDE w:val="0"/>
        <w:autoSpaceDN w:val="0"/>
        <w:rPr>
          <w:rFonts w:asciiTheme="minorHAnsi" w:eastAsia="Calibri" w:hAnsiTheme="minorHAnsi" w:cstheme="minorHAnsi"/>
          <w:sz w:val="22"/>
          <w:szCs w:val="22"/>
        </w:rPr>
      </w:pPr>
    </w:p>
    <w:p w14:paraId="0FC35AA4" w14:textId="1CCDD7C6" w:rsidR="00AE0647" w:rsidRDefault="00AE0647" w:rsidP="00AE0647">
      <w:pPr>
        <w:pStyle w:val="ListParagraph"/>
        <w:numPr>
          <w:ilvl w:val="0"/>
          <w:numId w:val="6"/>
        </w:numPr>
        <w:jc w:val="left"/>
        <w:rPr>
          <w:rFonts w:asciiTheme="minorHAnsi" w:eastAsia="Calibri" w:hAnsiTheme="minorHAnsi" w:cstheme="minorHAnsi"/>
          <w:sz w:val="22"/>
          <w:szCs w:val="22"/>
        </w:rPr>
      </w:pPr>
      <w:r w:rsidRPr="00A93F8C">
        <w:rPr>
          <w:rFonts w:asciiTheme="minorHAnsi" w:eastAsia="Calibri" w:hAnsiTheme="minorHAnsi" w:cstheme="minorHAnsi"/>
          <w:b/>
          <w:sz w:val="22"/>
          <w:szCs w:val="22"/>
        </w:rPr>
        <w:t>Diversifying our educator workforce</w:t>
      </w:r>
      <w:r w:rsidRPr="00A93F8C">
        <w:rPr>
          <w:rFonts w:asciiTheme="minorHAnsi" w:eastAsia="Calibri" w:hAnsiTheme="minorHAnsi" w:cstheme="minorHAnsi"/>
          <w:sz w:val="22"/>
          <w:szCs w:val="22"/>
        </w:rPr>
        <w:t xml:space="preserve">. Our workforce does not mirror our student population, a fact which we believe lowers the engagement and academic success of our students of color. We have </w:t>
      </w:r>
      <w:r w:rsidR="00F8021C" w:rsidRPr="00A93F8C">
        <w:rPr>
          <w:rFonts w:asciiTheme="minorHAnsi" w:eastAsia="Calibri" w:hAnsiTheme="minorHAnsi" w:cstheme="minorHAnsi"/>
          <w:sz w:val="22"/>
          <w:szCs w:val="22"/>
        </w:rPr>
        <w:t>participated in career fairs that focuses explicitly on teachers of color</w:t>
      </w:r>
      <w:r w:rsidR="00D56107" w:rsidRPr="00A93F8C">
        <w:rPr>
          <w:rFonts w:asciiTheme="minorHAnsi" w:eastAsia="Calibri" w:hAnsiTheme="minorHAnsi" w:cstheme="minorHAnsi"/>
          <w:sz w:val="22"/>
          <w:szCs w:val="22"/>
        </w:rPr>
        <w:t>.  Collegiate</w:t>
      </w:r>
      <w:r w:rsidRPr="00A93F8C">
        <w:rPr>
          <w:rFonts w:asciiTheme="minorHAnsi" w:eastAsia="Calibri" w:hAnsiTheme="minorHAnsi" w:cstheme="minorHAnsi"/>
          <w:sz w:val="22"/>
          <w:szCs w:val="22"/>
        </w:rPr>
        <w:t xml:space="preserve"> has established a grant program to support prospective teachers with the costs to prepare for the MTEL and provides these new employees with mentors in the school as part of our efforts to ensure an inclusive workplace for newly-hired educators. To further support an inclusive environment and promote high achievement and engagement for all our students, we will continue to offer culturally responsive PD for all</w:t>
      </w:r>
      <w:r w:rsidRPr="00A93F8C">
        <w:rPr>
          <w:rFonts w:asciiTheme="minorHAnsi" w:eastAsia="Calibri" w:hAnsiTheme="minorHAnsi" w:cstheme="minorHAnsi"/>
          <w:spacing w:val="-7"/>
          <w:sz w:val="22"/>
          <w:szCs w:val="22"/>
        </w:rPr>
        <w:t xml:space="preserve"> </w:t>
      </w:r>
      <w:r w:rsidRPr="00A93F8C">
        <w:rPr>
          <w:rFonts w:asciiTheme="minorHAnsi" w:eastAsia="Calibri" w:hAnsiTheme="minorHAnsi" w:cstheme="minorHAnsi"/>
          <w:sz w:val="22"/>
          <w:szCs w:val="22"/>
        </w:rPr>
        <w:t>educators.</w:t>
      </w:r>
    </w:p>
    <w:p w14:paraId="1FDB917C" w14:textId="2A90CA7D" w:rsidR="00963333" w:rsidRDefault="00963333" w:rsidP="00963333">
      <w:pPr>
        <w:rPr>
          <w:rFonts w:asciiTheme="minorHAnsi" w:eastAsia="Calibri" w:hAnsiTheme="minorHAnsi" w:cstheme="minorHAnsi"/>
          <w:sz w:val="22"/>
          <w:szCs w:val="22"/>
        </w:rPr>
      </w:pPr>
    </w:p>
    <w:tbl>
      <w:tblPr>
        <w:tblW w:w="1069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990"/>
        <w:gridCol w:w="5310"/>
      </w:tblGrid>
      <w:tr w:rsidR="00AE0647" w:rsidRPr="00A93F8C" w14:paraId="2B8C2537" w14:textId="77777777" w:rsidTr="00A93F8C">
        <w:trPr>
          <w:trHeight w:hRule="exact" w:val="370"/>
        </w:trPr>
        <w:tc>
          <w:tcPr>
            <w:tcW w:w="4392" w:type="dxa"/>
          </w:tcPr>
          <w:p w14:paraId="41AC4C1A" w14:textId="77777777" w:rsidR="00AE0647" w:rsidRPr="00A93F8C" w:rsidRDefault="00AE0647" w:rsidP="00642BE2">
            <w:pPr>
              <w:widowControl w:val="0"/>
              <w:autoSpaceDE w:val="0"/>
              <w:autoSpaceDN w:val="0"/>
              <w:spacing w:line="213" w:lineRule="exact"/>
              <w:ind w:left="103"/>
              <w:rPr>
                <w:rFonts w:asciiTheme="minorHAnsi" w:eastAsia="Arial" w:hAnsiTheme="minorHAnsi" w:cstheme="minorHAnsi"/>
                <w:b/>
                <w:sz w:val="22"/>
                <w:szCs w:val="22"/>
              </w:rPr>
            </w:pPr>
            <w:r w:rsidRPr="00A93F8C">
              <w:rPr>
                <w:rFonts w:asciiTheme="minorHAnsi" w:eastAsia="Arial" w:hAnsiTheme="minorHAnsi" w:cstheme="minorHAnsi"/>
                <w:b/>
                <w:sz w:val="22"/>
                <w:szCs w:val="22"/>
              </w:rPr>
              <w:t>FY21 budget item</w:t>
            </w:r>
            <w:r w:rsidRPr="00A93F8C">
              <w:rPr>
                <w:rFonts w:asciiTheme="minorHAnsi" w:eastAsia="Calibri" w:hAnsiTheme="minorHAnsi" w:cstheme="minorHAnsi"/>
                <w:b/>
                <w:sz w:val="22"/>
                <w:szCs w:val="22"/>
              </w:rPr>
              <w:t xml:space="preserve"> </w:t>
            </w:r>
          </w:p>
        </w:tc>
        <w:tc>
          <w:tcPr>
            <w:tcW w:w="990" w:type="dxa"/>
          </w:tcPr>
          <w:p w14:paraId="09F04E40" w14:textId="77777777" w:rsidR="00AE0647" w:rsidRPr="00A93F8C" w:rsidRDefault="00AE0647" w:rsidP="00642BE2">
            <w:pPr>
              <w:widowControl w:val="0"/>
              <w:autoSpaceDE w:val="0"/>
              <w:autoSpaceDN w:val="0"/>
              <w:spacing w:line="213" w:lineRule="exact"/>
              <w:ind w:left="103"/>
              <w:jc w:val="center"/>
              <w:rPr>
                <w:rFonts w:asciiTheme="minorHAnsi" w:eastAsia="Arial" w:hAnsiTheme="minorHAnsi" w:cstheme="minorHAnsi"/>
                <w:b/>
                <w:sz w:val="22"/>
                <w:szCs w:val="22"/>
              </w:rPr>
            </w:pPr>
            <w:r w:rsidRPr="00A93F8C">
              <w:rPr>
                <w:rFonts w:asciiTheme="minorHAnsi" w:eastAsia="Arial" w:hAnsiTheme="minorHAnsi" w:cstheme="minorHAnsi"/>
                <w:b/>
                <w:sz w:val="22"/>
                <w:szCs w:val="22"/>
              </w:rPr>
              <w:t>Amount</w:t>
            </w:r>
          </w:p>
        </w:tc>
        <w:tc>
          <w:tcPr>
            <w:tcW w:w="5310" w:type="dxa"/>
          </w:tcPr>
          <w:p w14:paraId="62F6A7B1" w14:textId="77777777" w:rsidR="00AE0647" w:rsidRPr="00A93F8C" w:rsidRDefault="00AE0647" w:rsidP="00642BE2">
            <w:pPr>
              <w:widowControl w:val="0"/>
              <w:autoSpaceDE w:val="0"/>
              <w:autoSpaceDN w:val="0"/>
              <w:spacing w:line="213" w:lineRule="exact"/>
              <w:ind w:left="100"/>
              <w:rPr>
                <w:rFonts w:asciiTheme="minorHAnsi" w:eastAsia="Arial" w:hAnsiTheme="minorHAnsi" w:cstheme="minorHAnsi"/>
                <w:b/>
                <w:sz w:val="22"/>
                <w:szCs w:val="22"/>
              </w:rPr>
            </w:pPr>
            <w:r w:rsidRPr="00A93F8C">
              <w:rPr>
                <w:rFonts w:asciiTheme="minorHAnsi" w:eastAsia="Arial" w:hAnsiTheme="minorHAnsi" w:cstheme="minorHAnsi"/>
                <w:b/>
                <w:sz w:val="22"/>
                <w:szCs w:val="22"/>
              </w:rPr>
              <w:t>Foundation Category</w:t>
            </w:r>
          </w:p>
        </w:tc>
      </w:tr>
      <w:tr w:rsidR="00AE0647" w:rsidRPr="00A93F8C" w14:paraId="5F49A77F" w14:textId="77777777" w:rsidTr="00A93F8C">
        <w:trPr>
          <w:trHeight w:hRule="exact" w:val="370"/>
        </w:trPr>
        <w:tc>
          <w:tcPr>
            <w:tcW w:w="4392" w:type="dxa"/>
          </w:tcPr>
          <w:p w14:paraId="3A7C88BF" w14:textId="77777777" w:rsidR="00AE0647" w:rsidRPr="00A93F8C" w:rsidRDefault="00AE0647" w:rsidP="00642BE2">
            <w:pPr>
              <w:widowControl w:val="0"/>
              <w:autoSpaceDE w:val="0"/>
              <w:autoSpaceDN w:val="0"/>
              <w:spacing w:line="211" w:lineRule="exact"/>
              <w:ind w:left="103"/>
              <w:rPr>
                <w:rFonts w:asciiTheme="minorHAnsi" w:eastAsia="Arial" w:hAnsiTheme="minorHAnsi" w:cstheme="minorHAnsi"/>
                <w:sz w:val="22"/>
                <w:szCs w:val="22"/>
              </w:rPr>
            </w:pPr>
            <w:r w:rsidRPr="00A93F8C">
              <w:rPr>
                <w:rFonts w:asciiTheme="minorHAnsi" w:eastAsia="Arial" w:hAnsiTheme="minorHAnsi" w:cstheme="minorHAnsi"/>
                <w:sz w:val="22"/>
                <w:szCs w:val="22"/>
              </w:rPr>
              <w:t>MTEL test prep grants</w:t>
            </w:r>
          </w:p>
        </w:tc>
        <w:tc>
          <w:tcPr>
            <w:tcW w:w="990" w:type="dxa"/>
          </w:tcPr>
          <w:p w14:paraId="5696D217" w14:textId="77777777" w:rsidR="00AE0647" w:rsidRPr="00A93F8C" w:rsidRDefault="00AE0647" w:rsidP="00642BE2">
            <w:pPr>
              <w:widowControl w:val="0"/>
              <w:autoSpaceDE w:val="0"/>
              <w:autoSpaceDN w:val="0"/>
              <w:spacing w:line="211" w:lineRule="exact"/>
              <w:ind w:left="103"/>
              <w:jc w:val="center"/>
              <w:rPr>
                <w:rFonts w:asciiTheme="minorHAnsi" w:eastAsia="Arial" w:hAnsiTheme="minorHAnsi" w:cstheme="minorHAnsi"/>
                <w:sz w:val="22"/>
                <w:szCs w:val="22"/>
              </w:rPr>
            </w:pPr>
            <w:r w:rsidRPr="00A93F8C">
              <w:rPr>
                <w:rFonts w:asciiTheme="minorHAnsi" w:eastAsia="Arial" w:hAnsiTheme="minorHAnsi" w:cstheme="minorHAnsi"/>
                <w:sz w:val="22"/>
                <w:szCs w:val="22"/>
              </w:rPr>
              <w:t>$2,000</w:t>
            </w:r>
          </w:p>
        </w:tc>
        <w:tc>
          <w:tcPr>
            <w:tcW w:w="5310" w:type="dxa"/>
          </w:tcPr>
          <w:p w14:paraId="730699DD" w14:textId="77777777" w:rsidR="00AE0647" w:rsidRPr="00A93F8C" w:rsidRDefault="00AE0647" w:rsidP="00642BE2">
            <w:pPr>
              <w:widowControl w:val="0"/>
              <w:autoSpaceDE w:val="0"/>
              <w:autoSpaceDN w:val="0"/>
              <w:spacing w:line="211" w:lineRule="exact"/>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Professional Development</w:t>
            </w:r>
          </w:p>
        </w:tc>
      </w:tr>
      <w:tr w:rsidR="00AE0647" w:rsidRPr="00A93F8C" w14:paraId="579CD7FC" w14:textId="77777777" w:rsidTr="00A93F8C">
        <w:trPr>
          <w:trHeight w:hRule="exact" w:val="352"/>
        </w:trPr>
        <w:tc>
          <w:tcPr>
            <w:tcW w:w="4392" w:type="dxa"/>
          </w:tcPr>
          <w:p w14:paraId="27ABA8DA" w14:textId="77777777" w:rsidR="00AE0647" w:rsidRPr="00A93F8C" w:rsidRDefault="00AE0647" w:rsidP="00642BE2">
            <w:pPr>
              <w:widowControl w:val="0"/>
              <w:autoSpaceDE w:val="0"/>
              <w:autoSpaceDN w:val="0"/>
              <w:spacing w:line="214" w:lineRule="exact"/>
              <w:ind w:left="103"/>
              <w:rPr>
                <w:rFonts w:asciiTheme="minorHAnsi" w:eastAsia="Arial" w:hAnsiTheme="minorHAnsi" w:cstheme="minorHAnsi"/>
                <w:sz w:val="22"/>
                <w:szCs w:val="22"/>
              </w:rPr>
            </w:pPr>
            <w:r w:rsidRPr="00A93F8C">
              <w:rPr>
                <w:rFonts w:asciiTheme="minorHAnsi" w:eastAsia="Arial" w:hAnsiTheme="minorHAnsi" w:cstheme="minorHAnsi"/>
                <w:sz w:val="22"/>
                <w:szCs w:val="22"/>
              </w:rPr>
              <w:t>Mentor stipends for educators</w:t>
            </w:r>
          </w:p>
        </w:tc>
        <w:tc>
          <w:tcPr>
            <w:tcW w:w="990" w:type="dxa"/>
          </w:tcPr>
          <w:p w14:paraId="7F797461" w14:textId="77777777" w:rsidR="00AE0647" w:rsidRPr="00A93F8C" w:rsidRDefault="00AE0647" w:rsidP="00642BE2">
            <w:pPr>
              <w:widowControl w:val="0"/>
              <w:autoSpaceDE w:val="0"/>
              <w:autoSpaceDN w:val="0"/>
              <w:spacing w:line="214" w:lineRule="exact"/>
              <w:ind w:left="103"/>
              <w:jc w:val="center"/>
              <w:rPr>
                <w:rFonts w:asciiTheme="minorHAnsi" w:eastAsia="Arial" w:hAnsiTheme="minorHAnsi" w:cstheme="minorHAnsi"/>
                <w:sz w:val="22"/>
                <w:szCs w:val="22"/>
              </w:rPr>
            </w:pPr>
            <w:r w:rsidRPr="00A93F8C">
              <w:rPr>
                <w:rFonts w:asciiTheme="minorHAnsi" w:eastAsia="Arial" w:hAnsiTheme="minorHAnsi" w:cstheme="minorHAnsi"/>
                <w:sz w:val="22"/>
                <w:szCs w:val="22"/>
              </w:rPr>
              <w:t>$15,000</w:t>
            </w:r>
          </w:p>
        </w:tc>
        <w:tc>
          <w:tcPr>
            <w:tcW w:w="5310" w:type="dxa"/>
          </w:tcPr>
          <w:p w14:paraId="7172AE7D" w14:textId="77777777" w:rsidR="00AE0647" w:rsidRPr="00A93F8C" w:rsidRDefault="00AE0647" w:rsidP="00642BE2">
            <w:pPr>
              <w:widowControl w:val="0"/>
              <w:autoSpaceDE w:val="0"/>
              <w:autoSpaceDN w:val="0"/>
              <w:spacing w:line="214" w:lineRule="exact"/>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Professional Development</w:t>
            </w:r>
          </w:p>
        </w:tc>
      </w:tr>
      <w:tr w:rsidR="00AE0647" w:rsidRPr="00A93F8C" w14:paraId="2F3852E2" w14:textId="77777777" w:rsidTr="00A93F8C">
        <w:trPr>
          <w:trHeight w:hRule="exact" w:val="370"/>
        </w:trPr>
        <w:tc>
          <w:tcPr>
            <w:tcW w:w="4392" w:type="dxa"/>
            <w:tcBorders>
              <w:bottom w:val="double" w:sz="6" w:space="0" w:color="000000"/>
            </w:tcBorders>
          </w:tcPr>
          <w:p w14:paraId="3716D203" w14:textId="77777777" w:rsidR="00AE0647" w:rsidRPr="00A93F8C" w:rsidRDefault="00AE0647" w:rsidP="00642BE2">
            <w:pPr>
              <w:widowControl w:val="0"/>
              <w:autoSpaceDE w:val="0"/>
              <w:autoSpaceDN w:val="0"/>
              <w:spacing w:line="213" w:lineRule="exact"/>
              <w:ind w:left="103"/>
              <w:rPr>
                <w:rFonts w:asciiTheme="minorHAnsi" w:eastAsia="Arial" w:hAnsiTheme="minorHAnsi" w:cstheme="minorHAnsi"/>
                <w:sz w:val="22"/>
                <w:szCs w:val="22"/>
              </w:rPr>
            </w:pPr>
            <w:r w:rsidRPr="00A93F8C">
              <w:rPr>
                <w:rFonts w:asciiTheme="minorHAnsi" w:eastAsia="Arial" w:hAnsiTheme="minorHAnsi" w:cstheme="minorHAnsi"/>
                <w:sz w:val="22"/>
                <w:szCs w:val="22"/>
              </w:rPr>
              <w:t>Culturally responsive PD</w:t>
            </w:r>
          </w:p>
        </w:tc>
        <w:tc>
          <w:tcPr>
            <w:tcW w:w="990" w:type="dxa"/>
            <w:tcBorders>
              <w:bottom w:val="double" w:sz="6" w:space="0" w:color="000000"/>
            </w:tcBorders>
          </w:tcPr>
          <w:p w14:paraId="01839369" w14:textId="7A1C92A2" w:rsidR="00AE0647" w:rsidRPr="00A93F8C" w:rsidRDefault="00AE0647" w:rsidP="00642BE2">
            <w:pPr>
              <w:widowControl w:val="0"/>
              <w:autoSpaceDE w:val="0"/>
              <w:autoSpaceDN w:val="0"/>
              <w:spacing w:line="213" w:lineRule="exact"/>
              <w:ind w:left="103"/>
              <w:jc w:val="center"/>
              <w:rPr>
                <w:rFonts w:asciiTheme="minorHAnsi" w:eastAsia="Arial" w:hAnsiTheme="minorHAnsi" w:cstheme="minorHAnsi"/>
                <w:sz w:val="22"/>
                <w:szCs w:val="22"/>
              </w:rPr>
            </w:pPr>
            <w:r w:rsidRPr="00A93F8C">
              <w:rPr>
                <w:rFonts w:asciiTheme="minorHAnsi" w:eastAsia="Arial" w:hAnsiTheme="minorHAnsi" w:cstheme="minorHAnsi"/>
                <w:sz w:val="22"/>
                <w:szCs w:val="22"/>
              </w:rPr>
              <w:t>$</w:t>
            </w:r>
            <w:r w:rsidR="00F8021C" w:rsidRPr="00A93F8C">
              <w:rPr>
                <w:rFonts w:asciiTheme="minorHAnsi" w:eastAsia="Arial" w:hAnsiTheme="minorHAnsi" w:cstheme="minorHAnsi"/>
                <w:sz w:val="22"/>
                <w:szCs w:val="22"/>
              </w:rPr>
              <w:t>15,000</w:t>
            </w:r>
          </w:p>
        </w:tc>
        <w:tc>
          <w:tcPr>
            <w:tcW w:w="5310" w:type="dxa"/>
            <w:tcBorders>
              <w:bottom w:val="double" w:sz="6" w:space="0" w:color="000000"/>
            </w:tcBorders>
          </w:tcPr>
          <w:p w14:paraId="2FBAE036" w14:textId="77777777" w:rsidR="00AE0647" w:rsidRPr="00A93F8C" w:rsidRDefault="00AE0647" w:rsidP="00642BE2">
            <w:pPr>
              <w:widowControl w:val="0"/>
              <w:autoSpaceDE w:val="0"/>
              <w:autoSpaceDN w:val="0"/>
              <w:spacing w:line="213" w:lineRule="exact"/>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Professional Development</w:t>
            </w:r>
          </w:p>
        </w:tc>
      </w:tr>
      <w:tr w:rsidR="00AE0647" w:rsidRPr="00A93F8C" w14:paraId="3F3BACF4" w14:textId="77777777" w:rsidTr="00963333">
        <w:trPr>
          <w:trHeight w:hRule="exact" w:val="387"/>
        </w:trPr>
        <w:tc>
          <w:tcPr>
            <w:tcW w:w="5382" w:type="dxa"/>
            <w:gridSpan w:val="2"/>
            <w:tcBorders>
              <w:top w:val="double" w:sz="6" w:space="0" w:color="000000"/>
            </w:tcBorders>
          </w:tcPr>
          <w:p w14:paraId="1ED07039" w14:textId="77777777" w:rsidR="00AE0647" w:rsidRPr="00A93F8C" w:rsidRDefault="00AE0647" w:rsidP="00642BE2">
            <w:pPr>
              <w:widowControl w:val="0"/>
              <w:autoSpaceDE w:val="0"/>
              <w:autoSpaceDN w:val="0"/>
              <w:spacing w:line="213" w:lineRule="exact"/>
              <w:ind w:left="103"/>
              <w:rPr>
                <w:rFonts w:asciiTheme="minorHAnsi" w:eastAsia="Arial" w:hAnsiTheme="minorHAnsi" w:cstheme="minorHAnsi"/>
                <w:b/>
                <w:sz w:val="22"/>
                <w:szCs w:val="22"/>
              </w:rPr>
            </w:pPr>
            <w:r w:rsidRPr="00A93F8C">
              <w:rPr>
                <w:rFonts w:asciiTheme="minorHAnsi" w:eastAsia="Arial" w:hAnsiTheme="minorHAnsi" w:cstheme="minorHAnsi"/>
                <w:b/>
                <w:sz w:val="22"/>
                <w:szCs w:val="22"/>
              </w:rPr>
              <w:t>Evidence-based program identified by the Department:</w:t>
            </w:r>
          </w:p>
        </w:tc>
        <w:tc>
          <w:tcPr>
            <w:tcW w:w="5310" w:type="dxa"/>
            <w:tcBorders>
              <w:top w:val="double" w:sz="6" w:space="0" w:color="000000"/>
            </w:tcBorders>
          </w:tcPr>
          <w:p w14:paraId="3D6DFACF" w14:textId="77777777" w:rsidR="00AE0647" w:rsidRPr="00A93F8C" w:rsidRDefault="00AE0647" w:rsidP="00642BE2">
            <w:pPr>
              <w:widowControl w:val="0"/>
              <w:autoSpaceDE w:val="0"/>
              <w:autoSpaceDN w:val="0"/>
              <w:spacing w:line="213" w:lineRule="exact"/>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Diversifying the educator and administrator workforce</w:t>
            </w:r>
          </w:p>
        </w:tc>
      </w:tr>
      <w:tr w:rsidR="00AE0647" w:rsidRPr="00A93F8C" w14:paraId="5B49A2C3" w14:textId="77777777" w:rsidTr="00A93F8C">
        <w:trPr>
          <w:trHeight w:hRule="exact" w:val="325"/>
        </w:trPr>
        <w:tc>
          <w:tcPr>
            <w:tcW w:w="5382" w:type="dxa"/>
            <w:gridSpan w:val="2"/>
          </w:tcPr>
          <w:p w14:paraId="6F66F563" w14:textId="77777777" w:rsidR="00AE0647" w:rsidRPr="00A93F8C" w:rsidRDefault="00AE0647" w:rsidP="00642BE2">
            <w:pPr>
              <w:widowControl w:val="0"/>
              <w:autoSpaceDE w:val="0"/>
              <w:autoSpaceDN w:val="0"/>
              <w:spacing w:line="213" w:lineRule="exact"/>
              <w:ind w:left="103"/>
              <w:rPr>
                <w:rFonts w:asciiTheme="minorHAnsi" w:eastAsia="Arial" w:hAnsiTheme="minorHAnsi" w:cstheme="minorHAnsi"/>
                <w:b/>
                <w:sz w:val="22"/>
                <w:szCs w:val="22"/>
              </w:rPr>
            </w:pPr>
            <w:r w:rsidRPr="00A93F8C">
              <w:rPr>
                <w:rFonts w:asciiTheme="minorHAnsi" w:eastAsia="Arial" w:hAnsiTheme="minorHAnsi" w:cstheme="minorHAnsi"/>
                <w:b/>
                <w:sz w:val="22"/>
                <w:szCs w:val="22"/>
              </w:rPr>
              <w:t>SOA program categories:</w:t>
            </w:r>
          </w:p>
        </w:tc>
        <w:tc>
          <w:tcPr>
            <w:tcW w:w="5310" w:type="dxa"/>
          </w:tcPr>
          <w:p w14:paraId="5BE0D49E" w14:textId="77777777" w:rsidR="00AE0647" w:rsidRPr="00A93F8C" w:rsidRDefault="00AE0647" w:rsidP="00642BE2">
            <w:pPr>
              <w:widowControl w:val="0"/>
              <w:autoSpaceDE w:val="0"/>
              <w:autoSpaceDN w:val="0"/>
              <w:spacing w:line="213" w:lineRule="exact"/>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D (hiring school personnel) and E (PD)</w:t>
            </w:r>
          </w:p>
        </w:tc>
      </w:tr>
    </w:tbl>
    <w:p w14:paraId="316B7CD6" w14:textId="2EC905A6" w:rsidR="00963333" w:rsidRPr="00963333" w:rsidRDefault="00AE0647" w:rsidP="00BF048D">
      <w:pPr>
        <w:pStyle w:val="tags"/>
        <w:numPr>
          <w:ilvl w:val="0"/>
          <w:numId w:val="6"/>
        </w:numPr>
        <w:ind w:left="115" w:hanging="216"/>
        <w:rPr>
          <w:rFonts w:asciiTheme="minorHAnsi" w:hAnsiTheme="minorHAnsi" w:cstheme="minorHAnsi"/>
          <w:i/>
          <w:iCs/>
          <w:sz w:val="22"/>
          <w:szCs w:val="22"/>
        </w:rPr>
      </w:pPr>
      <w:r w:rsidRPr="00963333">
        <w:rPr>
          <w:rFonts w:asciiTheme="minorHAnsi" w:eastAsia="Calibri" w:hAnsiTheme="minorHAnsi" w:cstheme="minorHAnsi"/>
          <w:b/>
          <w:sz w:val="22"/>
          <w:szCs w:val="22"/>
        </w:rPr>
        <w:t>Conditions for student success</w:t>
      </w:r>
      <w:r w:rsidR="00F8021C" w:rsidRPr="00963333">
        <w:rPr>
          <w:rFonts w:asciiTheme="minorHAnsi" w:eastAsia="Calibri" w:hAnsiTheme="minorHAnsi" w:cstheme="minorHAnsi"/>
          <w:b/>
          <w:sz w:val="22"/>
          <w:szCs w:val="22"/>
        </w:rPr>
        <w:t>.</w:t>
      </w:r>
      <w:r w:rsidR="00EA2846" w:rsidRPr="00963333">
        <w:rPr>
          <w:rFonts w:asciiTheme="minorHAnsi" w:eastAsia="Calibri" w:hAnsiTheme="minorHAnsi" w:cstheme="minorHAnsi"/>
          <w:b/>
          <w:sz w:val="22"/>
          <w:szCs w:val="22"/>
        </w:rPr>
        <w:t xml:space="preserve"> </w:t>
      </w:r>
      <w:r w:rsidR="00EA2846" w:rsidRPr="00963333">
        <w:rPr>
          <w:rFonts w:asciiTheme="minorHAnsi" w:hAnsiTheme="minorHAnsi" w:cstheme="minorHAnsi"/>
          <w:sz w:val="22"/>
          <w:szCs w:val="22"/>
        </w:rPr>
        <w:t>A connected school community is a group of students, teachers, leaders, parents and the wider school who learn from each other, together in a collaborative environment, inside and </w:t>
      </w:r>
      <w:hyperlink r:id="rId12" w:history="1">
        <w:r w:rsidR="00EA2846" w:rsidRPr="00963333">
          <w:rPr>
            <w:rStyle w:val="Hyperlink"/>
            <w:rFonts w:asciiTheme="minorHAnsi" w:hAnsiTheme="minorHAnsi" w:cstheme="minorHAnsi"/>
            <w:color w:val="auto"/>
            <w:sz w:val="22"/>
            <w:szCs w:val="22"/>
          </w:rPr>
          <w:t>outside the classroom</w:t>
        </w:r>
      </w:hyperlink>
      <w:r w:rsidR="00EA2846" w:rsidRPr="00963333">
        <w:rPr>
          <w:rFonts w:asciiTheme="minorHAnsi" w:hAnsiTheme="minorHAnsi" w:cstheme="minorHAnsi"/>
          <w:sz w:val="22"/>
          <w:szCs w:val="22"/>
        </w:rPr>
        <w:t xml:space="preserve">. This environment connects people, </w:t>
      </w:r>
      <w:proofErr w:type="gramStart"/>
      <w:r w:rsidR="00EA2846" w:rsidRPr="00963333">
        <w:rPr>
          <w:rFonts w:asciiTheme="minorHAnsi" w:hAnsiTheme="minorHAnsi" w:cstheme="minorHAnsi"/>
          <w:sz w:val="22"/>
          <w:szCs w:val="22"/>
        </w:rPr>
        <w:t>schools</w:t>
      </w:r>
      <w:proofErr w:type="gramEnd"/>
      <w:r w:rsidR="00EA2846" w:rsidRPr="00963333">
        <w:rPr>
          <w:rFonts w:asciiTheme="minorHAnsi" w:hAnsiTheme="minorHAnsi" w:cstheme="minorHAnsi"/>
          <w:sz w:val="22"/>
          <w:szCs w:val="22"/>
        </w:rPr>
        <w:t xml:space="preserve"> and technologies to meet common learning goals. These goals can be specific to particular class work or can guide a whole school or learning community.</w:t>
      </w:r>
    </w:p>
    <w:tbl>
      <w:tblPr>
        <w:tblW w:w="107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7"/>
        <w:gridCol w:w="1365"/>
        <w:gridCol w:w="5664"/>
      </w:tblGrid>
      <w:tr w:rsidR="00AE0647" w:rsidRPr="00A93F8C" w14:paraId="2AE840D2" w14:textId="77777777" w:rsidTr="007D104F">
        <w:trPr>
          <w:trHeight w:hRule="exact" w:val="407"/>
        </w:trPr>
        <w:tc>
          <w:tcPr>
            <w:tcW w:w="3757" w:type="dxa"/>
          </w:tcPr>
          <w:p w14:paraId="1AF05CF8" w14:textId="77777777" w:rsidR="00AE0647" w:rsidRPr="00A93F8C" w:rsidRDefault="00AE0647" w:rsidP="00642BE2">
            <w:pPr>
              <w:widowControl w:val="0"/>
              <w:autoSpaceDE w:val="0"/>
              <w:autoSpaceDN w:val="0"/>
              <w:spacing w:before="1"/>
              <w:ind w:left="103"/>
              <w:rPr>
                <w:rFonts w:asciiTheme="minorHAnsi" w:eastAsia="Arial" w:hAnsiTheme="minorHAnsi" w:cstheme="minorHAnsi"/>
                <w:b/>
                <w:sz w:val="22"/>
                <w:szCs w:val="22"/>
              </w:rPr>
            </w:pPr>
            <w:r w:rsidRPr="00A93F8C">
              <w:rPr>
                <w:rFonts w:asciiTheme="minorHAnsi" w:eastAsia="Arial" w:hAnsiTheme="minorHAnsi" w:cstheme="minorHAnsi"/>
                <w:b/>
                <w:sz w:val="22"/>
                <w:szCs w:val="22"/>
              </w:rPr>
              <w:t>FY21 budget item</w:t>
            </w:r>
          </w:p>
        </w:tc>
        <w:tc>
          <w:tcPr>
            <w:tcW w:w="1365" w:type="dxa"/>
          </w:tcPr>
          <w:p w14:paraId="122B64C6" w14:textId="77777777" w:rsidR="00AE0647" w:rsidRPr="00A93F8C" w:rsidRDefault="00AE0647" w:rsidP="00642BE2">
            <w:pPr>
              <w:widowControl w:val="0"/>
              <w:autoSpaceDE w:val="0"/>
              <w:autoSpaceDN w:val="0"/>
              <w:spacing w:before="1"/>
              <w:ind w:left="103"/>
              <w:jc w:val="center"/>
              <w:rPr>
                <w:rFonts w:asciiTheme="minorHAnsi" w:eastAsia="Arial" w:hAnsiTheme="minorHAnsi" w:cstheme="minorHAnsi"/>
                <w:b/>
                <w:sz w:val="22"/>
                <w:szCs w:val="22"/>
              </w:rPr>
            </w:pPr>
            <w:r w:rsidRPr="00A93F8C">
              <w:rPr>
                <w:rFonts w:asciiTheme="minorHAnsi" w:eastAsia="Arial" w:hAnsiTheme="minorHAnsi" w:cstheme="minorHAnsi"/>
                <w:b/>
                <w:sz w:val="22"/>
                <w:szCs w:val="22"/>
              </w:rPr>
              <w:t>Amount</w:t>
            </w:r>
          </w:p>
        </w:tc>
        <w:tc>
          <w:tcPr>
            <w:tcW w:w="5664" w:type="dxa"/>
          </w:tcPr>
          <w:p w14:paraId="25C5A8C4" w14:textId="77777777" w:rsidR="00AE0647" w:rsidRPr="00A93F8C" w:rsidRDefault="00AE0647" w:rsidP="00642BE2">
            <w:pPr>
              <w:widowControl w:val="0"/>
              <w:autoSpaceDE w:val="0"/>
              <w:autoSpaceDN w:val="0"/>
              <w:spacing w:before="1"/>
              <w:ind w:left="100"/>
              <w:rPr>
                <w:rFonts w:asciiTheme="minorHAnsi" w:eastAsia="Arial" w:hAnsiTheme="minorHAnsi" w:cstheme="minorHAnsi"/>
                <w:b/>
                <w:sz w:val="22"/>
                <w:szCs w:val="22"/>
              </w:rPr>
            </w:pPr>
            <w:r w:rsidRPr="00A93F8C">
              <w:rPr>
                <w:rFonts w:asciiTheme="minorHAnsi" w:eastAsia="Arial" w:hAnsiTheme="minorHAnsi" w:cstheme="minorHAnsi"/>
                <w:b/>
                <w:sz w:val="22"/>
                <w:szCs w:val="22"/>
              </w:rPr>
              <w:t>Foundation Category</w:t>
            </w:r>
          </w:p>
        </w:tc>
      </w:tr>
      <w:tr w:rsidR="00AE0647" w:rsidRPr="00A93F8C" w14:paraId="351A4FA6" w14:textId="77777777" w:rsidTr="007D104F">
        <w:trPr>
          <w:trHeight w:hRule="exact" w:val="405"/>
        </w:trPr>
        <w:tc>
          <w:tcPr>
            <w:tcW w:w="3757" w:type="dxa"/>
          </w:tcPr>
          <w:p w14:paraId="2B0B750F" w14:textId="12918338" w:rsidR="00AE0647" w:rsidRPr="00A93F8C" w:rsidRDefault="00F8021C" w:rsidP="00642BE2">
            <w:pPr>
              <w:widowControl w:val="0"/>
              <w:autoSpaceDE w:val="0"/>
              <w:autoSpaceDN w:val="0"/>
              <w:spacing w:line="219" w:lineRule="exact"/>
              <w:ind w:left="103"/>
              <w:rPr>
                <w:rFonts w:asciiTheme="minorHAnsi" w:eastAsia="Arial" w:hAnsiTheme="minorHAnsi" w:cstheme="minorHAnsi"/>
                <w:sz w:val="22"/>
                <w:szCs w:val="22"/>
              </w:rPr>
            </w:pPr>
            <w:r w:rsidRPr="00A93F8C">
              <w:rPr>
                <w:rFonts w:asciiTheme="minorHAnsi" w:eastAsia="Arial" w:hAnsiTheme="minorHAnsi" w:cstheme="minorHAnsi"/>
                <w:sz w:val="22"/>
                <w:szCs w:val="22"/>
              </w:rPr>
              <w:t>Community mental health partners (2)</w:t>
            </w:r>
          </w:p>
        </w:tc>
        <w:tc>
          <w:tcPr>
            <w:tcW w:w="1365" w:type="dxa"/>
          </w:tcPr>
          <w:p w14:paraId="71967FD6" w14:textId="5CA5A259" w:rsidR="00AE0647" w:rsidRPr="00A93F8C" w:rsidRDefault="00F8021C" w:rsidP="00642BE2">
            <w:pPr>
              <w:widowControl w:val="0"/>
              <w:autoSpaceDE w:val="0"/>
              <w:autoSpaceDN w:val="0"/>
              <w:spacing w:line="219" w:lineRule="exact"/>
              <w:ind w:left="103"/>
              <w:jc w:val="center"/>
              <w:rPr>
                <w:rFonts w:asciiTheme="minorHAnsi" w:eastAsia="Arial" w:hAnsiTheme="minorHAnsi" w:cstheme="minorHAnsi"/>
                <w:sz w:val="22"/>
                <w:szCs w:val="22"/>
              </w:rPr>
            </w:pPr>
            <w:r w:rsidRPr="00A93F8C">
              <w:rPr>
                <w:rFonts w:asciiTheme="minorHAnsi" w:eastAsia="Arial" w:hAnsiTheme="minorHAnsi" w:cstheme="minorHAnsi"/>
                <w:sz w:val="22"/>
                <w:szCs w:val="22"/>
              </w:rPr>
              <w:t>$100,000</w:t>
            </w:r>
          </w:p>
        </w:tc>
        <w:tc>
          <w:tcPr>
            <w:tcW w:w="5664" w:type="dxa"/>
          </w:tcPr>
          <w:p w14:paraId="35B32835" w14:textId="4C032D76" w:rsidR="00AE0647" w:rsidRPr="00A93F8C" w:rsidRDefault="00F8021C" w:rsidP="00642BE2">
            <w:pPr>
              <w:widowControl w:val="0"/>
              <w:autoSpaceDE w:val="0"/>
              <w:autoSpaceDN w:val="0"/>
              <w:spacing w:line="219" w:lineRule="exact"/>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Social Work services</w:t>
            </w:r>
            <w:r w:rsidR="00AE0647" w:rsidRPr="00A93F8C">
              <w:rPr>
                <w:rFonts w:asciiTheme="minorHAnsi" w:eastAsia="Arial" w:hAnsiTheme="minorHAnsi" w:cstheme="minorHAnsi"/>
                <w:sz w:val="22"/>
                <w:szCs w:val="22"/>
              </w:rPr>
              <w:t>, Employee Benefits / Fixed Charges</w:t>
            </w:r>
          </w:p>
        </w:tc>
      </w:tr>
      <w:tr w:rsidR="00AE0647" w:rsidRPr="00A93F8C" w14:paraId="105A1A52" w14:textId="77777777" w:rsidTr="007D104F">
        <w:trPr>
          <w:trHeight w:hRule="exact" w:val="415"/>
        </w:trPr>
        <w:tc>
          <w:tcPr>
            <w:tcW w:w="3757" w:type="dxa"/>
            <w:tcBorders>
              <w:bottom w:val="double" w:sz="6" w:space="0" w:color="000000"/>
            </w:tcBorders>
          </w:tcPr>
          <w:p w14:paraId="4D6E5757" w14:textId="48A23DDC" w:rsidR="00AE0647" w:rsidRPr="00A93F8C" w:rsidRDefault="00F8021C" w:rsidP="00642BE2">
            <w:pPr>
              <w:widowControl w:val="0"/>
              <w:autoSpaceDE w:val="0"/>
              <w:autoSpaceDN w:val="0"/>
              <w:spacing w:before="1"/>
              <w:ind w:left="103"/>
              <w:rPr>
                <w:rFonts w:asciiTheme="minorHAnsi" w:eastAsia="Arial" w:hAnsiTheme="minorHAnsi" w:cstheme="minorHAnsi"/>
                <w:sz w:val="22"/>
                <w:szCs w:val="22"/>
              </w:rPr>
            </w:pPr>
            <w:r w:rsidRPr="00A93F8C">
              <w:rPr>
                <w:rFonts w:asciiTheme="minorHAnsi" w:eastAsia="Arial" w:hAnsiTheme="minorHAnsi" w:cstheme="minorHAnsi"/>
                <w:sz w:val="22"/>
                <w:szCs w:val="22"/>
              </w:rPr>
              <w:t>Enrichment Camp</w:t>
            </w:r>
          </w:p>
        </w:tc>
        <w:tc>
          <w:tcPr>
            <w:tcW w:w="1365" w:type="dxa"/>
            <w:tcBorders>
              <w:bottom w:val="double" w:sz="6" w:space="0" w:color="000000"/>
            </w:tcBorders>
          </w:tcPr>
          <w:p w14:paraId="1D197BC0" w14:textId="77777777" w:rsidR="00AE0647" w:rsidRPr="00A93F8C" w:rsidRDefault="00AE0647" w:rsidP="00642BE2">
            <w:pPr>
              <w:widowControl w:val="0"/>
              <w:autoSpaceDE w:val="0"/>
              <w:autoSpaceDN w:val="0"/>
              <w:spacing w:before="1"/>
              <w:ind w:left="103"/>
              <w:jc w:val="center"/>
              <w:rPr>
                <w:rFonts w:asciiTheme="minorHAnsi" w:eastAsia="Arial" w:hAnsiTheme="minorHAnsi" w:cstheme="minorHAnsi"/>
                <w:sz w:val="22"/>
                <w:szCs w:val="22"/>
              </w:rPr>
            </w:pPr>
            <w:r w:rsidRPr="00A93F8C">
              <w:rPr>
                <w:rFonts w:asciiTheme="minorHAnsi" w:eastAsia="Arial" w:hAnsiTheme="minorHAnsi" w:cstheme="minorHAnsi"/>
                <w:sz w:val="22"/>
                <w:szCs w:val="22"/>
              </w:rPr>
              <w:t>$10,000</w:t>
            </w:r>
          </w:p>
        </w:tc>
        <w:tc>
          <w:tcPr>
            <w:tcW w:w="5664" w:type="dxa"/>
            <w:tcBorders>
              <w:bottom w:val="double" w:sz="6" w:space="0" w:color="000000"/>
            </w:tcBorders>
          </w:tcPr>
          <w:p w14:paraId="75AD31BD" w14:textId="51FD3CDD" w:rsidR="00AE0647" w:rsidRPr="00A93F8C" w:rsidRDefault="00F8021C" w:rsidP="00642BE2">
            <w:pPr>
              <w:widowControl w:val="0"/>
              <w:autoSpaceDE w:val="0"/>
              <w:autoSpaceDN w:val="0"/>
              <w:spacing w:before="1"/>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Camp for Students focusing on SEL</w:t>
            </w:r>
          </w:p>
        </w:tc>
      </w:tr>
      <w:tr w:rsidR="00AE0647" w:rsidRPr="00A93F8C" w14:paraId="2A32BDCE" w14:textId="77777777" w:rsidTr="007D104F">
        <w:trPr>
          <w:trHeight w:hRule="exact" w:val="567"/>
        </w:trPr>
        <w:tc>
          <w:tcPr>
            <w:tcW w:w="5122" w:type="dxa"/>
            <w:gridSpan w:val="2"/>
            <w:tcBorders>
              <w:top w:val="double" w:sz="6" w:space="0" w:color="000000"/>
            </w:tcBorders>
          </w:tcPr>
          <w:p w14:paraId="6BB07C9A" w14:textId="77777777" w:rsidR="00AE0647" w:rsidRPr="00A93F8C" w:rsidRDefault="00AE0647" w:rsidP="00642BE2">
            <w:pPr>
              <w:widowControl w:val="0"/>
              <w:autoSpaceDE w:val="0"/>
              <w:autoSpaceDN w:val="0"/>
              <w:spacing w:before="1"/>
              <w:ind w:left="103"/>
              <w:rPr>
                <w:rFonts w:asciiTheme="minorHAnsi" w:eastAsia="Arial" w:hAnsiTheme="minorHAnsi" w:cstheme="minorHAnsi"/>
                <w:b/>
                <w:sz w:val="22"/>
                <w:szCs w:val="22"/>
              </w:rPr>
            </w:pPr>
            <w:r w:rsidRPr="00A93F8C">
              <w:rPr>
                <w:rFonts w:asciiTheme="minorHAnsi" w:eastAsia="Arial" w:hAnsiTheme="minorHAnsi" w:cstheme="minorHAnsi"/>
                <w:b/>
                <w:sz w:val="22"/>
                <w:szCs w:val="22"/>
              </w:rPr>
              <w:t>Evidence-based program identified by the Department:</w:t>
            </w:r>
          </w:p>
        </w:tc>
        <w:tc>
          <w:tcPr>
            <w:tcW w:w="5664" w:type="dxa"/>
            <w:tcBorders>
              <w:top w:val="double" w:sz="6" w:space="0" w:color="000000"/>
            </w:tcBorders>
          </w:tcPr>
          <w:p w14:paraId="18A34E9A" w14:textId="77777777" w:rsidR="007D104F" w:rsidRPr="00A93F8C" w:rsidRDefault="006C4201" w:rsidP="00642BE2">
            <w:pPr>
              <w:widowControl w:val="0"/>
              <w:autoSpaceDE w:val="0"/>
              <w:autoSpaceDN w:val="0"/>
              <w:spacing w:before="1"/>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Community partnerships for in-school enrichment and wraparound</w:t>
            </w:r>
          </w:p>
          <w:p w14:paraId="6CA8FE5A" w14:textId="3F28BB39" w:rsidR="00AE0647" w:rsidRPr="00A93F8C" w:rsidRDefault="006C4201" w:rsidP="00642BE2">
            <w:pPr>
              <w:widowControl w:val="0"/>
              <w:autoSpaceDE w:val="0"/>
              <w:autoSpaceDN w:val="0"/>
              <w:spacing w:before="1"/>
              <w:ind w:left="100"/>
              <w:rPr>
                <w:rFonts w:asciiTheme="minorHAnsi" w:eastAsia="Arial" w:hAnsiTheme="minorHAnsi" w:cstheme="minorHAnsi"/>
                <w:sz w:val="22"/>
                <w:szCs w:val="22"/>
              </w:rPr>
            </w:pPr>
            <w:r w:rsidRPr="00A93F8C">
              <w:rPr>
                <w:rFonts w:asciiTheme="minorHAnsi" w:eastAsia="Arial" w:hAnsiTheme="minorHAnsi" w:cstheme="minorHAnsi"/>
                <w:sz w:val="22"/>
                <w:szCs w:val="22"/>
              </w:rPr>
              <w:t xml:space="preserve"> services</w:t>
            </w:r>
          </w:p>
        </w:tc>
      </w:tr>
      <w:tr w:rsidR="00AE0647" w:rsidRPr="00963333" w14:paraId="4B01D658" w14:textId="77777777" w:rsidTr="007D104F">
        <w:trPr>
          <w:trHeight w:hRule="exact" w:val="663"/>
        </w:trPr>
        <w:tc>
          <w:tcPr>
            <w:tcW w:w="5122" w:type="dxa"/>
            <w:gridSpan w:val="2"/>
          </w:tcPr>
          <w:p w14:paraId="77A84C18" w14:textId="77777777" w:rsidR="00AE0647" w:rsidRPr="00963333" w:rsidRDefault="00AE0647" w:rsidP="00642BE2">
            <w:pPr>
              <w:widowControl w:val="0"/>
              <w:autoSpaceDE w:val="0"/>
              <w:autoSpaceDN w:val="0"/>
              <w:spacing w:before="1"/>
              <w:ind w:left="103"/>
              <w:rPr>
                <w:rFonts w:asciiTheme="minorHAnsi" w:eastAsia="Arial" w:hAnsiTheme="minorHAnsi" w:cstheme="minorHAnsi"/>
                <w:b/>
                <w:i/>
                <w:sz w:val="22"/>
                <w:szCs w:val="22"/>
              </w:rPr>
            </w:pPr>
            <w:r w:rsidRPr="00963333">
              <w:rPr>
                <w:rFonts w:asciiTheme="minorHAnsi" w:eastAsia="Arial" w:hAnsiTheme="minorHAnsi" w:cstheme="minorHAnsi"/>
                <w:b/>
                <w:i/>
                <w:sz w:val="22"/>
                <w:szCs w:val="22"/>
              </w:rPr>
              <w:t>SOA program categories:</w:t>
            </w:r>
          </w:p>
        </w:tc>
        <w:tc>
          <w:tcPr>
            <w:tcW w:w="5664" w:type="dxa"/>
          </w:tcPr>
          <w:p w14:paraId="0E7C20C5" w14:textId="1F9CDE47" w:rsidR="00AE0647" w:rsidRPr="00963333" w:rsidRDefault="006C4201" w:rsidP="00642BE2">
            <w:pPr>
              <w:widowControl w:val="0"/>
              <w:autoSpaceDE w:val="0"/>
              <w:autoSpaceDN w:val="0"/>
              <w:spacing w:before="1"/>
              <w:ind w:left="100"/>
              <w:rPr>
                <w:rFonts w:asciiTheme="minorHAnsi" w:eastAsia="Arial" w:hAnsiTheme="minorHAnsi" w:cstheme="minorHAnsi"/>
                <w:i/>
                <w:sz w:val="22"/>
                <w:szCs w:val="22"/>
              </w:rPr>
            </w:pPr>
            <w:r w:rsidRPr="00963333">
              <w:rPr>
                <w:rFonts w:asciiTheme="minorHAnsi" w:eastAsia="Arial" w:hAnsiTheme="minorHAnsi" w:cstheme="minorHAnsi"/>
                <w:i/>
                <w:sz w:val="22"/>
                <w:szCs w:val="22"/>
              </w:rPr>
              <w:t>D (hiring school personnel) and I (developing additional pathways to strengthen college and career readiness</w:t>
            </w:r>
          </w:p>
        </w:tc>
      </w:tr>
    </w:tbl>
    <w:p w14:paraId="2088D153" w14:textId="77777777" w:rsidR="00AE0647" w:rsidRPr="00963333" w:rsidRDefault="00AE0647" w:rsidP="00AE0647">
      <w:pPr>
        <w:widowControl w:val="0"/>
        <w:autoSpaceDE w:val="0"/>
        <w:autoSpaceDN w:val="0"/>
        <w:rPr>
          <w:rFonts w:asciiTheme="minorHAnsi" w:eastAsia="Calibri" w:hAnsiTheme="minorHAnsi" w:cstheme="minorHAnsi"/>
          <w:sz w:val="18"/>
          <w:szCs w:val="18"/>
        </w:rPr>
      </w:pPr>
    </w:p>
    <w:p w14:paraId="1C567FE0" w14:textId="7C5BA000" w:rsidR="00336B2D" w:rsidRPr="00A93F8C" w:rsidRDefault="0076100D" w:rsidP="00336B2D">
      <w:pPr>
        <w:widowControl w:val="0"/>
        <w:autoSpaceDE w:val="0"/>
        <w:autoSpaceDN w:val="0"/>
        <w:spacing w:before="86"/>
        <w:ind w:left="107"/>
        <w:outlineLvl w:val="2"/>
        <w:rPr>
          <w:rFonts w:asciiTheme="minorHAnsi" w:eastAsia="Calibri" w:hAnsiTheme="minorHAnsi" w:cstheme="minorHAnsi"/>
          <w:b/>
          <w:bCs/>
          <w:color w:val="2D74B5"/>
          <w:sz w:val="22"/>
          <w:szCs w:val="22"/>
        </w:rPr>
      </w:pPr>
      <w:r w:rsidRPr="00A93F8C">
        <w:rPr>
          <w:rFonts w:asciiTheme="minorHAnsi" w:eastAsia="Calibri" w:hAnsiTheme="minorHAnsi" w:cstheme="minorHAnsi"/>
          <w:bCs/>
          <w:color w:val="2D74B5"/>
          <w:sz w:val="22"/>
          <w:szCs w:val="22"/>
        </w:rPr>
        <w:t xml:space="preserve">→ </w:t>
      </w:r>
      <w:r w:rsidRPr="00A93F8C">
        <w:rPr>
          <w:rFonts w:asciiTheme="minorHAnsi" w:eastAsia="Calibri" w:hAnsiTheme="minorHAnsi" w:cstheme="minorHAnsi"/>
          <w:b/>
          <w:bCs/>
          <w:color w:val="2D74B5"/>
          <w:sz w:val="22"/>
          <w:szCs w:val="22"/>
        </w:rPr>
        <w:t>Commitment 3: Monitoring Success with Outcome Metrics and Targets</w:t>
      </w:r>
    </w:p>
    <w:p w14:paraId="3D7478B6" w14:textId="7C295EEE" w:rsidR="00336B2D" w:rsidRDefault="00336B2D" w:rsidP="00336B2D">
      <w:pPr>
        <w:widowControl w:val="0"/>
        <w:autoSpaceDE w:val="0"/>
        <w:autoSpaceDN w:val="0"/>
        <w:spacing w:before="148"/>
        <w:ind w:left="107" w:right="358"/>
        <w:rPr>
          <w:rFonts w:asciiTheme="minorHAnsi" w:eastAsia="Calibri" w:hAnsiTheme="minorHAnsi" w:cstheme="minorHAnsi"/>
          <w:b/>
          <w:color w:val="1F3863"/>
          <w:sz w:val="22"/>
          <w:szCs w:val="22"/>
        </w:rPr>
      </w:pPr>
      <w:r w:rsidRPr="00A93F8C">
        <w:rPr>
          <w:rFonts w:asciiTheme="minorHAnsi" w:eastAsia="Calibri" w:hAnsiTheme="minorHAnsi" w:cstheme="minorHAnsi"/>
          <w:b/>
          <w:color w:val="1F3863"/>
          <w:sz w:val="22"/>
          <w:szCs w:val="22"/>
        </w:rPr>
        <w:t xml:space="preserve">What metrics will your charter school use to monitor success in reducing disparities in achievement among student subgroups? Select from the list of Department metrics or provide your own. </w:t>
      </w:r>
    </w:p>
    <w:tbl>
      <w:tblPr>
        <w:tblStyle w:val="TableGrid"/>
        <w:tblpPr w:leftFromText="180" w:rightFromText="180" w:vertAnchor="text" w:horzAnchor="margin" w:tblpY="454"/>
        <w:tblW w:w="0" w:type="auto"/>
        <w:tblLook w:val="04A0" w:firstRow="1" w:lastRow="0" w:firstColumn="1" w:lastColumn="0" w:noHBand="0" w:noVBand="1"/>
      </w:tblPr>
      <w:tblGrid>
        <w:gridCol w:w="5394"/>
        <w:gridCol w:w="5394"/>
      </w:tblGrid>
      <w:tr w:rsidR="00963333" w:rsidRPr="00A93F8C" w14:paraId="39D1E5BD" w14:textId="77777777" w:rsidTr="00963333">
        <w:trPr>
          <w:trHeight w:val="2473"/>
        </w:trPr>
        <w:tc>
          <w:tcPr>
            <w:tcW w:w="5394" w:type="dxa"/>
          </w:tcPr>
          <w:p w14:paraId="5C51D090" w14:textId="77777777" w:rsidR="00963333" w:rsidRPr="00A93F8C" w:rsidRDefault="00963333" w:rsidP="00963333">
            <w:pPr>
              <w:pStyle w:val="ListParagraph"/>
              <w:widowControl w:val="0"/>
              <w:numPr>
                <w:ilvl w:val="0"/>
                <w:numId w:val="18"/>
              </w:numPr>
              <w:tabs>
                <w:tab w:val="left" w:pos="442"/>
              </w:tabs>
              <w:autoSpaceDE w:val="0"/>
              <w:autoSpaceDN w:val="0"/>
              <w:ind w:left="447" w:hanging="245"/>
              <w:rPr>
                <w:rFonts w:asciiTheme="minorHAnsi" w:eastAsia="Arial" w:hAnsiTheme="minorHAnsi" w:cstheme="minorHAnsi"/>
                <w:b/>
                <w:sz w:val="22"/>
                <w:szCs w:val="22"/>
              </w:rPr>
            </w:pPr>
            <w:r w:rsidRPr="00A93F8C">
              <w:rPr>
                <w:rFonts w:asciiTheme="minorHAnsi" w:eastAsia="Arial" w:hAnsiTheme="minorHAnsi" w:cstheme="minorHAnsi"/>
                <w:b/>
                <w:sz w:val="22"/>
                <w:szCs w:val="22"/>
              </w:rPr>
              <w:t>Department outcome</w:t>
            </w:r>
            <w:r w:rsidRPr="00A93F8C">
              <w:rPr>
                <w:rFonts w:asciiTheme="minorHAnsi" w:eastAsia="Arial" w:hAnsiTheme="minorHAnsi" w:cstheme="minorHAnsi"/>
                <w:b/>
                <w:spacing w:val="-14"/>
                <w:sz w:val="22"/>
                <w:szCs w:val="22"/>
              </w:rPr>
              <w:t xml:space="preserve"> </w:t>
            </w:r>
            <w:r w:rsidRPr="00A93F8C">
              <w:rPr>
                <w:rFonts w:asciiTheme="minorHAnsi" w:eastAsia="Arial" w:hAnsiTheme="minorHAnsi" w:cstheme="minorHAnsi"/>
                <w:b/>
                <w:sz w:val="22"/>
                <w:szCs w:val="22"/>
              </w:rPr>
              <w:t>metrics:</w:t>
            </w:r>
          </w:p>
          <w:p w14:paraId="49BAFE9A" w14:textId="77777777" w:rsidR="00963333" w:rsidRPr="00A93F8C" w:rsidRDefault="00963333" w:rsidP="00963333">
            <w:pPr>
              <w:widowControl w:val="0"/>
              <w:numPr>
                <w:ilvl w:val="1"/>
                <w:numId w:val="18"/>
              </w:numPr>
              <w:tabs>
                <w:tab w:val="left" w:pos="800"/>
              </w:tabs>
              <w:autoSpaceDE w:val="0"/>
              <w:autoSpaceDN w:val="0"/>
              <w:spacing w:line="269" w:lineRule="exact"/>
              <w:ind w:hanging="268"/>
              <w:rPr>
                <w:rFonts w:asciiTheme="minorHAnsi" w:eastAsia="Arial" w:hAnsiTheme="minorHAnsi" w:cstheme="minorHAnsi"/>
                <w:sz w:val="22"/>
                <w:szCs w:val="22"/>
              </w:rPr>
            </w:pPr>
            <w:r w:rsidRPr="00A93F8C">
              <w:rPr>
                <w:rFonts w:asciiTheme="minorHAnsi" w:eastAsia="Arial" w:hAnsiTheme="minorHAnsi" w:cstheme="minorHAnsi"/>
                <w:sz w:val="22"/>
                <w:szCs w:val="22"/>
              </w:rPr>
              <w:t xml:space="preserve">Improved ELA mean SGP for all groups identified </w:t>
            </w:r>
            <w:proofErr w:type="gramStart"/>
            <w:r w:rsidRPr="00A93F8C">
              <w:rPr>
                <w:rFonts w:asciiTheme="minorHAnsi" w:eastAsia="Arial" w:hAnsiTheme="minorHAnsi" w:cstheme="minorHAnsi"/>
                <w:sz w:val="22"/>
                <w:szCs w:val="22"/>
              </w:rPr>
              <w:t>above</w:t>
            </w:r>
            <w:proofErr w:type="gramEnd"/>
          </w:p>
          <w:p w14:paraId="25C62F11" w14:textId="77777777" w:rsidR="00963333" w:rsidRPr="00A93F8C" w:rsidRDefault="00963333" w:rsidP="00963333">
            <w:pPr>
              <w:widowControl w:val="0"/>
              <w:numPr>
                <w:ilvl w:val="1"/>
                <w:numId w:val="18"/>
              </w:numPr>
              <w:tabs>
                <w:tab w:val="left" w:pos="800"/>
              </w:tabs>
              <w:autoSpaceDE w:val="0"/>
              <w:autoSpaceDN w:val="0"/>
              <w:spacing w:line="269" w:lineRule="exact"/>
              <w:ind w:hanging="268"/>
              <w:rPr>
                <w:rFonts w:asciiTheme="minorHAnsi" w:eastAsia="Arial" w:hAnsiTheme="minorHAnsi" w:cstheme="minorHAnsi"/>
                <w:sz w:val="22"/>
                <w:szCs w:val="22"/>
              </w:rPr>
            </w:pPr>
            <w:r w:rsidRPr="00A93F8C">
              <w:rPr>
                <w:rFonts w:asciiTheme="minorHAnsi" w:eastAsia="Arial" w:hAnsiTheme="minorHAnsi" w:cstheme="minorHAnsi"/>
                <w:sz w:val="22"/>
                <w:szCs w:val="22"/>
              </w:rPr>
              <w:t xml:space="preserve">Improved Mathematics mean SGP for all groups identified </w:t>
            </w:r>
            <w:proofErr w:type="gramStart"/>
            <w:r w:rsidRPr="00A93F8C">
              <w:rPr>
                <w:rFonts w:asciiTheme="minorHAnsi" w:eastAsia="Arial" w:hAnsiTheme="minorHAnsi" w:cstheme="minorHAnsi"/>
                <w:sz w:val="22"/>
                <w:szCs w:val="22"/>
              </w:rPr>
              <w:t>above</w:t>
            </w:r>
            <w:proofErr w:type="gramEnd"/>
          </w:p>
          <w:p w14:paraId="3F085FD7" w14:textId="77777777" w:rsidR="00963333" w:rsidRPr="00A93F8C" w:rsidRDefault="00963333" w:rsidP="00963333">
            <w:pPr>
              <w:widowControl w:val="0"/>
              <w:numPr>
                <w:ilvl w:val="1"/>
                <w:numId w:val="18"/>
              </w:numPr>
              <w:tabs>
                <w:tab w:val="left" w:pos="800"/>
              </w:tabs>
              <w:autoSpaceDE w:val="0"/>
              <w:autoSpaceDN w:val="0"/>
              <w:spacing w:line="269" w:lineRule="exact"/>
              <w:ind w:hanging="268"/>
              <w:rPr>
                <w:rFonts w:asciiTheme="minorHAnsi" w:hAnsiTheme="minorHAnsi" w:cstheme="minorHAnsi"/>
                <w:iCs/>
                <w:sz w:val="22"/>
                <w:szCs w:val="22"/>
              </w:rPr>
            </w:pPr>
            <w:r w:rsidRPr="00A93F8C">
              <w:rPr>
                <w:rFonts w:asciiTheme="minorHAnsi" w:hAnsiTheme="minorHAnsi" w:cstheme="minorHAnsi"/>
                <w:sz w:val="22"/>
                <w:szCs w:val="22"/>
              </w:rPr>
              <w:t>Progress made by students towards attaining English language proficiency (percentage of students meeting annual targets calculated to attain English proficiency in six</w:t>
            </w:r>
            <w:r w:rsidRPr="00A93F8C">
              <w:rPr>
                <w:rFonts w:asciiTheme="minorHAnsi" w:hAnsiTheme="minorHAnsi" w:cstheme="minorHAnsi"/>
                <w:spacing w:val="-9"/>
                <w:sz w:val="22"/>
                <w:szCs w:val="22"/>
              </w:rPr>
              <w:t xml:space="preserve"> </w:t>
            </w:r>
            <w:r w:rsidRPr="00A93F8C">
              <w:rPr>
                <w:rFonts w:asciiTheme="minorHAnsi" w:hAnsiTheme="minorHAnsi" w:cstheme="minorHAnsi"/>
                <w:sz w:val="22"/>
                <w:szCs w:val="22"/>
              </w:rPr>
              <w:t>years)</w:t>
            </w:r>
          </w:p>
        </w:tc>
        <w:tc>
          <w:tcPr>
            <w:tcW w:w="5394" w:type="dxa"/>
          </w:tcPr>
          <w:p w14:paraId="3F518B94" w14:textId="77777777" w:rsidR="00963333" w:rsidRPr="00A93F8C" w:rsidRDefault="00963333" w:rsidP="00963333">
            <w:pPr>
              <w:pStyle w:val="ListParagraph"/>
              <w:widowControl w:val="0"/>
              <w:numPr>
                <w:ilvl w:val="0"/>
                <w:numId w:val="18"/>
              </w:numPr>
              <w:autoSpaceDE w:val="0"/>
              <w:autoSpaceDN w:val="0"/>
              <w:ind w:left="447" w:hanging="245"/>
              <w:rPr>
                <w:rFonts w:asciiTheme="minorHAnsi" w:eastAsia="Arial" w:hAnsiTheme="minorHAnsi" w:cstheme="minorHAnsi"/>
                <w:b/>
                <w:sz w:val="22"/>
                <w:szCs w:val="22"/>
              </w:rPr>
            </w:pPr>
            <w:r w:rsidRPr="00A93F8C">
              <w:rPr>
                <w:rFonts w:asciiTheme="minorHAnsi" w:eastAsia="Arial" w:hAnsiTheme="minorHAnsi" w:cstheme="minorHAnsi"/>
                <w:b/>
                <w:sz w:val="22"/>
                <w:szCs w:val="22"/>
              </w:rPr>
              <w:t>Custom charter school metrics</w:t>
            </w:r>
          </w:p>
          <w:p w14:paraId="366489C1" w14:textId="77777777" w:rsidR="00963333" w:rsidRPr="00A93F8C" w:rsidRDefault="00963333" w:rsidP="00963333">
            <w:pPr>
              <w:pStyle w:val="ListParagraph"/>
              <w:widowControl w:val="0"/>
              <w:autoSpaceDE w:val="0"/>
              <w:autoSpaceDN w:val="0"/>
              <w:spacing w:line="211" w:lineRule="exact"/>
              <w:ind w:left="441"/>
              <w:rPr>
                <w:rFonts w:asciiTheme="minorHAnsi" w:eastAsia="Arial" w:hAnsiTheme="minorHAnsi" w:cstheme="minorHAnsi"/>
                <w:sz w:val="22"/>
                <w:szCs w:val="22"/>
              </w:rPr>
            </w:pPr>
            <w:r w:rsidRPr="00A93F8C">
              <w:rPr>
                <w:rFonts w:asciiTheme="minorHAnsi" w:eastAsia="Arial" w:hAnsiTheme="minorHAnsi" w:cstheme="minorHAnsi"/>
                <w:sz w:val="22"/>
                <w:szCs w:val="22"/>
              </w:rPr>
              <w:t>Student engagement (measured by improvements in our annual student survey given school-wide—questions related to engagement)</w:t>
            </w:r>
          </w:p>
          <w:p w14:paraId="4A05748C" w14:textId="77777777" w:rsidR="00963333" w:rsidRPr="00A93F8C" w:rsidRDefault="00963333" w:rsidP="00963333">
            <w:pPr>
              <w:widowControl w:val="0"/>
              <w:numPr>
                <w:ilvl w:val="1"/>
                <w:numId w:val="1"/>
              </w:numPr>
              <w:tabs>
                <w:tab w:val="left" w:pos="800"/>
              </w:tabs>
              <w:autoSpaceDE w:val="0"/>
              <w:autoSpaceDN w:val="0"/>
              <w:spacing w:line="269" w:lineRule="exact"/>
              <w:ind w:hanging="268"/>
              <w:rPr>
                <w:rFonts w:asciiTheme="minorHAnsi" w:eastAsia="Arial" w:hAnsiTheme="minorHAnsi" w:cstheme="minorHAnsi"/>
                <w:sz w:val="22"/>
                <w:szCs w:val="22"/>
              </w:rPr>
            </w:pPr>
            <w:r w:rsidRPr="00A93F8C">
              <w:rPr>
                <w:rFonts w:asciiTheme="minorHAnsi" w:eastAsia="Arial" w:hAnsiTheme="minorHAnsi" w:cstheme="minorHAnsi"/>
                <w:sz w:val="22"/>
                <w:szCs w:val="22"/>
              </w:rPr>
              <w:t>More diversified workforce (measured by more teachers of color hired by the school—EPIMS and employee survey)</w:t>
            </w:r>
          </w:p>
          <w:p w14:paraId="4E550AFB" w14:textId="77777777" w:rsidR="00963333" w:rsidRPr="00A93F8C" w:rsidRDefault="00963333" w:rsidP="00963333">
            <w:pPr>
              <w:widowControl w:val="0"/>
              <w:numPr>
                <w:ilvl w:val="1"/>
                <w:numId w:val="1"/>
              </w:numPr>
              <w:tabs>
                <w:tab w:val="left" w:pos="800"/>
              </w:tabs>
              <w:autoSpaceDE w:val="0"/>
              <w:autoSpaceDN w:val="0"/>
              <w:spacing w:line="269" w:lineRule="exact"/>
              <w:ind w:hanging="268"/>
              <w:rPr>
                <w:rFonts w:asciiTheme="minorHAnsi" w:hAnsiTheme="minorHAnsi" w:cstheme="minorHAnsi"/>
                <w:iCs/>
                <w:sz w:val="22"/>
                <w:szCs w:val="22"/>
              </w:rPr>
            </w:pPr>
            <w:r w:rsidRPr="00A93F8C">
              <w:rPr>
                <w:rFonts w:asciiTheme="minorHAnsi" w:eastAsia="Arial" w:hAnsiTheme="minorHAnsi" w:cstheme="minorHAnsi"/>
                <w:sz w:val="22"/>
                <w:szCs w:val="22"/>
              </w:rPr>
              <w:t xml:space="preserve">Positive student mental health (measured by </w:t>
            </w:r>
            <w:proofErr w:type="gramStart"/>
            <w:r w:rsidRPr="00A93F8C">
              <w:rPr>
                <w:rFonts w:asciiTheme="minorHAnsi" w:eastAsia="Arial" w:hAnsiTheme="minorHAnsi" w:cstheme="minorHAnsi"/>
                <w:sz w:val="22"/>
                <w:szCs w:val="22"/>
              </w:rPr>
              <w:t>amount</w:t>
            </w:r>
            <w:proofErr w:type="gramEnd"/>
            <w:r w:rsidRPr="00A93F8C">
              <w:rPr>
                <w:rFonts w:asciiTheme="minorHAnsi" w:eastAsia="Arial" w:hAnsiTheme="minorHAnsi" w:cstheme="minorHAnsi"/>
                <w:sz w:val="22"/>
                <w:szCs w:val="22"/>
              </w:rPr>
              <w:t xml:space="preserve"> of referrals to social work, mental health services) </w:t>
            </w:r>
          </w:p>
          <w:p w14:paraId="2F931D25" w14:textId="77777777" w:rsidR="00963333" w:rsidRPr="00A93F8C" w:rsidRDefault="00963333" w:rsidP="00963333">
            <w:pPr>
              <w:widowControl w:val="0"/>
              <w:tabs>
                <w:tab w:val="left" w:pos="800"/>
              </w:tabs>
              <w:autoSpaceDE w:val="0"/>
              <w:autoSpaceDN w:val="0"/>
              <w:spacing w:line="269" w:lineRule="exact"/>
              <w:ind w:left="799"/>
              <w:rPr>
                <w:rFonts w:asciiTheme="minorHAnsi" w:hAnsiTheme="minorHAnsi" w:cstheme="minorHAnsi"/>
                <w:iCs/>
                <w:sz w:val="22"/>
                <w:szCs w:val="22"/>
              </w:rPr>
            </w:pPr>
          </w:p>
        </w:tc>
      </w:tr>
    </w:tbl>
    <w:p w14:paraId="5A2BBC95" w14:textId="77777777" w:rsidR="00963333" w:rsidRPr="00963333" w:rsidRDefault="00963333" w:rsidP="00336B2D">
      <w:pPr>
        <w:widowControl w:val="0"/>
        <w:autoSpaceDE w:val="0"/>
        <w:autoSpaceDN w:val="0"/>
        <w:spacing w:before="148"/>
        <w:ind w:left="107" w:right="358"/>
        <w:rPr>
          <w:rFonts w:asciiTheme="minorHAnsi" w:eastAsia="Calibri" w:hAnsiTheme="minorHAnsi" w:cstheme="minorHAnsi"/>
          <w:i/>
          <w:color w:val="1F3863"/>
          <w:sz w:val="18"/>
          <w:szCs w:val="18"/>
        </w:rPr>
      </w:pPr>
    </w:p>
    <w:p w14:paraId="0751679F" w14:textId="7E059303" w:rsidR="00B93B23" w:rsidRDefault="00B93B23">
      <w:pPr>
        <w:spacing w:after="160" w:line="259" w:lineRule="auto"/>
        <w:rPr>
          <w:rFonts w:asciiTheme="minorHAnsi" w:eastAsia="Calibri" w:hAnsiTheme="minorHAnsi" w:cstheme="minorHAnsi"/>
          <w:i/>
          <w:sz w:val="22"/>
          <w:szCs w:val="22"/>
        </w:rPr>
      </w:pPr>
      <w:r>
        <w:rPr>
          <w:rFonts w:asciiTheme="minorHAnsi" w:eastAsia="Calibri" w:hAnsiTheme="minorHAnsi" w:cstheme="minorHAnsi"/>
          <w:i/>
          <w:sz w:val="22"/>
          <w:szCs w:val="22"/>
        </w:rPr>
        <w:br w:type="page"/>
      </w:r>
    </w:p>
    <w:p w14:paraId="36E5DF77" w14:textId="77777777" w:rsidR="0076100D" w:rsidRPr="00A93F8C" w:rsidRDefault="0076100D" w:rsidP="0076100D">
      <w:pPr>
        <w:widowControl w:val="0"/>
        <w:autoSpaceDE w:val="0"/>
        <w:autoSpaceDN w:val="0"/>
        <w:spacing w:before="12"/>
        <w:rPr>
          <w:rFonts w:asciiTheme="minorHAnsi" w:eastAsia="Calibri" w:hAnsiTheme="minorHAnsi" w:cstheme="minorHAnsi"/>
          <w:i/>
          <w:sz w:val="22"/>
          <w:szCs w:val="22"/>
        </w:rPr>
      </w:pPr>
    </w:p>
    <w:p w14:paraId="590102CC" w14:textId="77777777" w:rsidR="0076100D" w:rsidRPr="00A93F8C" w:rsidRDefault="0076100D" w:rsidP="0076100D">
      <w:pPr>
        <w:widowControl w:val="0"/>
        <w:autoSpaceDE w:val="0"/>
        <w:autoSpaceDN w:val="0"/>
        <w:ind w:left="107"/>
        <w:outlineLvl w:val="2"/>
        <w:rPr>
          <w:rFonts w:asciiTheme="minorHAnsi" w:eastAsia="Calibri" w:hAnsiTheme="minorHAnsi" w:cstheme="minorHAnsi"/>
          <w:b/>
          <w:bCs/>
          <w:sz w:val="22"/>
          <w:szCs w:val="22"/>
        </w:rPr>
      </w:pPr>
      <w:r w:rsidRPr="00A93F8C">
        <w:rPr>
          <w:rFonts w:asciiTheme="minorHAnsi" w:eastAsia="Calibri" w:hAnsiTheme="minorHAnsi" w:cstheme="minorHAnsi"/>
          <w:bCs/>
          <w:color w:val="2D74B5"/>
          <w:sz w:val="22"/>
          <w:szCs w:val="22"/>
        </w:rPr>
        <w:t xml:space="preserve">→ </w:t>
      </w:r>
      <w:r w:rsidRPr="00A93F8C">
        <w:rPr>
          <w:rFonts w:asciiTheme="minorHAnsi" w:eastAsia="Calibri" w:hAnsiTheme="minorHAnsi" w:cstheme="minorHAnsi"/>
          <w:b/>
          <w:bCs/>
          <w:color w:val="2D74B5"/>
          <w:sz w:val="22"/>
          <w:szCs w:val="22"/>
        </w:rPr>
        <w:t>Commitment 4: Engaging All Families</w:t>
      </w:r>
    </w:p>
    <w:p w14:paraId="16D52341" w14:textId="304FC037" w:rsidR="0076100D" w:rsidRPr="00A93F8C" w:rsidRDefault="0076100D" w:rsidP="0076100D">
      <w:pPr>
        <w:widowControl w:val="0"/>
        <w:autoSpaceDE w:val="0"/>
        <w:autoSpaceDN w:val="0"/>
        <w:spacing w:before="73"/>
        <w:ind w:left="107" w:right="221"/>
        <w:outlineLvl w:val="5"/>
        <w:rPr>
          <w:rFonts w:asciiTheme="minorHAnsi" w:eastAsia="Calibri" w:hAnsiTheme="minorHAnsi" w:cstheme="minorHAnsi"/>
          <w:b/>
          <w:bCs/>
          <w:color w:val="1F3863"/>
          <w:sz w:val="22"/>
          <w:szCs w:val="22"/>
        </w:rPr>
      </w:pPr>
      <w:r w:rsidRPr="00A93F8C">
        <w:rPr>
          <w:rFonts w:asciiTheme="minorHAnsi" w:eastAsia="Calibri" w:hAnsiTheme="minorHAnsi" w:cstheme="minorHAnsi"/>
          <w:b/>
          <w:bCs/>
          <w:color w:val="1F3863"/>
          <w:sz w:val="22"/>
          <w:szCs w:val="22"/>
        </w:rPr>
        <w:t>How will your charter school ensure that all families, particularly those representing the student subgroups most in need of support, have the opportunity to meaningfully engage with the charter school regarding their students’ needs?</w:t>
      </w:r>
    </w:p>
    <w:p w14:paraId="7E8DCA41" w14:textId="77777777" w:rsidR="00D60718" w:rsidRPr="00963333" w:rsidRDefault="00D60718" w:rsidP="0076100D">
      <w:pPr>
        <w:widowControl w:val="0"/>
        <w:autoSpaceDE w:val="0"/>
        <w:autoSpaceDN w:val="0"/>
        <w:spacing w:before="73"/>
        <w:ind w:left="107" w:right="221"/>
        <w:outlineLvl w:val="5"/>
        <w:rPr>
          <w:rFonts w:asciiTheme="minorHAnsi" w:eastAsia="Calibri" w:hAnsiTheme="minorHAnsi" w:cstheme="minorHAnsi"/>
          <w:b/>
          <w:bCs/>
          <w:color w:val="1F3863"/>
          <w:sz w:val="18"/>
          <w:szCs w:val="18"/>
        </w:rPr>
      </w:pPr>
    </w:p>
    <w:p w14:paraId="72947BA0" w14:textId="265F570A" w:rsidR="007A03C7" w:rsidRPr="00A93F8C" w:rsidRDefault="006C4201" w:rsidP="007A03C7">
      <w:pPr>
        <w:widowControl w:val="0"/>
        <w:autoSpaceDE w:val="0"/>
        <w:autoSpaceDN w:val="0"/>
        <w:ind w:left="107" w:right="179"/>
        <w:rPr>
          <w:rFonts w:asciiTheme="minorHAnsi" w:eastAsia="Calibri" w:hAnsiTheme="minorHAnsi" w:cstheme="minorHAnsi"/>
          <w:sz w:val="22"/>
          <w:szCs w:val="22"/>
        </w:rPr>
      </w:pPr>
      <w:r w:rsidRPr="00A93F8C">
        <w:rPr>
          <w:rFonts w:asciiTheme="minorHAnsi" w:eastAsia="Calibri" w:hAnsiTheme="minorHAnsi" w:cstheme="minorHAnsi"/>
          <w:sz w:val="22"/>
          <w:szCs w:val="22"/>
        </w:rPr>
        <w:t>Collegiate</w:t>
      </w:r>
      <w:r w:rsidR="007A03C7" w:rsidRPr="00A93F8C">
        <w:rPr>
          <w:rFonts w:asciiTheme="minorHAnsi" w:eastAsia="Calibri" w:hAnsiTheme="minorHAnsi" w:cstheme="minorHAnsi"/>
          <w:sz w:val="22"/>
          <w:szCs w:val="22"/>
        </w:rPr>
        <w:t xml:space="preserve"> Charter School</w:t>
      </w:r>
      <w:r w:rsidRPr="00A93F8C">
        <w:rPr>
          <w:rFonts w:asciiTheme="minorHAnsi" w:eastAsia="Calibri" w:hAnsiTheme="minorHAnsi" w:cstheme="minorHAnsi"/>
          <w:sz w:val="22"/>
          <w:szCs w:val="22"/>
        </w:rPr>
        <w:t xml:space="preserve"> of Lowell</w:t>
      </w:r>
      <w:r w:rsidR="007A03C7" w:rsidRPr="00A93F8C">
        <w:rPr>
          <w:rFonts w:asciiTheme="minorHAnsi" w:eastAsia="Calibri" w:hAnsiTheme="minorHAnsi" w:cstheme="minorHAnsi"/>
          <w:sz w:val="22"/>
          <w:szCs w:val="22"/>
        </w:rPr>
        <w:t xml:space="preserve"> recognizes that family engagement is critical to ensuring successful outcomes for all students. Given our focus on student subgroups, it is particularly important that we find ways to effectively engage our families of students of color, students from low-income backgrounds, EL </w:t>
      </w:r>
      <w:proofErr w:type="gramStart"/>
      <w:r w:rsidR="007A03C7" w:rsidRPr="00A93F8C">
        <w:rPr>
          <w:rFonts w:asciiTheme="minorHAnsi" w:eastAsia="Calibri" w:hAnsiTheme="minorHAnsi" w:cstheme="minorHAnsi"/>
          <w:sz w:val="22"/>
          <w:szCs w:val="22"/>
        </w:rPr>
        <w:t>students</w:t>
      </w:r>
      <w:proofErr w:type="gramEnd"/>
      <w:r w:rsidR="007A03C7" w:rsidRPr="00A93F8C">
        <w:rPr>
          <w:rFonts w:asciiTheme="minorHAnsi" w:eastAsia="Calibri" w:hAnsiTheme="minorHAnsi" w:cstheme="minorHAnsi"/>
          <w:sz w:val="22"/>
          <w:szCs w:val="22"/>
        </w:rPr>
        <w:t xml:space="preserve"> and students with disabilities.</w:t>
      </w:r>
    </w:p>
    <w:p w14:paraId="4557AC1A" w14:textId="77777777" w:rsidR="007A03C7" w:rsidRPr="00A93F8C" w:rsidRDefault="007A03C7" w:rsidP="007A03C7">
      <w:pPr>
        <w:widowControl w:val="0"/>
        <w:autoSpaceDE w:val="0"/>
        <w:autoSpaceDN w:val="0"/>
        <w:spacing w:before="10"/>
        <w:rPr>
          <w:rFonts w:asciiTheme="minorHAnsi" w:eastAsia="Calibri" w:hAnsiTheme="minorHAnsi" w:cstheme="minorHAnsi"/>
          <w:sz w:val="22"/>
          <w:szCs w:val="22"/>
        </w:rPr>
      </w:pPr>
    </w:p>
    <w:p w14:paraId="4F722867" w14:textId="1937F4C7" w:rsidR="007A03C7" w:rsidRPr="00A93F8C" w:rsidRDefault="007A03C7" w:rsidP="007A03C7">
      <w:pPr>
        <w:widowControl w:val="0"/>
        <w:autoSpaceDE w:val="0"/>
        <w:autoSpaceDN w:val="0"/>
        <w:ind w:left="107" w:right="114"/>
        <w:rPr>
          <w:rFonts w:asciiTheme="minorHAnsi" w:eastAsia="Calibri" w:hAnsiTheme="minorHAnsi" w:cstheme="minorHAnsi"/>
          <w:sz w:val="22"/>
          <w:szCs w:val="22"/>
        </w:rPr>
      </w:pPr>
      <w:r w:rsidRPr="00A93F8C">
        <w:rPr>
          <w:rFonts w:asciiTheme="minorHAnsi" w:eastAsia="Calibri" w:hAnsiTheme="minorHAnsi" w:cstheme="minorHAnsi"/>
          <w:sz w:val="22"/>
          <w:szCs w:val="22"/>
        </w:rPr>
        <w:t xml:space="preserve">We recognize that existing family engagement opportunities at our school may not be effective in reaching all families. Therefore, in addition </w:t>
      </w:r>
      <w:r w:rsidR="00EA2846" w:rsidRPr="00A93F8C">
        <w:rPr>
          <w:rFonts w:asciiTheme="minorHAnsi" w:eastAsia="Calibri" w:hAnsiTheme="minorHAnsi" w:cstheme="minorHAnsi"/>
          <w:sz w:val="22"/>
          <w:szCs w:val="22"/>
        </w:rPr>
        <w:t>to our ongoing Parent Connection meetings</w:t>
      </w:r>
      <w:r w:rsidRPr="00A93F8C">
        <w:rPr>
          <w:rFonts w:asciiTheme="minorHAnsi" w:eastAsia="Calibri" w:hAnsiTheme="minorHAnsi" w:cstheme="minorHAnsi"/>
          <w:sz w:val="22"/>
          <w:szCs w:val="22"/>
        </w:rPr>
        <w:t>, we</w:t>
      </w:r>
      <w:r w:rsidR="00EA2846" w:rsidRPr="00A93F8C">
        <w:rPr>
          <w:rFonts w:asciiTheme="minorHAnsi" w:eastAsia="Calibri" w:hAnsiTheme="minorHAnsi" w:cstheme="minorHAnsi"/>
          <w:sz w:val="22"/>
          <w:szCs w:val="22"/>
        </w:rPr>
        <w:t xml:space="preserve"> are also committing to pilot more family forums on-line that will</w:t>
      </w:r>
      <w:r w:rsidRPr="00A93F8C">
        <w:rPr>
          <w:rFonts w:asciiTheme="minorHAnsi" w:eastAsia="Calibri" w:hAnsiTheme="minorHAnsi" w:cstheme="minorHAnsi"/>
          <w:sz w:val="22"/>
          <w:szCs w:val="22"/>
        </w:rPr>
        <w:t xml:space="preserve"> specifica</w:t>
      </w:r>
      <w:r w:rsidR="00EA2846" w:rsidRPr="00A93F8C">
        <w:rPr>
          <w:rFonts w:asciiTheme="minorHAnsi" w:eastAsia="Calibri" w:hAnsiTheme="minorHAnsi" w:cstheme="minorHAnsi"/>
          <w:sz w:val="22"/>
          <w:szCs w:val="22"/>
        </w:rPr>
        <w:t>lly target</w:t>
      </w:r>
      <w:r w:rsidRPr="00A93F8C">
        <w:rPr>
          <w:rFonts w:asciiTheme="minorHAnsi" w:eastAsia="Calibri" w:hAnsiTheme="minorHAnsi" w:cstheme="minorHAnsi"/>
          <w:sz w:val="22"/>
          <w:szCs w:val="22"/>
        </w:rPr>
        <w:t xml:space="preserve"> families of students of color, ELs, students with disabilities, and those from low-in</w:t>
      </w:r>
      <w:r w:rsidR="00EA2846" w:rsidRPr="00A93F8C">
        <w:rPr>
          <w:rFonts w:asciiTheme="minorHAnsi" w:eastAsia="Calibri" w:hAnsiTheme="minorHAnsi" w:cstheme="minorHAnsi"/>
          <w:sz w:val="22"/>
          <w:szCs w:val="22"/>
        </w:rPr>
        <w:t xml:space="preserve">come backgrounds. This will allow educators </w:t>
      </w:r>
      <w:r w:rsidRPr="00A93F8C">
        <w:rPr>
          <w:rFonts w:asciiTheme="minorHAnsi" w:eastAsia="Calibri" w:hAnsiTheme="minorHAnsi" w:cstheme="minorHAnsi"/>
          <w:sz w:val="22"/>
          <w:szCs w:val="22"/>
        </w:rPr>
        <w:t>to</w:t>
      </w:r>
      <w:r w:rsidR="00EA2846" w:rsidRPr="00A93F8C">
        <w:rPr>
          <w:rFonts w:asciiTheme="minorHAnsi" w:eastAsia="Calibri" w:hAnsiTheme="minorHAnsi" w:cstheme="minorHAnsi"/>
          <w:sz w:val="22"/>
          <w:szCs w:val="22"/>
        </w:rPr>
        <w:t xml:space="preserve"> connect with families online</w:t>
      </w:r>
      <w:r w:rsidRPr="00A93F8C">
        <w:rPr>
          <w:rFonts w:asciiTheme="minorHAnsi" w:eastAsia="Calibri" w:hAnsiTheme="minorHAnsi" w:cstheme="minorHAnsi"/>
          <w:sz w:val="22"/>
          <w:szCs w:val="22"/>
        </w:rPr>
        <w:t xml:space="preserve"> to engage in a two-way dialogue about shared goals for their students. We will measure the engagement of f</w:t>
      </w:r>
      <w:r w:rsidR="00EA2846" w:rsidRPr="00A93F8C">
        <w:rPr>
          <w:rFonts w:asciiTheme="minorHAnsi" w:eastAsia="Calibri" w:hAnsiTheme="minorHAnsi" w:cstheme="minorHAnsi"/>
          <w:sz w:val="22"/>
          <w:szCs w:val="22"/>
        </w:rPr>
        <w:t>amilies who attend the forums</w:t>
      </w:r>
      <w:r w:rsidRPr="00A93F8C">
        <w:rPr>
          <w:rFonts w:asciiTheme="minorHAnsi" w:eastAsia="Calibri" w:hAnsiTheme="minorHAnsi" w:cstheme="minorHAnsi"/>
          <w:sz w:val="22"/>
          <w:szCs w:val="22"/>
        </w:rPr>
        <w:t xml:space="preserve"> through a follow up survey and track the number of and demographics of famili</w:t>
      </w:r>
      <w:r w:rsidR="00EA2846" w:rsidRPr="00A93F8C">
        <w:rPr>
          <w:rFonts w:asciiTheme="minorHAnsi" w:eastAsia="Calibri" w:hAnsiTheme="minorHAnsi" w:cstheme="minorHAnsi"/>
          <w:sz w:val="22"/>
          <w:szCs w:val="22"/>
        </w:rPr>
        <w:t>es reached</w:t>
      </w:r>
      <w:r w:rsidRPr="00A93F8C">
        <w:rPr>
          <w:rFonts w:asciiTheme="minorHAnsi" w:eastAsia="Calibri" w:hAnsiTheme="minorHAnsi" w:cstheme="minorHAnsi"/>
          <w:sz w:val="22"/>
          <w:szCs w:val="22"/>
        </w:rPr>
        <w:t xml:space="preserve"> each year.</w:t>
      </w:r>
    </w:p>
    <w:p w14:paraId="11F855F7" w14:textId="7F17F8A7" w:rsidR="0076100D" w:rsidRPr="00A93F8C" w:rsidRDefault="0076100D" w:rsidP="0076100D">
      <w:pPr>
        <w:widowControl w:val="0"/>
        <w:autoSpaceDE w:val="0"/>
        <w:autoSpaceDN w:val="0"/>
        <w:rPr>
          <w:rFonts w:asciiTheme="minorHAnsi" w:eastAsia="Calibri" w:hAnsiTheme="minorHAnsi" w:cstheme="minorHAnsi"/>
          <w:sz w:val="22"/>
          <w:szCs w:val="22"/>
        </w:rPr>
      </w:pPr>
    </w:p>
    <w:p w14:paraId="3A074691" w14:textId="77777777" w:rsidR="0076100D" w:rsidRPr="00A93F8C" w:rsidRDefault="0076100D" w:rsidP="0076100D">
      <w:pPr>
        <w:widowControl w:val="0"/>
        <w:autoSpaceDE w:val="0"/>
        <w:autoSpaceDN w:val="0"/>
        <w:ind w:left="107"/>
        <w:outlineLvl w:val="2"/>
        <w:rPr>
          <w:rFonts w:asciiTheme="minorHAnsi" w:eastAsia="Calibri" w:hAnsiTheme="minorHAnsi" w:cstheme="minorHAnsi"/>
          <w:b/>
          <w:bCs/>
          <w:sz w:val="22"/>
          <w:szCs w:val="22"/>
        </w:rPr>
      </w:pPr>
      <w:r w:rsidRPr="00A93F8C">
        <w:rPr>
          <w:rFonts w:asciiTheme="minorHAnsi" w:eastAsia="Calibri" w:hAnsiTheme="minorHAnsi" w:cstheme="minorHAnsi"/>
          <w:b/>
          <w:bCs/>
          <w:color w:val="2D74B5"/>
          <w:sz w:val="22"/>
          <w:szCs w:val="22"/>
        </w:rPr>
        <w:t>Certifications:</w:t>
      </w:r>
    </w:p>
    <w:p w14:paraId="442AF554" w14:textId="34D63625" w:rsidR="0076100D" w:rsidRPr="00A93F8C" w:rsidRDefault="00FF2330" w:rsidP="0076100D">
      <w:pPr>
        <w:widowControl w:val="0"/>
        <w:tabs>
          <w:tab w:val="left" w:pos="466"/>
        </w:tabs>
        <w:autoSpaceDE w:val="0"/>
        <w:autoSpaceDN w:val="0"/>
        <w:spacing w:before="114"/>
        <w:ind w:left="108" w:right="467"/>
        <w:outlineLvl w:val="6"/>
        <w:rPr>
          <w:rFonts w:asciiTheme="minorHAnsi" w:eastAsia="Calibri" w:hAnsiTheme="minorHAnsi" w:cstheme="minorHAnsi"/>
          <w:b/>
          <w:bCs/>
          <w:sz w:val="22"/>
          <w:szCs w:val="22"/>
        </w:rPr>
      </w:pPr>
      <w:sdt>
        <w:sdtPr>
          <w:rPr>
            <w:rFonts w:asciiTheme="minorHAnsi" w:eastAsia="Calibri" w:hAnsiTheme="minorHAnsi" w:cstheme="minorHAnsi"/>
            <w:b/>
            <w:bCs/>
            <w:color w:val="1F3863"/>
            <w:sz w:val="22"/>
            <w:szCs w:val="22"/>
          </w:rPr>
          <w:id w:val="1340269586"/>
          <w14:checkbox>
            <w14:checked w14:val="1"/>
            <w14:checkedState w14:val="2612" w14:font="MS Gothic"/>
            <w14:uncheckedState w14:val="2610" w14:font="MS Gothic"/>
          </w14:checkbox>
        </w:sdtPr>
        <w:sdtEndPr/>
        <w:sdtContent>
          <w:r w:rsidR="009525B7" w:rsidRPr="00A93F8C">
            <w:rPr>
              <w:rFonts w:ascii="Segoe UI Symbol" w:eastAsia="MS Gothic" w:hAnsi="Segoe UI Symbol" w:cs="Segoe UI Symbol"/>
              <w:b/>
              <w:bCs/>
              <w:color w:val="1F3863"/>
              <w:sz w:val="22"/>
              <w:szCs w:val="22"/>
            </w:rPr>
            <w:t>☒</w:t>
          </w:r>
        </w:sdtContent>
      </w:sdt>
      <w:r w:rsidR="0076100D" w:rsidRPr="00A93F8C">
        <w:rPr>
          <w:rFonts w:asciiTheme="minorHAnsi" w:eastAsia="Calibri" w:hAnsiTheme="minorHAnsi" w:cstheme="minorHAnsi"/>
          <w:b/>
          <w:bCs/>
          <w:color w:val="1F3863"/>
          <w:sz w:val="22"/>
          <w:szCs w:val="22"/>
        </w:rPr>
        <w:t xml:space="preserve">  By</w:t>
      </w:r>
      <w:r w:rsidR="0076100D" w:rsidRPr="00A93F8C">
        <w:rPr>
          <w:rFonts w:asciiTheme="minorHAnsi" w:eastAsia="Calibri" w:hAnsiTheme="minorHAnsi" w:cstheme="minorHAnsi"/>
          <w:b/>
          <w:bCs/>
          <w:color w:val="1F3863"/>
          <w:spacing w:val="-4"/>
          <w:sz w:val="22"/>
          <w:szCs w:val="22"/>
        </w:rPr>
        <w:t xml:space="preserve"> </w:t>
      </w:r>
      <w:r w:rsidR="0076100D" w:rsidRPr="00A93F8C">
        <w:rPr>
          <w:rFonts w:asciiTheme="minorHAnsi" w:eastAsia="Calibri" w:hAnsiTheme="minorHAnsi" w:cstheme="minorHAnsi"/>
          <w:b/>
          <w:bCs/>
          <w:color w:val="1F3863"/>
          <w:sz w:val="22"/>
          <w:szCs w:val="22"/>
        </w:rPr>
        <w:t>checking</w:t>
      </w:r>
      <w:r w:rsidR="0076100D" w:rsidRPr="00A93F8C">
        <w:rPr>
          <w:rFonts w:asciiTheme="minorHAnsi" w:eastAsia="Calibri" w:hAnsiTheme="minorHAnsi" w:cstheme="minorHAnsi"/>
          <w:b/>
          <w:bCs/>
          <w:color w:val="1F3863"/>
          <w:spacing w:val="1"/>
          <w:sz w:val="22"/>
          <w:szCs w:val="22"/>
        </w:rPr>
        <w:t xml:space="preserve"> </w:t>
      </w:r>
      <w:r w:rsidR="0076100D" w:rsidRPr="00A93F8C">
        <w:rPr>
          <w:rFonts w:asciiTheme="minorHAnsi" w:eastAsia="Calibri" w:hAnsiTheme="minorHAnsi" w:cstheme="minorHAnsi"/>
          <w:b/>
          <w:bCs/>
          <w:color w:val="1F3863"/>
          <w:sz w:val="22"/>
          <w:szCs w:val="22"/>
        </w:rPr>
        <w:t>here,</w:t>
      </w:r>
      <w:r w:rsidR="0076100D" w:rsidRPr="00A93F8C">
        <w:rPr>
          <w:rFonts w:asciiTheme="minorHAnsi" w:eastAsia="Calibri" w:hAnsiTheme="minorHAnsi" w:cstheme="minorHAnsi"/>
          <w:b/>
          <w:bCs/>
          <w:color w:val="1F3863"/>
          <w:spacing w:val="-4"/>
          <w:sz w:val="22"/>
          <w:szCs w:val="22"/>
        </w:rPr>
        <w:t xml:space="preserve"> </w:t>
      </w:r>
      <w:r w:rsidR="0076100D" w:rsidRPr="00A93F8C">
        <w:rPr>
          <w:rFonts w:asciiTheme="minorHAnsi" w:eastAsia="Calibri" w:hAnsiTheme="minorHAnsi" w:cstheme="minorHAnsi"/>
          <w:b/>
          <w:bCs/>
          <w:color w:val="1F3863"/>
          <w:sz w:val="22"/>
          <w:szCs w:val="22"/>
        </w:rPr>
        <w:t>I</w:t>
      </w:r>
      <w:r w:rsidR="0076100D" w:rsidRPr="00A93F8C">
        <w:rPr>
          <w:rFonts w:asciiTheme="minorHAnsi" w:eastAsia="Calibri" w:hAnsiTheme="minorHAnsi" w:cstheme="minorHAnsi"/>
          <w:b/>
          <w:bCs/>
          <w:color w:val="1F3863"/>
          <w:spacing w:val="-1"/>
          <w:sz w:val="22"/>
          <w:szCs w:val="22"/>
        </w:rPr>
        <w:t xml:space="preserve"> </w:t>
      </w:r>
      <w:r w:rsidR="0076100D" w:rsidRPr="00A93F8C">
        <w:rPr>
          <w:rFonts w:asciiTheme="minorHAnsi" w:eastAsia="Calibri" w:hAnsiTheme="minorHAnsi" w:cstheme="minorHAnsi"/>
          <w:b/>
          <w:bCs/>
          <w:color w:val="1F3863"/>
          <w:sz w:val="22"/>
          <w:szCs w:val="22"/>
        </w:rPr>
        <w:t>certify</w:t>
      </w:r>
      <w:r w:rsidR="0076100D" w:rsidRPr="00A93F8C">
        <w:rPr>
          <w:rFonts w:asciiTheme="minorHAnsi" w:eastAsia="Calibri" w:hAnsiTheme="minorHAnsi" w:cstheme="minorHAnsi"/>
          <w:b/>
          <w:bCs/>
          <w:color w:val="1F3863"/>
          <w:spacing w:val="-4"/>
          <w:sz w:val="22"/>
          <w:szCs w:val="22"/>
        </w:rPr>
        <w:t xml:space="preserve"> </w:t>
      </w:r>
      <w:r w:rsidR="0076100D" w:rsidRPr="00A93F8C">
        <w:rPr>
          <w:rFonts w:asciiTheme="minorHAnsi" w:eastAsia="Calibri" w:hAnsiTheme="minorHAnsi" w:cstheme="minorHAnsi"/>
          <w:b/>
          <w:bCs/>
          <w:color w:val="1F3863"/>
          <w:sz w:val="22"/>
          <w:szCs w:val="22"/>
        </w:rPr>
        <w:t>that</w:t>
      </w:r>
      <w:r w:rsidR="0076100D" w:rsidRPr="00A93F8C">
        <w:rPr>
          <w:rFonts w:asciiTheme="minorHAnsi" w:eastAsia="Calibri" w:hAnsiTheme="minorHAnsi" w:cstheme="minorHAnsi"/>
          <w:b/>
          <w:bCs/>
          <w:color w:val="1F3863"/>
          <w:spacing w:val="-2"/>
          <w:sz w:val="22"/>
          <w:szCs w:val="22"/>
        </w:rPr>
        <w:t xml:space="preserve"> </w:t>
      </w:r>
      <w:r w:rsidR="0076100D" w:rsidRPr="00A93F8C">
        <w:rPr>
          <w:rFonts w:asciiTheme="minorHAnsi" w:eastAsia="Calibri" w:hAnsiTheme="minorHAnsi" w:cstheme="minorHAnsi"/>
          <w:b/>
          <w:bCs/>
          <w:color w:val="1F3863"/>
          <w:sz w:val="22"/>
          <w:szCs w:val="22"/>
        </w:rPr>
        <w:t>our</w:t>
      </w:r>
      <w:r w:rsidR="0076100D" w:rsidRPr="00A93F8C">
        <w:rPr>
          <w:rFonts w:asciiTheme="minorHAnsi" w:eastAsia="Calibri" w:hAnsiTheme="minorHAnsi" w:cstheme="minorHAnsi"/>
          <w:b/>
          <w:bCs/>
          <w:color w:val="1F3863"/>
          <w:spacing w:val="-2"/>
          <w:sz w:val="22"/>
          <w:szCs w:val="22"/>
        </w:rPr>
        <w:t xml:space="preserve"> </w:t>
      </w:r>
      <w:r w:rsidR="0076100D" w:rsidRPr="00A93F8C">
        <w:rPr>
          <w:rFonts w:asciiTheme="minorHAnsi" w:eastAsia="Calibri" w:hAnsiTheme="minorHAnsi" w:cstheme="minorHAnsi"/>
          <w:b/>
          <w:bCs/>
          <w:color w:val="1F3863"/>
          <w:sz w:val="22"/>
          <w:szCs w:val="22"/>
        </w:rPr>
        <w:t>charter school</w:t>
      </w:r>
      <w:r w:rsidR="0076100D" w:rsidRPr="00A93F8C">
        <w:rPr>
          <w:rFonts w:asciiTheme="minorHAnsi" w:eastAsia="Calibri" w:hAnsiTheme="minorHAnsi" w:cstheme="minorHAnsi"/>
          <w:b/>
          <w:bCs/>
          <w:color w:val="1F3863"/>
          <w:spacing w:val="-2"/>
          <w:sz w:val="22"/>
          <w:szCs w:val="22"/>
        </w:rPr>
        <w:t xml:space="preserve"> </w:t>
      </w:r>
      <w:r w:rsidR="0076100D" w:rsidRPr="00A93F8C">
        <w:rPr>
          <w:rFonts w:asciiTheme="minorHAnsi" w:eastAsia="Calibri" w:hAnsiTheme="minorHAnsi" w:cstheme="minorHAnsi"/>
          <w:b/>
          <w:bCs/>
          <w:color w:val="1F3863"/>
          <w:sz w:val="22"/>
          <w:szCs w:val="22"/>
        </w:rPr>
        <w:t>has</w:t>
      </w:r>
      <w:r w:rsidR="0076100D" w:rsidRPr="00A93F8C">
        <w:rPr>
          <w:rFonts w:asciiTheme="minorHAnsi" w:eastAsia="Calibri" w:hAnsiTheme="minorHAnsi" w:cstheme="minorHAnsi"/>
          <w:b/>
          <w:bCs/>
          <w:color w:val="1F3863"/>
          <w:spacing w:val="-2"/>
          <w:sz w:val="22"/>
          <w:szCs w:val="22"/>
        </w:rPr>
        <w:t xml:space="preserve"> </w:t>
      </w:r>
      <w:r w:rsidR="0076100D" w:rsidRPr="00A93F8C">
        <w:rPr>
          <w:rFonts w:asciiTheme="minorHAnsi" w:eastAsia="Calibri" w:hAnsiTheme="minorHAnsi" w:cstheme="minorHAnsi"/>
          <w:b/>
          <w:bCs/>
          <w:color w:val="1F3863"/>
          <w:sz w:val="22"/>
          <w:szCs w:val="22"/>
        </w:rPr>
        <w:t>engaged</w:t>
      </w:r>
      <w:r w:rsidR="0076100D" w:rsidRPr="00A93F8C">
        <w:rPr>
          <w:rFonts w:asciiTheme="minorHAnsi" w:eastAsia="Calibri" w:hAnsiTheme="minorHAnsi" w:cstheme="minorHAnsi"/>
          <w:b/>
          <w:bCs/>
          <w:color w:val="1F3863"/>
          <w:spacing w:val="-3"/>
          <w:sz w:val="22"/>
          <w:szCs w:val="22"/>
        </w:rPr>
        <w:t xml:space="preserve"> </w:t>
      </w:r>
      <w:r w:rsidR="0076100D" w:rsidRPr="00A93F8C">
        <w:rPr>
          <w:rFonts w:asciiTheme="minorHAnsi" w:eastAsia="Calibri" w:hAnsiTheme="minorHAnsi" w:cstheme="minorHAnsi"/>
          <w:b/>
          <w:bCs/>
          <w:color w:val="1F3863"/>
          <w:sz w:val="22"/>
          <w:szCs w:val="22"/>
        </w:rPr>
        <w:t>stakeholders</w:t>
      </w:r>
      <w:r w:rsidR="0076100D" w:rsidRPr="00A93F8C">
        <w:rPr>
          <w:rFonts w:asciiTheme="minorHAnsi" w:eastAsia="Calibri" w:hAnsiTheme="minorHAnsi" w:cstheme="minorHAnsi"/>
          <w:b/>
          <w:bCs/>
          <w:color w:val="1F3863"/>
          <w:spacing w:val="-4"/>
          <w:sz w:val="22"/>
          <w:szCs w:val="22"/>
        </w:rPr>
        <w:t xml:space="preserve"> </w:t>
      </w:r>
      <w:r w:rsidR="0076100D" w:rsidRPr="00A93F8C">
        <w:rPr>
          <w:rFonts w:asciiTheme="minorHAnsi" w:eastAsia="Calibri" w:hAnsiTheme="minorHAnsi" w:cstheme="minorHAnsi"/>
          <w:b/>
          <w:bCs/>
          <w:color w:val="1F3863"/>
          <w:sz w:val="22"/>
          <w:szCs w:val="22"/>
        </w:rPr>
        <w:t>in</w:t>
      </w:r>
      <w:r w:rsidR="0076100D" w:rsidRPr="00A93F8C">
        <w:rPr>
          <w:rFonts w:asciiTheme="minorHAnsi" w:eastAsia="Calibri" w:hAnsiTheme="minorHAnsi" w:cstheme="minorHAnsi"/>
          <w:b/>
          <w:bCs/>
          <w:color w:val="1F3863"/>
          <w:spacing w:val="-3"/>
          <w:sz w:val="22"/>
          <w:szCs w:val="22"/>
        </w:rPr>
        <w:t xml:space="preserve"> </w:t>
      </w:r>
      <w:r w:rsidR="0076100D" w:rsidRPr="00A93F8C">
        <w:rPr>
          <w:rFonts w:asciiTheme="minorHAnsi" w:eastAsia="Calibri" w:hAnsiTheme="minorHAnsi" w:cstheme="minorHAnsi"/>
          <w:b/>
          <w:bCs/>
          <w:color w:val="1F3863"/>
          <w:sz w:val="22"/>
          <w:szCs w:val="22"/>
        </w:rPr>
        <w:t>our</w:t>
      </w:r>
      <w:r w:rsidR="0076100D" w:rsidRPr="00A93F8C">
        <w:rPr>
          <w:rFonts w:asciiTheme="minorHAnsi" w:eastAsia="Calibri" w:hAnsiTheme="minorHAnsi" w:cstheme="minorHAnsi"/>
          <w:b/>
          <w:bCs/>
          <w:color w:val="1F3863"/>
          <w:spacing w:val="-6"/>
          <w:sz w:val="22"/>
          <w:szCs w:val="22"/>
        </w:rPr>
        <w:t xml:space="preserve"> </w:t>
      </w:r>
      <w:r w:rsidR="0076100D" w:rsidRPr="00A93F8C">
        <w:rPr>
          <w:rFonts w:asciiTheme="minorHAnsi" w:eastAsia="Calibri" w:hAnsiTheme="minorHAnsi" w:cstheme="minorHAnsi"/>
          <w:b/>
          <w:bCs/>
          <w:color w:val="1F3863"/>
          <w:sz w:val="22"/>
          <w:szCs w:val="22"/>
        </w:rPr>
        <w:t>community</w:t>
      </w:r>
      <w:r w:rsidR="0076100D" w:rsidRPr="00A93F8C">
        <w:rPr>
          <w:rFonts w:asciiTheme="minorHAnsi" w:eastAsia="Calibri" w:hAnsiTheme="minorHAnsi" w:cstheme="minorHAnsi"/>
          <w:b/>
          <w:bCs/>
          <w:color w:val="1F3863"/>
          <w:spacing w:val="-2"/>
          <w:sz w:val="22"/>
          <w:szCs w:val="22"/>
        </w:rPr>
        <w:t xml:space="preserve"> </w:t>
      </w:r>
      <w:r w:rsidR="0076100D" w:rsidRPr="00A93F8C">
        <w:rPr>
          <w:rFonts w:asciiTheme="minorHAnsi" w:eastAsia="Calibri" w:hAnsiTheme="minorHAnsi" w:cstheme="minorHAnsi"/>
          <w:b/>
          <w:bCs/>
          <w:color w:val="1F3863"/>
          <w:sz w:val="22"/>
          <w:szCs w:val="22"/>
        </w:rPr>
        <w:t>in</w:t>
      </w:r>
      <w:r w:rsidR="0076100D" w:rsidRPr="00A93F8C">
        <w:rPr>
          <w:rFonts w:asciiTheme="minorHAnsi" w:eastAsia="Calibri" w:hAnsiTheme="minorHAnsi" w:cstheme="minorHAnsi"/>
          <w:b/>
          <w:bCs/>
          <w:color w:val="1F3863"/>
          <w:spacing w:val="-6"/>
          <w:sz w:val="22"/>
          <w:szCs w:val="22"/>
        </w:rPr>
        <w:t xml:space="preserve"> </w:t>
      </w:r>
      <w:r w:rsidR="0076100D" w:rsidRPr="00A93F8C">
        <w:rPr>
          <w:rFonts w:asciiTheme="minorHAnsi" w:eastAsia="Calibri" w:hAnsiTheme="minorHAnsi" w:cstheme="minorHAnsi"/>
          <w:b/>
          <w:bCs/>
          <w:color w:val="1F3863"/>
          <w:sz w:val="22"/>
          <w:szCs w:val="22"/>
        </w:rPr>
        <w:t>accordance</w:t>
      </w:r>
      <w:r w:rsidR="0076100D" w:rsidRPr="00A93F8C">
        <w:rPr>
          <w:rFonts w:asciiTheme="minorHAnsi" w:eastAsia="Calibri" w:hAnsiTheme="minorHAnsi" w:cstheme="minorHAnsi"/>
          <w:b/>
          <w:bCs/>
          <w:color w:val="1F3863"/>
          <w:spacing w:val="-3"/>
          <w:sz w:val="22"/>
          <w:szCs w:val="22"/>
        </w:rPr>
        <w:t xml:space="preserve"> </w:t>
      </w:r>
      <w:r w:rsidR="0076100D" w:rsidRPr="00A93F8C">
        <w:rPr>
          <w:rFonts w:asciiTheme="minorHAnsi" w:eastAsia="Calibri" w:hAnsiTheme="minorHAnsi" w:cstheme="minorHAnsi"/>
          <w:b/>
          <w:bCs/>
          <w:color w:val="1F3863"/>
          <w:sz w:val="22"/>
          <w:szCs w:val="22"/>
        </w:rPr>
        <w:t>with</w:t>
      </w:r>
      <w:r w:rsidR="0076100D" w:rsidRPr="00A93F8C">
        <w:rPr>
          <w:rFonts w:asciiTheme="minorHAnsi" w:eastAsia="Calibri" w:hAnsiTheme="minorHAnsi" w:cstheme="minorHAnsi"/>
          <w:b/>
          <w:bCs/>
          <w:color w:val="1F3863"/>
          <w:spacing w:val="-5"/>
          <w:sz w:val="22"/>
          <w:szCs w:val="22"/>
        </w:rPr>
        <w:t xml:space="preserve"> </w:t>
      </w:r>
      <w:r w:rsidR="0076100D" w:rsidRPr="00A93F8C">
        <w:rPr>
          <w:rFonts w:asciiTheme="minorHAnsi" w:eastAsia="Calibri" w:hAnsiTheme="minorHAnsi" w:cstheme="minorHAnsi"/>
          <w:b/>
          <w:bCs/>
          <w:color w:val="1F3863"/>
          <w:sz w:val="22"/>
          <w:szCs w:val="22"/>
        </w:rPr>
        <w:t>the Student Opportunity</w:t>
      </w:r>
      <w:r w:rsidR="0076100D" w:rsidRPr="00A93F8C">
        <w:rPr>
          <w:rFonts w:asciiTheme="minorHAnsi" w:eastAsia="Calibri" w:hAnsiTheme="minorHAnsi" w:cstheme="minorHAnsi"/>
          <w:b/>
          <w:bCs/>
          <w:color w:val="1F3863"/>
          <w:spacing w:val="-8"/>
          <w:sz w:val="22"/>
          <w:szCs w:val="22"/>
        </w:rPr>
        <w:t xml:space="preserve"> </w:t>
      </w:r>
      <w:r w:rsidR="0076100D" w:rsidRPr="00A93F8C">
        <w:rPr>
          <w:rFonts w:asciiTheme="minorHAnsi" w:eastAsia="Calibri" w:hAnsiTheme="minorHAnsi" w:cstheme="minorHAnsi"/>
          <w:b/>
          <w:bCs/>
          <w:color w:val="1F3863"/>
          <w:sz w:val="22"/>
          <w:szCs w:val="22"/>
        </w:rPr>
        <w:t>Act</w:t>
      </w:r>
    </w:p>
    <w:p w14:paraId="3F126A63" w14:textId="77777777" w:rsidR="0076100D" w:rsidRPr="00A93F8C" w:rsidRDefault="0076100D" w:rsidP="0076100D">
      <w:pPr>
        <w:widowControl w:val="0"/>
        <w:autoSpaceDE w:val="0"/>
        <w:autoSpaceDN w:val="0"/>
        <w:spacing w:before="194"/>
        <w:ind w:left="107"/>
        <w:rPr>
          <w:rFonts w:asciiTheme="minorHAnsi" w:eastAsia="Calibri" w:hAnsiTheme="minorHAnsi" w:cstheme="minorHAnsi"/>
          <w:b/>
          <w:sz w:val="22"/>
          <w:szCs w:val="22"/>
        </w:rPr>
      </w:pPr>
      <w:r w:rsidRPr="00A93F8C">
        <w:rPr>
          <w:rFonts w:asciiTheme="minorHAnsi" w:eastAsia="Calibri" w:hAnsiTheme="minorHAnsi" w:cstheme="minorHAnsi"/>
          <w:b/>
          <w:color w:val="1F3863"/>
          <w:sz w:val="22"/>
          <w:szCs w:val="22"/>
        </w:rPr>
        <w:t>Please summarize your stakeholder engagement process, including specific groups that were engaged:</w:t>
      </w:r>
    </w:p>
    <w:p w14:paraId="547CC9D4" w14:textId="138A76E2" w:rsidR="009525B7" w:rsidRPr="00A93F8C" w:rsidRDefault="007217D1" w:rsidP="009525B7">
      <w:pPr>
        <w:widowControl w:val="0"/>
        <w:autoSpaceDE w:val="0"/>
        <w:autoSpaceDN w:val="0"/>
        <w:spacing w:before="2"/>
        <w:ind w:left="107" w:right="144"/>
        <w:rPr>
          <w:rFonts w:asciiTheme="minorHAnsi" w:eastAsia="Calibri" w:hAnsiTheme="minorHAnsi" w:cstheme="minorHAnsi"/>
          <w:sz w:val="22"/>
          <w:szCs w:val="22"/>
        </w:rPr>
      </w:pPr>
      <w:r w:rsidRPr="00A93F8C">
        <w:rPr>
          <w:rFonts w:asciiTheme="minorHAnsi" w:eastAsia="Calibri" w:hAnsiTheme="minorHAnsi" w:cstheme="minorHAnsi"/>
          <w:sz w:val="22"/>
          <w:szCs w:val="22"/>
        </w:rPr>
        <w:t>Collegiate</w:t>
      </w:r>
      <w:r w:rsidR="009525B7" w:rsidRPr="00A93F8C">
        <w:rPr>
          <w:rFonts w:asciiTheme="minorHAnsi" w:eastAsia="Calibri" w:hAnsiTheme="minorHAnsi" w:cstheme="minorHAnsi"/>
          <w:sz w:val="22"/>
          <w:szCs w:val="22"/>
        </w:rPr>
        <w:t xml:space="preserve"> Charter School</w:t>
      </w:r>
      <w:r w:rsidRPr="00A93F8C">
        <w:rPr>
          <w:rFonts w:asciiTheme="minorHAnsi" w:eastAsia="Calibri" w:hAnsiTheme="minorHAnsi" w:cstheme="minorHAnsi"/>
          <w:sz w:val="22"/>
          <w:szCs w:val="22"/>
        </w:rPr>
        <w:t xml:space="preserve"> of Lowell</w:t>
      </w:r>
      <w:r w:rsidR="00BA2406">
        <w:rPr>
          <w:rFonts w:asciiTheme="minorHAnsi" w:eastAsia="Calibri" w:hAnsiTheme="minorHAnsi" w:cstheme="minorHAnsi"/>
          <w:sz w:val="22"/>
          <w:szCs w:val="22"/>
        </w:rPr>
        <w:t xml:space="preserve"> partnered with</w:t>
      </w:r>
      <w:r w:rsidR="00EA2D0E" w:rsidRPr="00A93F8C">
        <w:rPr>
          <w:rFonts w:asciiTheme="minorHAnsi" w:eastAsia="Calibri" w:hAnsiTheme="minorHAnsi" w:cstheme="minorHAnsi"/>
          <w:sz w:val="22"/>
          <w:szCs w:val="22"/>
        </w:rPr>
        <w:t xml:space="preserve"> UTEC</w:t>
      </w:r>
      <w:r w:rsidR="009525B7" w:rsidRPr="00A93F8C">
        <w:rPr>
          <w:rFonts w:asciiTheme="minorHAnsi" w:eastAsia="Calibri" w:hAnsiTheme="minorHAnsi" w:cstheme="minorHAnsi"/>
          <w:sz w:val="22"/>
          <w:szCs w:val="22"/>
        </w:rPr>
        <w:t>, to lead our community engagement efforts and ensure broad and demographically representative participation. We engaged the following groups: focus group of</w:t>
      </w:r>
      <w:r w:rsidR="00EA2D0E" w:rsidRPr="00A93F8C">
        <w:rPr>
          <w:rFonts w:asciiTheme="minorHAnsi" w:eastAsia="Calibri" w:hAnsiTheme="minorHAnsi" w:cstheme="minorHAnsi"/>
          <w:sz w:val="22"/>
          <w:szCs w:val="22"/>
        </w:rPr>
        <w:t xml:space="preserve"> parents/guardians including Parent Connection</w:t>
      </w:r>
      <w:r w:rsidR="009525B7" w:rsidRPr="00A93F8C">
        <w:rPr>
          <w:rFonts w:asciiTheme="minorHAnsi" w:eastAsia="Calibri" w:hAnsiTheme="minorHAnsi" w:cstheme="minorHAnsi"/>
          <w:sz w:val="22"/>
          <w:szCs w:val="22"/>
        </w:rPr>
        <w:t xml:space="preserve"> representatives, focus group of educators, special education parent advisory council, EL parent advisory counc</w:t>
      </w:r>
      <w:r w:rsidR="00EA2D0E" w:rsidRPr="00A93F8C">
        <w:rPr>
          <w:rFonts w:asciiTheme="minorHAnsi" w:eastAsia="Calibri" w:hAnsiTheme="minorHAnsi" w:cstheme="minorHAnsi"/>
          <w:sz w:val="22"/>
          <w:szCs w:val="22"/>
        </w:rPr>
        <w:t>il, the Boys and Girls Club of Lowell.</w:t>
      </w:r>
      <w:r w:rsidR="009525B7" w:rsidRPr="00A93F8C">
        <w:rPr>
          <w:rFonts w:asciiTheme="minorHAnsi" w:eastAsia="Calibri" w:hAnsiTheme="minorHAnsi" w:cstheme="minorHAnsi"/>
          <w:sz w:val="22"/>
          <w:szCs w:val="22"/>
        </w:rPr>
        <w:t xml:space="preserve"> A primary concern for families was the lack of educator diversity in our school; a second was the lack of support for students who are not meeting academic expectations for their grade level.</w:t>
      </w:r>
    </w:p>
    <w:p w14:paraId="40882DC2" w14:textId="5D67BC80" w:rsidR="0076100D" w:rsidRPr="00A93F8C" w:rsidRDefault="0076100D" w:rsidP="0076100D">
      <w:pPr>
        <w:widowControl w:val="0"/>
        <w:autoSpaceDE w:val="0"/>
        <w:autoSpaceDN w:val="0"/>
        <w:spacing w:before="74"/>
        <w:ind w:left="107"/>
        <w:rPr>
          <w:rFonts w:asciiTheme="minorHAnsi" w:eastAsia="Calibri" w:hAnsiTheme="minorHAnsi" w:cstheme="minorHAnsi"/>
          <w:sz w:val="22"/>
          <w:szCs w:val="22"/>
        </w:rPr>
      </w:pPr>
    </w:p>
    <w:p w14:paraId="4350447E" w14:textId="77777777" w:rsidR="0076100D" w:rsidRPr="008C2C6F" w:rsidRDefault="0076100D" w:rsidP="0076100D">
      <w:pPr>
        <w:widowControl w:val="0"/>
        <w:autoSpaceDE w:val="0"/>
        <w:autoSpaceDN w:val="0"/>
        <w:rPr>
          <w:rFonts w:ascii="Calibri" w:eastAsia="Calibri" w:hAnsi="Calibri" w:cs="Calibri"/>
          <w:sz w:val="22"/>
          <w:szCs w:val="22"/>
        </w:rPr>
      </w:pP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2BE94304" w:rsidR="0076100D" w:rsidRPr="008C2C6F" w:rsidRDefault="00FF2330"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9E6C69">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the [insert name of charter school’s]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41C44456"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9E6C69">
        <w:rPr>
          <w:rFonts w:ascii="Calibri" w:eastAsia="Calibri" w:hAnsi="Calibri" w:cs="Calibri"/>
          <w:b/>
          <w:color w:val="1F3863"/>
          <w:sz w:val="22"/>
          <w:szCs w:val="22"/>
        </w:rPr>
        <w:t xml:space="preserve"> March 16, 2021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9E6C69">
        <w:rPr>
          <w:rFonts w:ascii="Calibri" w:eastAsia="Calibri" w:hAnsi="Calibri" w:cs="Calibri"/>
          <w:b/>
          <w:color w:val="1F3863"/>
          <w:sz w:val="22"/>
          <w:szCs w:val="22"/>
        </w:rPr>
        <w:t xml:space="preserve"> Unanimous</w:t>
      </w:r>
    </w:p>
    <w:p w14:paraId="58703012" w14:textId="77777777" w:rsidR="0076100D" w:rsidRDefault="0076100D" w:rsidP="0076100D"/>
    <w:sectPr w:rsidR="0076100D" w:rsidSect="00625226">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34C07" w14:textId="77777777" w:rsidR="00FF2330" w:rsidRDefault="00FF2330" w:rsidP="0076100D">
      <w:r>
        <w:separator/>
      </w:r>
    </w:p>
  </w:endnote>
  <w:endnote w:type="continuationSeparator" w:id="0">
    <w:p w14:paraId="408ED63B" w14:textId="77777777" w:rsidR="00FF2330" w:rsidRDefault="00FF2330"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5A1DA8AB" w:rsidR="0062728C" w:rsidRDefault="0062728C">
        <w:pPr>
          <w:pStyle w:val="Footer"/>
          <w:jc w:val="right"/>
        </w:pPr>
        <w:r>
          <w:fldChar w:fldCharType="begin"/>
        </w:r>
        <w:r>
          <w:instrText xml:space="preserve"> PAGE   \* MERGEFORMAT </w:instrText>
        </w:r>
        <w:r>
          <w:fldChar w:fldCharType="separate"/>
        </w:r>
        <w:r w:rsidR="009A2CE8">
          <w:rPr>
            <w:noProof/>
          </w:rPr>
          <w:t>3</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FF2330" w:rsidP="00181660">
    <w:pPr>
      <w:pStyle w:val="Footer"/>
    </w:pPr>
  </w:p>
  <w:p w14:paraId="12B1045B" w14:textId="77777777" w:rsidR="00075697" w:rsidRDefault="00FF2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D641" w14:textId="77777777" w:rsidR="00FF2330" w:rsidRDefault="00FF2330" w:rsidP="0076100D">
      <w:r>
        <w:separator/>
      </w:r>
    </w:p>
  </w:footnote>
  <w:footnote w:type="continuationSeparator" w:id="0">
    <w:p w14:paraId="6CAD9019" w14:textId="77777777" w:rsidR="00FF2330" w:rsidRDefault="00FF2330" w:rsidP="0076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46383"/>
    <w:multiLevelType w:val="hybridMultilevel"/>
    <w:tmpl w:val="7D56CDD6"/>
    <w:lvl w:ilvl="0" w:tplc="844CFC8E">
      <w:start w:val="1"/>
      <w:numFmt w:val="decimal"/>
      <w:lvlText w:val="%1)"/>
      <w:lvlJc w:val="left"/>
      <w:pPr>
        <w:ind w:left="242" w:hanging="242"/>
      </w:pPr>
      <w:rPr>
        <w:rFonts w:ascii="Calibri" w:eastAsia="Calibri" w:hAnsi="Calibri" w:cs="Calibri" w:hint="default"/>
        <w:b/>
        <w:bCs/>
        <w:w w:val="100"/>
        <w:sz w:val="23"/>
        <w:szCs w:val="23"/>
      </w:rPr>
    </w:lvl>
    <w:lvl w:ilvl="1" w:tplc="56C8A494">
      <w:numFmt w:val="bullet"/>
      <w:lvlText w:val="✓"/>
      <w:lvlJc w:val="left"/>
      <w:pPr>
        <w:ind w:left="600" w:hanging="269"/>
      </w:pPr>
      <w:rPr>
        <w:rFonts w:ascii="MS UI Gothic" w:eastAsia="MS UI Gothic" w:hAnsi="MS UI Gothic" w:cs="MS UI Gothic" w:hint="eastAsia"/>
        <w:b w:val="0"/>
        <w:bCs w:val="0"/>
        <w:w w:val="78"/>
        <w:sz w:val="22"/>
        <w:szCs w:val="22"/>
      </w:rPr>
    </w:lvl>
    <w:lvl w:ilvl="2" w:tplc="6B3AF976">
      <w:numFmt w:val="bullet"/>
      <w:lvlText w:val="•"/>
      <w:lvlJc w:val="left"/>
      <w:pPr>
        <w:ind w:left="899" w:hanging="269"/>
      </w:pPr>
    </w:lvl>
    <w:lvl w:ilvl="3" w:tplc="BAEA3ABE">
      <w:numFmt w:val="bullet"/>
      <w:lvlText w:val="•"/>
      <w:lvlJc w:val="left"/>
      <w:pPr>
        <w:ind w:left="1198" w:hanging="269"/>
      </w:pPr>
    </w:lvl>
    <w:lvl w:ilvl="4" w:tplc="1A988926">
      <w:numFmt w:val="bullet"/>
      <w:lvlText w:val="•"/>
      <w:lvlJc w:val="left"/>
      <w:pPr>
        <w:ind w:left="1497" w:hanging="269"/>
      </w:pPr>
    </w:lvl>
    <w:lvl w:ilvl="5" w:tplc="FE18A644">
      <w:numFmt w:val="bullet"/>
      <w:lvlText w:val="•"/>
      <w:lvlJc w:val="left"/>
      <w:pPr>
        <w:ind w:left="1796" w:hanging="269"/>
      </w:pPr>
    </w:lvl>
    <w:lvl w:ilvl="6" w:tplc="E86641B8">
      <w:numFmt w:val="bullet"/>
      <w:lvlText w:val="•"/>
      <w:lvlJc w:val="left"/>
      <w:pPr>
        <w:ind w:left="2095" w:hanging="269"/>
      </w:pPr>
    </w:lvl>
    <w:lvl w:ilvl="7" w:tplc="A9A80590">
      <w:numFmt w:val="bullet"/>
      <w:lvlText w:val="•"/>
      <w:lvlJc w:val="left"/>
      <w:pPr>
        <w:ind w:left="2394" w:hanging="269"/>
      </w:pPr>
    </w:lvl>
    <w:lvl w:ilvl="8" w:tplc="9DAE86EA">
      <w:numFmt w:val="bullet"/>
      <w:lvlText w:val="•"/>
      <w:lvlJc w:val="left"/>
      <w:pPr>
        <w:ind w:left="2692" w:hanging="269"/>
      </w:pPr>
    </w:lvl>
  </w:abstractNum>
  <w:abstractNum w:abstractNumId="2" w15:restartNumberingAfterBreak="0">
    <w:nsid w:val="2A73366D"/>
    <w:multiLevelType w:val="hybridMultilevel"/>
    <w:tmpl w:val="C3B2FDD8"/>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4"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5"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6"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9"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1"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2"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3"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4"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5"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6"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2"/>
  </w:num>
  <w:num w:numId="2">
    <w:abstractNumId w:val="16"/>
  </w:num>
  <w:num w:numId="3">
    <w:abstractNumId w:val="15"/>
  </w:num>
  <w:num w:numId="4">
    <w:abstractNumId w:val="5"/>
  </w:num>
  <w:num w:numId="5">
    <w:abstractNumId w:val="13"/>
  </w:num>
  <w:num w:numId="6">
    <w:abstractNumId w:val="3"/>
  </w:num>
  <w:num w:numId="7">
    <w:abstractNumId w:val="8"/>
  </w:num>
  <w:num w:numId="8">
    <w:abstractNumId w:val="14"/>
  </w:num>
  <w:num w:numId="9">
    <w:abstractNumId w:val="4"/>
  </w:num>
  <w:num w:numId="10">
    <w:abstractNumId w:val="10"/>
  </w:num>
  <w:num w:numId="11">
    <w:abstractNumId w:val="11"/>
  </w:num>
  <w:num w:numId="12">
    <w:abstractNumId w:val="12"/>
  </w:num>
  <w:num w:numId="13">
    <w:abstractNumId w:val="7"/>
  </w:num>
  <w:num w:numId="14">
    <w:abstractNumId w:val="9"/>
  </w:num>
  <w:num w:numId="15">
    <w:abstractNumId w:val="0"/>
  </w:num>
  <w:num w:numId="16">
    <w:abstractNumId w:val="6"/>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D"/>
    <w:rsid w:val="0000190B"/>
    <w:rsid w:val="000070D2"/>
    <w:rsid w:val="00066CCA"/>
    <w:rsid w:val="00096696"/>
    <w:rsid w:val="000C7159"/>
    <w:rsid w:val="00151AA7"/>
    <w:rsid w:val="00153932"/>
    <w:rsid w:val="00176AF1"/>
    <w:rsid w:val="00181660"/>
    <w:rsid w:val="0019508F"/>
    <w:rsid w:val="001D054E"/>
    <w:rsid w:val="001E21CB"/>
    <w:rsid w:val="0021382A"/>
    <w:rsid w:val="002A49BD"/>
    <w:rsid w:val="002F400F"/>
    <w:rsid w:val="00300C51"/>
    <w:rsid w:val="00306EC4"/>
    <w:rsid w:val="00333793"/>
    <w:rsid w:val="00336B2D"/>
    <w:rsid w:val="00386344"/>
    <w:rsid w:val="004049F2"/>
    <w:rsid w:val="00405B74"/>
    <w:rsid w:val="00432765"/>
    <w:rsid w:val="0047667C"/>
    <w:rsid w:val="004D2F86"/>
    <w:rsid w:val="004F3CCC"/>
    <w:rsid w:val="00520329"/>
    <w:rsid w:val="005A25FE"/>
    <w:rsid w:val="005D29E9"/>
    <w:rsid w:val="00625226"/>
    <w:rsid w:val="0062728C"/>
    <w:rsid w:val="006C4201"/>
    <w:rsid w:val="007217D1"/>
    <w:rsid w:val="007251C8"/>
    <w:rsid w:val="00735B09"/>
    <w:rsid w:val="0075491A"/>
    <w:rsid w:val="0076100D"/>
    <w:rsid w:val="007A03C7"/>
    <w:rsid w:val="007A22C9"/>
    <w:rsid w:val="007C65AD"/>
    <w:rsid w:val="007D104F"/>
    <w:rsid w:val="00833A09"/>
    <w:rsid w:val="00860FAC"/>
    <w:rsid w:val="00867425"/>
    <w:rsid w:val="008A774B"/>
    <w:rsid w:val="008B2BF6"/>
    <w:rsid w:val="008E5418"/>
    <w:rsid w:val="00906A10"/>
    <w:rsid w:val="009525B7"/>
    <w:rsid w:val="00963333"/>
    <w:rsid w:val="00966DB0"/>
    <w:rsid w:val="009A2CE8"/>
    <w:rsid w:val="009A4C78"/>
    <w:rsid w:val="009D27A4"/>
    <w:rsid w:val="009E6C69"/>
    <w:rsid w:val="00A913C6"/>
    <w:rsid w:val="00A93F8C"/>
    <w:rsid w:val="00AA30AB"/>
    <w:rsid w:val="00AC2B8C"/>
    <w:rsid w:val="00AE0647"/>
    <w:rsid w:val="00AE6B3C"/>
    <w:rsid w:val="00B12841"/>
    <w:rsid w:val="00B32DBB"/>
    <w:rsid w:val="00B57DF8"/>
    <w:rsid w:val="00B849AB"/>
    <w:rsid w:val="00B93B23"/>
    <w:rsid w:val="00BA2406"/>
    <w:rsid w:val="00BB489B"/>
    <w:rsid w:val="00BE5AED"/>
    <w:rsid w:val="00BF34E1"/>
    <w:rsid w:val="00CE204E"/>
    <w:rsid w:val="00D56107"/>
    <w:rsid w:val="00D60718"/>
    <w:rsid w:val="00D7055D"/>
    <w:rsid w:val="00D72178"/>
    <w:rsid w:val="00DB4065"/>
    <w:rsid w:val="00E42932"/>
    <w:rsid w:val="00E51674"/>
    <w:rsid w:val="00EA2846"/>
    <w:rsid w:val="00EA2D0E"/>
    <w:rsid w:val="00EC188F"/>
    <w:rsid w:val="00F04B23"/>
    <w:rsid w:val="00F313DF"/>
    <w:rsid w:val="00F56862"/>
    <w:rsid w:val="00F8021C"/>
    <w:rsid w:val="00FC532D"/>
    <w:rsid w:val="00FF084E"/>
    <w:rsid w:val="00FF2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customStyle="1" w:styleId="tags">
    <w:name w:val="tags"/>
    <w:basedOn w:val="Normal"/>
    <w:rsid w:val="00EA2846"/>
    <w:pPr>
      <w:spacing w:before="100" w:beforeAutospacing="1" w:after="100" w:afterAutospacing="1"/>
    </w:pPr>
  </w:style>
  <w:style w:type="character" w:customStyle="1" w:styleId="pp-tag">
    <w:name w:val="pp-tag"/>
    <w:basedOn w:val="DefaultParagraphFont"/>
    <w:rsid w:val="00EA2846"/>
  </w:style>
  <w:style w:type="paragraph" w:styleId="NormalWeb">
    <w:name w:val="Normal (Web)"/>
    <w:basedOn w:val="Normal"/>
    <w:uiPriority w:val="99"/>
    <w:semiHidden/>
    <w:unhideWhenUsed/>
    <w:rsid w:val="00EA28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38201">
      <w:bodyDiv w:val="1"/>
      <w:marLeft w:val="0"/>
      <w:marRight w:val="0"/>
      <w:marTop w:val="0"/>
      <w:marBottom w:val="0"/>
      <w:divBdr>
        <w:top w:val="none" w:sz="0" w:space="0" w:color="auto"/>
        <w:left w:val="none" w:sz="0" w:space="0" w:color="auto"/>
        <w:bottom w:val="none" w:sz="0" w:space="0" w:color="auto"/>
        <w:right w:val="none" w:sz="0" w:space="0" w:color="auto"/>
      </w:divBdr>
    </w:div>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choolbox.com.au/blog/how-to-empower-k-12-students-beyond-the-classro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3B31D-66E8-4AE6-98FC-B45B1071535C}"/>
</file>

<file path=customXml/itemProps2.xml><?xml version="1.0" encoding="utf-8"?>
<ds:datastoreItem xmlns:ds="http://schemas.openxmlformats.org/officeDocument/2006/customXml" ds:itemID="{7AE02267-B6D0-420F-A02C-B3BA655B2E5C}">
  <ds:schemaRefs>
    <ds:schemaRef ds:uri="http://schemas.openxmlformats.org/officeDocument/2006/bibliography"/>
  </ds:schemaRefs>
</ds:datastoreItem>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418A8A-13BF-4943-85E4-A1A9882B4251}"/>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Collegiate Charter School of Lowell Student Opportunity Act Plan: SY 2021-2023</vt:lpstr>
    </vt:vector>
  </TitlesOfParts>
  <Company>EOE</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Charter School of Lowell Student Opportunity Act Plan: SY 2021-2023</dc:title>
  <dc:subject/>
  <dc:creator>DESE</dc:creator>
  <cp:keywords/>
  <dc:description/>
  <cp:lastModifiedBy>DeLorenzo, Lee E (DESE)</cp:lastModifiedBy>
  <cp:revision>4</cp:revision>
  <cp:lastPrinted>2021-01-15T17:30:00Z</cp:lastPrinted>
  <dcterms:created xsi:type="dcterms:W3CDTF">2021-03-22T16:47:00Z</dcterms:created>
  <dcterms:modified xsi:type="dcterms:W3CDTF">2021-03-24T15:21:00Z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