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8696" w14:textId="43D48964" w:rsidR="00425D91" w:rsidRDefault="00B2403F" w:rsidP="005B482F">
      <w:pPr>
        <w:widowControl w:val="0"/>
        <w:spacing w:line="240" w:lineRule="auto"/>
        <w:jc w:val="center"/>
        <w:rPr>
          <w:rFonts w:asciiTheme="majorHAnsi" w:eastAsia="Calibri" w:hAnsiTheme="majorHAnsi" w:cstheme="majorHAnsi"/>
          <w:b/>
          <w:color w:val="1F3863"/>
          <w:sz w:val="30"/>
          <w:szCs w:val="30"/>
        </w:rPr>
      </w:pPr>
      <w:r w:rsidRPr="00676632">
        <w:rPr>
          <w:rFonts w:asciiTheme="majorHAnsi" w:eastAsia="Calibri" w:hAnsiTheme="majorHAnsi" w:cstheme="majorHAnsi"/>
          <w:b/>
          <w:color w:val="1F3863"/>
          <w:sz w:val="30"/>
          <w:szCs w:val="30"/>
        </w:rPr>
        <w:t>Student Opportunity Act Plan: SY 2021-2023</w:t>
      </w:r>
    </w:p>
    <w:p w14:paraId="4BA7A402" w14:textId="794BC308" w:rsidR="005B482F" w:rsidRPr="00676632" w:rsidRDefault="005B482F" w:rsidP="005B482F">
      <w:pPr>
        <w:widowControl w:val="0"/>
        <w:spacing w:line="240" w:lineRule="auto"/>
        <w:jc w:val="center"/>
        <w:rPr>
          <w:rFonts w:asciiTheme="majorHAnsi" w:eastAsia="Calibri" w:hAnsiTheme="majorHAnsi" w:cstheme="majorHAnsi"/>
          <w:b/>
          <w:i/>
          <w:sz w:val="30"/>
          <w:szCs w:val="30"/>
        </w:rPr>
      </w:pPr>
      <w:r w:rsidRPr="00676632">
        <w:rPr>
          <w:rFonts w:asciiTheme="majorHAnsi" w:eastAsia="Calibri" w:hAnsiTheme="majorHAnsi" w:cstheme="majorHAnsi"/>
          <w:b/>
          <w:i/>
          <w:color w:val="2D74B5"/>
          <w:sz w:val="30"/>
          <w:szCs w:val="30"/>
        </w:rPr>
        <w:t>Ma</w:t>
      </w:r>
      <w:r>
        <w:rPr>
          <w:rFonts w:asciiTheme="majorHAnsi" w:eastAsia="Calibri" w:hAnsiTheme="majorHAnsi" w:cstheme="majorHAnsi"/>
          <w:b/>
          <w:i/>
          <w:color w:val="2D74B5"/>
          <w:sz w:val="30"/>
          <w:szCs w:val="30"/>
        </w:rPr>
        <w:t>tc</w:t>
      </w:r>
      <w:r w:rsidRPr="00676632">
        <w:rPr>
          <w:rFonts w:asciiTheme="majorHAnsi" w:eastAsia="Calibri" w:hAnsiTheme="majorHAnsi" w:cstheme="majorHAnsi"/>
          <w:b/>
          <w:i/>
          <w:color w:val="2D74B5"/>
          <w:sz w:val="30"/>
          <w:szCs w:val="30"/>
        </w:rPr>
        <w:t>h Charter Public School</w:t>
      </w:r>
    </w:p>
    <w:p w14:paraId="7C2F1908" w14:textId="77777777" w:rsidR="00425D91" w:rsidRPr="00676632" w:rsidRDefault="00425D91">
      <w:pPr>
        <w:widowControl w:val="0"/>
        <w:spacing w:before="7" w:line="240" w:lineRule="auto"/>
        <w:rPr>
          <w:rFonts w:asciiTheme="majorHAnsi" w:eastAsia="Calibri" w:hAnsiTheme="majorHAnsi" w:cstheme="majorHAnsi"/>
          <w:b/>
          <w:sz w:val="21"/>
          <w:szCs w:val="21"/>
        </w:rPr>
      </w:pPr>
    </w:p>
    <w:p w14:paraId="35E0415E" w14:textId="77777777" w:rsidR="00425D91" w:rsidRPr="00676632" w:rsidRDefault="00B2403F" w:rsidP="00676632">
      <w:pPr>
        <w:widowControl w:val="0"/>
        <w:spacing w:before="85" w:line="240" w:lineRule="auto"/>
        <w:rPr>
          <w:rFonts w:asciiTheme="majorHAnsi" w:eastAsia="Calibri" w:hAnsiTheme="majorHAnsi" w:cstheme="majorHAnsi"/>
          <w:b/>
          <w:sz w:val="26"/>
          <w:szCs w:val="26"/>
        </w:rPr>
      </w:pPr>
      <w:r w:rsidRPr="00676632">
        <w:rPr>
          <w:rFonts w:asciiTheme="majorHAnsi" w:eastAsia="Arial Unicode MS" w:hAnsiTheme="majorHAnsi" w:cstheme="majorHAnsi"/>
          <w:color w:val="2D74B5"/>
          <w:sz w:val="26"/>
          <w:szCs w:val="26"/>
        </w:rPr>
        <w:t xml:space="preserve">→ </w:t>
      </w:r>
      <w:r w:rsidRPr="00676632">
        <w:rPr>
          <w:rFonts w:asciiTheme="majorHAnsi" w:eastAsia="Calibri" w:hAnsiTheme="majorHAnsi" w:cstheme="majorHAnsi"/>
          <w:b/>
          <w:color w:val="2D74B5"/>
          <w:sz w:val="26"/>
          <w:szCs w:val="26"/>
        </w:rPr>
        <w:t>Commitment 1: Focusing on Student Subgroups</w:t>
      </w:r>
    </w:p>
    <w:p w14:paraId="7738778E" w14:textId="77777777" w:rsidR="00425D91" w:rsidRPr="00676632" w:rsidRDefault="00B2403F" w:rsidP="00676632">
      <w:pPr>
        <w:widowControl w:val="0"/>
        <w:spacing w:before="70" w:line="240" w:lineRule="auto"/>
        <w:rPr>
          <w:rFonts w:asciiTheme="majorHAnsi" w:eastAsia="Calibri" w:hAnsiTheme="majorHAnsi" w:cstheme="majorHAnsi"/>
          <w:b/>
        </w:rPr>
      </w:pPr>
      <w:r w:rsidRPr="00676632">
        <w:rPr>
          <w:rFonts w:asciiTheme="majorHAnsi" w:eastAsia="Calibri" w:hAnsiTheme="majorHAnsi" w:cstheme="majorHAnsi"/>
          <w:b/>
          <w:color w:val="1F3863"/>
        </w:rPr>
        <w:t>Which student groups will require focused support to ensure all students achieve at high levels in school and are successfully prepared for life?</w:t>
      </w:r>
    </w:p>
    <w:p w14:paraId="4C4F7C92" w14:textId="77777777" w:rsidR="00425D91" w:rsidRPr="00676632" w:rsidRDefault="00425D91" w:rsidP="00676632">
      <w:pPr>
        <w:widowControl w:val="0"/>
        <w:spacing w:before="11" w:line="240" w:lineRule="auto"/>
        <w:rPr>
          <w:rFonts w:asciiTheme="majorHAnsi" w:eastAsia="Calibri" w:hAnsiTheme="majorHAnsi" w:cstheme="majorHAnsi"/>
          <w:b/>
          <w:sz w:val="21"/>
          <w:szCs w:val="21"/>
        </w:rPr>
      </w:pPr>
    </w:p>
    <w:p w14:paraId="206ABBCA" w14:textId="2737C8E2" w:rsidR="00425D91" w:rsidRPr="00676632" w:rsidRDefault="00B2403F" w:rsidP="00676632">
      <w:pPr>
        <w:widowControl w:val="0"/>
        <w:spacing w:before="1" w:line="240"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Match Charter Public School (MCPS) is committed to the success of </w:t>
      </w:r>
      <w:r w:rsidR="00676632" w:rsidRPr="00676632">
        <w:rPr>
          <w:rFonts w:asciiTheme="majorHAnsi" w:eastAsia="Calibri" w:hAnsiTheme="majorHAnsi" w:cstheme="majorHAnsi"/>
          <w:sz w:val="21"/>
          <w:szCs w:val="21"/>
        </w:rPr>
        <w:t>all</w:t>
      </w:r>
      <w:r w:rsidRPr="00676632">
        <w:rPr>
          <w:rFonts w:asciiTheme="majorHAnsi" w:eastAsia="Calibri" w:hAnsiTheme="majorHAnsi" w:cstheme="majorHAnsi"/>
          <w:sz w:val="21"/>
          <w:szCs w:val="21"/>
        </w:rPr>
        <w:t xml:space="preserve"> its students as it prepares them for success in college and beyond. Based on a review of our student data, we have determined that our students with mild to moderate disabilities and students with chronic absenteeism are the student groups which require focused support.</w:t>
      </w:r>
    </w:p>
    <w:p w14:paraId="39B30A8D" w14:textId="77777777" w:rsidR="00425D91" w:rsidRPr="00676632" w:rsidRDefault="00425D91" w:rsidP="00676632">
      <w:pPr>
        <w:widowControl w:val="0"/>
        <w:spacing w:before="1" w:line="240" w:lineRule="auto"/>
        <w:rPr>
          <w:rFonts w:asciiTheme="majorHAnsi" w:eastAsia="Calibri" w:hAnsiTheme="majorHAnsi" w:cstheme="majorHAnsi"/>
          <w:sz w:val="21"/>
          <w:szCs w:val="21"/>
        </w:rPr>
      </w:pPr>
    </w:p>
    <w:p w14:paraId="24A898B8" w14:textId="77777777" w:rsidR="00425D91" w:rsidRPr="00676632" w:rsidRDefault="00B2403F" w:rsidP="00676632">
      <w:pPr>
        <w:widowControl w:val="0"/>
        <w:spacing w:before="1" w:line="240"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Our MCAS achievement data from 2019 showed that we have yet to close the gap between our students with disabilities and their general education peers. In both ELA and Math, our students with disabilities are meeting and exceeding expectations at a much lower rate than their general education peers. Large differentials, of up to 39%, exist between students with disabilities and general education students across all tested grade levels and content areas. </w:t>
      </w:r>
    </w:p>
    <w:p w14:paraId="72F787FC" w14:textId="77777777" w:rsidR="00425D91" w:rsidRPr="00676632" w:rsidRDefault="00425D91" w:rsidP="00676632">
      <w:pPr>
        <w:widowControl w:val="0"/>
        <w:spacing w:line="240" w:lineRule="auto"/>
        <w:rPr>
          <w:rFonts w:asciiTheme="majorHAnsi" w:eastAsia="Calibri" w:hAnsiTheme="majorHAnsi" w:cstheme="majorHAnsi"/>
          <w:sz w:val="21"/>
          <w:szCs w:val="21"/>
        </w:rPr>
      </w:pPr>
    </w:p>
    <w:p w14:paraId="1D28B0C8" w14:textId="6C2E2A90" w:rsidR="00425D91" w:rsidRPr="00676632" w:rsidRDefault="00676632" w:rsidP="00676632">
      <w:pPr>
        <w:widowControl w:val="0"/>
        <w:spacing w:line="240"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Additionally,</w:t>
      </w:r>
      <w:r w:rsidR="00B2403F" w:rsidRPr="00676632">
        <w:rPr>
          <w:rFonts w:asciiTheme="majorHAnsi" w:eastAsia="Calibri" w:hAnsiTheme="majorHAnsi" w:cstheme="majorHAnsi"/>
          <w:sz w:val="21"/>
          <w:szCs w:val="21"/>
        </w:rPr>
        <w:t xml:space="preserve"> we have decided to prioritize our students with low engagement and chronic absenteeism because students in this group also</w:t>
      </w:r>
      <w:r w:rsidR="003F793F">
        <w:rPr>
          <w:rFonts w:asciiTheme="majorHAnsi" w:eastAsia="Calibri" w:hAnsiTheme="majorHAnsi" w:cstheme="majorHAnsi"/>
          <w:sz w:val="21"/>
          <w:szCs w:val="21"/>
        </w:rPr>
        <w:t xml:space="preserve"> are</w:t>
      </w:r>
      <w:r w:rsidR="00B2403F" w:rsidRPr="00676632">
        <w:rPr>
          <w:rFonts w:asciiTheme="majorHAnsi" w:eastAsia="Calibri" w:hAnsiTheme="majorHAnsi" w:cstheme="majorHAnsi"/>
          <w:sz w:val="21"/>
          <w:szCs w:val="21"/>
        </w:rPr>
        <w:t xml:space="preserve"> not achieving at the same rate as their peers who are not chronically absent. This is particularly true in grades 3-8. Here we have differentials ranging from 7% to 26%. </w:t>
      </w:r>
    </w:p>
    <w:p w14:paraId="3D12A13A" w14:textId="77777777" w:rsidR="00425D91" w:rsidRPr="00676632" w:rsidRDefault="00425D91" w:rsidP="00676632">
      <w:pPr>
        <w:widowControl w:val="0"/>
        <w:spacing w:before="1" w:line="240" w:lineRule="auto"/>
        <w:rPr>
          <w:rFonts w:asciiTheme="majorHAnsi" w:eastAsia="Calibri" w:hAnsiTheme="majorHAnsi" w:cstheme="majorHAnsi"/>
          <w:sz w:val="21"/>
          <w:szCs w:val="21"/>
        </w:rPr>
      </w:pPr>
    </w:p>
    <w:p w14:paraId="0EC00D3C" w14:textId="77777777" w:rsidR="00425D91" w:rsidRPr="005506DB" w:rsidRDefault="00B2403F" w:rsidP="00676632">
      <w:pPr>
        <w:widowControl w:val="0"/>
        <w:spacing w:line="240" w:lineRule="auto"/>
        <w:rPr>
          <w:rFonts w:asciiTheme="majorHAnsi" w:eastAsia="Calibri" w:hAnsiTheme="majorHAnsi" w:cstheme="majorHAnsi"/>
          <w:b/>
          <w:sz w:val="26"/>
          <w:szCs w:val="26"/>
        </w:rPr>
      </w:pPr>
      <w:r w:rsidRPr="005506DB">
        <w:rPr>
          <w:rFonts w:asciiTheme="majorHAnsi" w:eastAsia="Arial Unicode MS" w:hAnsiTheme="majorHAnsi" w:cstheme="majorHAnsi"/>
          <w:color w:val="2D74B5"/>
          <w:sz w:val="26"/>
          <w:szCs w:val="26"/>
        </w:rPr>
        <w:t xml:space="preserve">→ </w:t>
      </w:r>
      <w:r w:rsidRPr="005506DB">
        <w:rPr>
          <w:rFonts w:asciiTheme="majorHAnsi" w:eastAsia="Calibri" w:hAnsiTheme="majorHAnsi" w:cstheme="majorHAnsi"/>
          <w:b/>
          <w:color w:val="2D74B5"/>
          <w:sz w:val="26"/>
          <w:szCs w:val="26"/>
        </w:rPr>
        <w:t>Commitment 2: Using Evidence-Based Programs to Close Gaps</w:t>
      </w:r>
    </w:p>
    <w:p w14:paraId="78C85E22" w14:textId="77777777" w:rsidR="00425D91" w:rsidRPr="005506DB" w:rsidRDefault="00B2403F" w:rsidP="00676632">
      <w:pPr>
        <w:widowControl w:val="0"/>
        <w:spacing w:before="73" w:line="240" w:lineRule="auto"/>
        <w:rPr>
          <w:rFonts w:asciiTheme="majorHAnsi" w:eastAsia="Calibri" w:hAnsiTheme="majorHAnsi" w:cstheme="majorHAnsi"/>
          <w:b/>
        </w:rPr>
      </w:pPr>
      <w:r w:rsidRPr="005506DB">
        <w:rPr>
          <w:rFonts w:asciiTheme="majorHAnsi" w:eastAsia="Calibri" w:hAnsiTheme="majorHAnsi" w:cstheme="majorHAnsi"/>
          <w:b/>
          <w:color w:val="1F3863"/>
        </w:rPr>
        <w:t>What evidence-based programs will your charter school adopt, deepen, or continue to best support the closure of achievement and opportunity gaps? What resources will be allocated to these programs?</w:t>
      </w:r>
    </w:p>
    <w:p w14:paraId="39D0260E" w14:textId="77777777" w:rsidR="00425D91" w:rsidRPr="00676632" w:rsidRDefault="00425D91">
      <w:pPr>
        <w:widowControl w:val="0"/>
        <w:tabs>
          <w:tab w:val="left" w:pos="828"/>
          <w:tab w:val="left" w:pos="829"/>
        </w:tabs>
        <w:spacing w:before="2" w:line="240" w:lineRule="auto"/>
        <w:rPr>
          <w:rFonts w:asciiTheme="majorHAnsi" w:eastAsia="Calibri" w:hAnsiTheme="majorHAnsi" w:cstheme="majorHAnsi"/>
          <w:i/>
          <w:sz w:val="21"/>
          <w:szCs w:val="21"/>
        </w:rPr>
      </w:pPr>
    </w:p>
    <w:p w14:paraId="0150A98D" w14:textId="77777777" w:rsidR="00425D91" w:rsidRPr="00676632" w:rsidRDefault="00B2403F" w:rsidP="00676632">
      <w:pPr>
        <w:widowControl w:val="0"/>
        <w:numPr>
          <w:ilvl w:val="0"/>
          <w:numId w:val="1"/>
        </w:numPr>
        <w:spacing w:before="1" w:line="240" w:lineRule="auto"/>
        <w:ind w:left="360"/>
        <w:rPr>
          <w:rFonts w:asciiTheme="majorHAnsi" w:eastAsia="Calibri" w:hAnsiTheme="majorHAnsi" w:cstheme="majorHAnsi"/>
          <w:sz w:val="21"/>
          <w:szCs w:val="21"/>
        </w:rPr>
      </w:pPr>
      <w:r w:rsidRPr="00676632">
        <w:rPr>
          <w:rFonts w:asciiTheme="majorHAnsi" w:eastAsia="Calibri" w:hAnsiTheme="majorHAnsi" w:cstheme="majorHAnsi"/>
          <w:b/>
          <w:sz w:val="21"/>
          <w:szCs w:val="21"/>
        </w:rPr>
        <w:t xml:space="preserve">Inclusion for students with disabilities (SWD). </w:t>
      </w:r>
    </w:p>
    <w:p w14:paraId="0E853E1F" w14:textId="77777777" w:rsidR="00425D91" w:rsidRPr="00676632" w:rsidRDefault="00425D91" w:rsidP="00676632">
      <w:pPr>
        <w:widowControl w:val="0"/>
        <w:spacing w:before="1" w:line="240" w:lineRule="auto"/>
        <w:ind w:left="360"/>
        <w:rPr>
          <w:rFonts w:asciiTheme="majorHAnsi" w:eastAsia="Calibri" w:hAnsiTheme="majorHAnsi" w:cstheme="majorHAnsi"/>
          <w:b/>
          <w:sz w:val="21"/>
          <w:szCs w:val="21"/>
        </w:rPr>
      </w:pPr>
    </w:p>
    <w:p w14:paraId="28ACF212" w14:textId="233C7AE0" w:rsidR="00425D91" w:rsidRPr="00676632" w:rsidRDefault="00B2403F" w:rsidP="00676632">
      <w:pPr>
        <w:widowControl w:val="0"/>
        <w:spacing w:before="1" w:line="240" w:lineRule="auto"/>
        <w:ind w:left="360"/>
        <w:rPr>
          <w:rFonts w:asciiTheme="majorHAnsi" w:eastAsia="Calibri" w:hAnsiTheme="majorHAnsi" w:cstheme="majorHAnsi"/>
          <w:sz w:val="21"/>
          <w:szCs w:val="21"/>
        </w:rPr>
      </w:pPr>
      <w:r w:rsidRPr="00676632">
        <w:rPr>
          <w:rFonts w:asciiTheme="majorHAnsi" w:eastAsia="Calibri" w:hAnsiTheme="majorHAnsi" w:cstheme="majorHAnsi"/>
          <w:sz w:val="21"/>
          <w:szCs w:val="21"/>
        </w:rPr>
        <w:t>At Match, we firmly believe in the inclusion model for our students</w:t>
      </w:r>
      <w:r w:rsidR="003F793F">
        <w:rPr>
          <w:rFonts w:asciiTheme="majorHAnsi" w:eastAsia="Calibri" w:hAnsiTheme="majorHAnsi" w:cstheme="majorHAnsi"/>
          <w:sz w:val="21"/>
          <w:szCs w:val="21"/>
        </w:rPr>
        <w:t xml:space="preserve">. We </w:t>
      </w:r>
      <w:r w:rsidRPr="00676632">
        <w:rPr>
          <w:rFonts w:asciiTheme="majorHAnsi" w:eastAsia="Calibri" w:hAnsiTheme="majorHAnsi" w:cstheme="majorHAnsi"/>
          <w:sz w:val="21"/>
          <w:szCs w:val="21"/>
        </w:rPr>
        <w:t xml:space="preserve">have made an investment in recent years and will continue to invest in the recruitment and retention of </w:t>
      </w:r>
      <w:r w:rsidR="00676632" w:rsidRPr="00676632">
        <w:rPr>
          <w:rFonts w:asciiTheme="majorHAnsi" w:eastAsia="Calibri" w:hAnsiTheme="majorHAnsi" w:cstheme="majorHAnsi"/>
          <w:sz w:val="21"/>
          <w:szCs w:val="21"/>
        </w:rPr>
        <w:t>high-quality</w:t>
      </w:r>
      <w:r w:rsidRPr="00676632">
        <w:rPr>
          <w:rFonts w:asciiTheme="majorHAnsi" w:eastAsia="Calibri" w:hAnsiTheme="majorHAnsi" w:cstheme="majorHAnsi"/>
          <w:sz w:val="21"/>
          <w:szCs w:val="21"/>
        </w:rPr>
        <w:t xml:space="preserve"> special educators who can co-teach with our general education teachers. </w:t>
      </w:r>
      <w:r w:rsidR="00676632" w:rsidRPr="00676632">
        <w:rPr>
          <w:rFonts w:asciiTheme="majorHAnsi" w:eastAsia="Calibri" w:hAnsiTheme="majorHAnsi" w:cstheme="majorHAnsi"/>
          <w:sz w:val="21"/>
          <w:szCs w:val="21"/>
        </w:rPr>
        <w:t>We have</w:t>
      </w:r>
      <w:r w:rsidRPr="00676632">
        <w:rPr>
          <w:rFonts w:asciiTheme="majorHAnsi" w:eastAsia="Calibri" w:hAnsiTheme="majorHAnsi" w:cstheme="majorHAnsi"/>
          <w:sz w:val="21"/>
          <w:szCs w:val="21"/>
        </w:rPr>
        <w:t xml:space="preserve"> recently added two new special education inclusion teachers to our staffing </w:t>
      </w:r>
      <w:r w:rsidR="003F793F">
        <w:rPr>
          <w:rFonts w:asciiTheme="majorHAnsi" w:eastAsia="Calibri" w:hAnsiTheme="majorHAnsi" w:cstheme="majorHAnsi"/>
          <w:sz w:val="21"/>
          <w:szCs w:val="21"/>
        </w:rPr>
        <w:t xml:space="preserve">model, </w:t>
      </w:r>
      <w:r w:rsidRPr="00676632">
        <w:rPr>
          <w:rFonts w:asciiTheme="majorHAnsi" w:eastAsia="Calibri" w:hAnsiTheme="majorHAnsi" w:cstheme="majorHAnsi"/>
          <w:sz w:val="21"/>
          <w:szCs w:val="21"/>
        </w:rPr>
        <w:t xml:space="preserve">and </w:t>
      </w:r>
      <w:r w:rsidR="003F793F">
        <w:rPr>
          <w:rFonts w:asciiTheme="majorHAnsi" w:eastAsia="Calibri" w:hAnsiTheme="majorHAnsi" w:cstheme="majorHAnsi"/>
          <w:sz w:val="21"/>
          <w:szCs w:val="21"/>
        </w:rPr>
        <w:t xml:space="preserve">we </w:t>
      </w:r>
      <w:r w:rsidRPr="00676632">
        <w:rPr>
          <w:rFonts w:asciiTheme="majorHAnsi" w:eastAsia="Calibri" w:hAnsiTheme="majorHAnsi" w:cstheme="majorHAnsi"/>
          <w:sz w:val="21"/>
          <w:szCs w:val="21"/>
        </w:rPr>
        <w:t xml:space="preserve">plan to staff these positions over the next three years. We also </w:t>
      </w:r>
      <w:r w:rsidR="003F793F">
        <w:rPr>
          <w:rFonts w:asciiTheme="majorHAnsi" w:eastAsia="Calibri" w:hAnsiTheme="majorHAnsi" w:cstheme="majorHAnsi"/>
          <w:sz w:val="21"/>
          <w:szCs w:val="21"/>
        </w:rPr>
        <w:t xml:space="preserve">are </w:t>
      </w:r>
      <w:r w:rsidRPr="00676632">
        <w:rPr>
          <w:rFonts w:asciiTheme="majorHAnsi" w:eastAsia="Calibri" w:hAnsiTheme="majorHAnsi" w:cstheme="majorHAnsi"/>
          <w:sz w:val="21"/>
          <w:szCs w:val="21"/>
        </w:rPr>
        <w:t xml:space="preserve">investing in </w:t>
      </w:r>
      <w:r w:rsidR="003F793F">
        <w:rPr>
          <w:rFonts w:asciiTheme="majorHAnsi" w:eastAsia="Calibri" w:hAnsiTheme="majorHAnsi" w:cstheme="majorHAnsi"/>
          <w:sz w:val="21"/>
          <w:szCs w:val="21"/>
        </w:rPr>
        <w:t xml:space="preserve">a </w:t>
      </w:r>
      <w:r w:rsidRPr="00676632">
        <w:rPr>
          <w:rFonts w:asciiTheme="majorHAnsi" w:eastAsia="Calibri" w:hAnsiTheme="majorHAnsi" w:cstheme="majorHAnsi"/>
          <w:sz w:val="21"/>
          <w:szCs w:val="21"/>
        </w:rPr>
        <w:t>Network Special Education Coordinator to absorb some of the operations and compliance work within the portfolios of our Special Education Directors</w:t>
      </w:r>
      <w:r w:rsidR="003F793F">
        <w:rPr>
          <w:rFonts w:asciiTheme="majorHAnsi" w:eastAsia="Calibri" w:hAnsiTheme="majorHAnsi" w:cstheme="majorHAnsi"/>
          <w:sz w:val="21"/>
          <w:szCs w:val="21"/>
        </w:rPr>
        <w:t>. Therefore,</w:t>
      </w:r>
      <w:r w:rsidRPr="00676632">
        <w:rPr>
          <w:rFonts w:asciiTheme="majorHAnsi" w:eastAsia="Calibri" w:hAnsiTheme="majorHAnsi" w:cstheme="majorHAnsi"/>
          <w:sz w:val="21"/>
          <w:szCs w:val="21"/>
        </w:rPr>
        <w:t xml:space="preserve"> Special Education Directors can focus more on coaching and developing our inclusion teachers to increase their capacity of serving students with IEPs in our inclusion model. </w:t>
      </w:r>
    </w:p>
    <w:p w14:paraId="0DCF7479" w14:textId="77777777" w:rsidR="00425D91" w:rsidRPr="00676632" w:rsidRDefault="00425D91">
      <w:pPr>
        <w:widowControl w:val="0"/>
        <w:tabs>
          <w:tab w:val="left" w:pos="320"/>
        </w:tabs>
        <w:spacing w:before="1" w:line="240" w:lineRule="auto"/>
        <w:ind w:left="720" w:right="117"/>
        <w:rPr>
          <w:rFonts w:asciiTheme="majorHAnsi" w:eastAsia="Calibri" w:hAnsiTheme="majorHAnsi" w:cstheme="majorHAnsi"/>
          <w:sz w:val="21"/>
          <w:szCs w:val="21"/>
        </w:rPr>
      </w:pPr>
    </w:p>
    <w:tbl>
      <w:tblPr>
        <w:tblStyle w:val="a"/>
        <w:tblW w:w="925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9"/>
        <w:gridCol w:w="1433"/>
        <w:gridCol w:w="4230"/>
      </w:tblGrid>
      <w:tr w:rsidR="00425D91" w:rsidRPr="00676632" w14:paraId="2AF6E9BF" w14:textId="77777777" w:rsidTr="005B482F">
        <w:trPr>
          <w:trHeight w:val="355"/>
        </w:trPr>
        <w:tc>
          <w:tcPr>
            <w:tcW w:w="3589" w:type="dxa"/>
            <w:vAlign w:val="center"/>
          </w:tcPr>
          <w:p w14:paraId="13798FD3" w14:textId="77777777" w:rsidR="00425D91" w:rsidRPr="00676632" w:rsidRDefault="00B2403F" w:rsidP="00676632">
            <w:pPr>
              <w:widowControl w:val="0"/>
              <w:ind w:left="103"/>
              <w:rPr>
                <w:rFonts w:asciiTheme="majorHAnsi" w:eastAsia="Calibri" w:hAnsiTheme="majorHAnsi" w:cstheme="majorHAnsi"/>
                <w:b/>
                <w:sz w:val="21"/>
                <w:szCs w:val="21"/>
              </w:rPr>
            </w:pPr>
            <w:r w:rsidRPr="00676632">
              <w:rPr>
                <w:rFonts w:asciiTheme="majorHAnsi" w:eastAsia="Calibri" w:hAnsiTheme="majorHAnsi" w:cstheme="majorHAnsi"/>
                <w:b/>
                <w:sz w:val="21"/>
                <w:szCs w:val="21"/>
              </w:rPr>
              <w:t>FY21 budget item</w:t>
            </w:r>
          </w:p>
        </w:tc>
        <w:tc>
          <w:tcPr>
            <w:tcW w:w="1433" w:type="dxa"/>
            <w:vAlign w:val="center"/>
          </w:tcPr>
          <w:p w14:paraId="398F564A" w14:textId="77777777" w:rsidR="00425D91" w:rsidRPr="00676632" w:rsidRDefault="00B2403F" w:rsidP="00676632">
            <w:pPr>
              <w:widowControl w:val="0"/>
              <w:ind w:left="103"/>
              <w:rPr>
                <w:rFonts w:asciiTheme="majorHAnsi" w:eastAsia="Calibri" w:hAnsiTheme="majorHAnsi" w:cstheme="majorHAnsi"/>
                <w:b/>
                <w:sz w:val="21"/>
                <w:szCs w:val="21"/>
              </w:rPr>
            </w:pPr>
            <w:r w:rsidRPr="00676632">
              <w:rPr>
                <w:rFonts w:asciiTheme="majorHAnsi" w:eastAsia="Calibri" w:hAnsiTheme="majorHAnsi" w:cstheme="majorHAnsi"/>
                <w:b/>
                <w:sz w:val="21"/>
                <w:szCs w:val="21"/>
              </w:rPr>
              <w:t>Amount</w:t>
            </w:r>
          </w:p>
        </w:tc>
        <w:tc>
          <w:tcPr>
            <w:tcW w:w="4230" w:type="dxa"/>
            <w:vAlign w:val="center"/>
          </w:tcPr>
          <w:p w14:paraId="4AEE170B" w14:textId="77777777" w:rsidR="00425D91" w:rsidRPr="00676632" w:rsidRDefault="00B2403F" w:rsidP="00676632">
            <w:pPr>
              <w:widowControl w:val="0"/>
              <w:ind w:left="100"/>
              <w:rPr>
                <w:rFonts w:asciiTheme="majorHAnsi" w:eastAsia="Calibri" w:hAnsiTheme="majorHAnsi" w:cstheme="majorHAnsi"/>
                <w:b/>
                <w:sz w:val="21"/>
                <w:szCs w:val="21"/>
              </w:rPr>
            </w:pPr>
            <w:r w:rsidRPr="00676632">
              <w:rPr>
                <w:rFonts w:asciiTheme="majorHAnsi" w:eastAsia="Calibri" w:hAnsiTheme="majorHAnsi" w:cstheme="majorHAnsi"/>
                <w:b/>
                <w:sz w:val="21"/>
                <w:szCs w:val="21"/>
              </w:rPr>
              <w:t>Foundation Category</w:t>
            </w:r>
          </w:p>
        </w:tc>
      </w:tr>
      <w:tr w:rsidR="00425D91" w:rsidRPr="00676632" w14:paraId="02B07BEB" w14:textId="77777777" w:rsidTr="005B482F">
        <w:trPr>
          <w:trHeight w:val="665"/>
        </w:trPr>
        <w:tc>
          <w:tcPr>
            <w:tcW w:w="3589" w:type="dxa"/>
            <w:vAlign w:val="center"/>
          </w:tcPr>
          <w:p w14:paraId="5D721BAD" w14:textId="77777777" w:rsidR="00425D91" w:rsidRPr="00676632" w:rsidRDefault="00B2403F" w:rsidP="00676632">
            <w:pPr>
              <w:widowControl w:val="0"/>
              <w:spacing w:line="219" w:lineRule="auto"/>
              <w:ind w:left="75"/>
              <w:rPr>
                <w:rFonts w:asciiTheme="majorHAnsi" w:eastAsia="Calibri" w:hAnsiTheme="majorHAnsi" w:cstheme="majorHAnsi"/>
                <w:sz w:val="21"/>
                <w:szCs w:val="21"/>
              </w:rPr>
            </w:pPr>
            <w:r w:rsidRPr="00676632">
              <w:rPr>
                <w:rFonts w:asciiTheme="majorHAnsi" w:eastAsia="Calibri" w:hAnsiTheme="majorHAnsi" w:cstheme="majorHAnsi"/>
                <w:sz w:val="21"/>
                <w:szCs w:val="21"/>
              </w:rPr>
              <w:t>Special Education Teachers (2)</w:t>
            </w:r>
          </w:p>
        </w:tc>
        <w:tc>
          <w:tcPr>
            <w:tcW w:w="1433" w:type="dxa"/>
            <w:vAlign w:val="center"/>
          </w:tcPr>
          <w:p w14:paraId="7D9CAD23" w14:textId="77777777" w:rsidR="00425D91" w:rsidRPr="00676632" w:rsidRDefault="00B2403F" w:rsidP="00676632">
            <w:pPr>
              <w:widowControl w:val="0"/>
              <w:spacing w:line="219" w:lineRule="auto"/>
              <w:ind w:left="103"/>
              <w:rPr>
                <w:rFonts w:asciiTheme="majorHAnsi" w:eastAsia="Calibri" w:hAnsiTheme="majorHAnsi" w:cstheme="majorHAnsi"/>
                <w:sz w:val="21"/>
                <w:szCs w:val="21"/>
              </w:rPr>
            </w:pPr>
            <w:r w:rsidRPr="00676632">
              <w:rPr>
                <w:rFonts w:asciiTheme="majorHAnsi" w:eastAsia="Calibri" w:hAnsiTheme="majorHAnsi" w:cstheme="majorHAnsi"/>
                <w:sz w:val="21"/>
                <w:szCs w:val="21"/>
              </w:rPr>
              <w:t>100,000</w:t>
            </w:r>
          </w:p>
        </w:tc>
        <w:tc>
          <w:tcPr>
            <w:tcW w:w="4230" w:type="dxa"/>
            <w:vAlign w:val="center"/>
          </w:tcPr>
          <w:p w14:paraId="7EAB0A20" w14:textId="77777777" w:rsidR="00425D91" w:rsidRPr="00676632" w:rsidRDefault="00B2403F" w:rsidP="00676632">
            <w:pPr>
              <w:widowControl w:val="0"/>
              <w:spacing w:line="219" w:lineRule="auto"/>
              <w:ind w:left="100"/>
              <w:rPr>
                <w:rFonts w:asciiTheme="majorHAnsi" w:eastAsia="Calibri" w:hAnsiTheme="majorHAnsi" w:cstheme="majorHAnsi"/>
                <w:sz w:val="21"/>
                <w:szCs w:val="21"/>
              </w:rPr>
            </w:pPr>
            <w:r w:rsidRPr="00676632">
              <w:rPr>
                <w:rFonts w:asciiTheme="majorHAnsi" w:eastAsia="Calibri" w:hAnsiTheme="majorHAnsi" w:cstheme="majorHAnsi"/>
                <w:sz w:val="21"/>
                <w:szCs w:val="21"/>
              </w:rPr>
              <w:t>Classroom &amp; Specialist Teachers, Employee Benefits / Fixed Charges</w:t>
            </w:r>
          </w:p>
        </w:tc>
      </w:tr>
      <w:tr w:rsidR="00425D91" w:rsidRPr="00676632" w14:paraId="37EB36A6" w14:textId="77777777" w:rsidTr="005B482F">
        <w:trPr>
          <w:trHeight w:val="638"/>
        </w:trPr>
        <w:tc>
          <w:tcPr>
            <w:tcW w:w="3589" w:type="dxa"/>
            <w:vAlign w:val="center"/>
          </w:tcPr>
          <w:p w14:paraId="478E9773" w14:textId="64822B45" w:rsidR="00425D91" w:rsidRPr="00676632" w:rsidRDefault="00B2403F" w:rsidP="00676632">
            <w:pPr>
              <w:widowControl w:val="0"/>
              <w:spacing w:line="219" w:lineRule="auto"/>
              <w:ind w:left="75"/>
              <w:rPr>
                <w:rFonts w:asciiTheme="majorHAnsi" w:eastAsia="Calibri" w:hAnsiTheme="majorHAnsi" w:cstheme="majorHAnsi"/>
                <w:sz w:val="21"/>
                <w:szCs w:val="21"/>
              </w:rPr>
            </w:pPr>
            <w:r w:rsidRPr="00676632">
              <w:rPr>
                <w:rFonts w:asciiTheme="majorHAnsi" w:eastAsia="Calibri" w:hAnsiTheme="majorHAnsi" w:cstheme="majorHAnsi"/>
                <w:sz w:val="21"/>
                <w:szCs w:val="21"/>
              </w:rPr>
              <w:t>Network Special Education Coordinator (</w:t>
            </w:r>
            <w:r w:rsidR="00676632" w:rsidRPr="00676632">
              <w:rPr>
                <w:rFonts w:asciiTheme="majorHAnsi" w:eastAsia="Calibri" w:hAnsiTheme="majorHAnsi" w:cstheme="majorHAnsi"/>
                <w:sz w:val="21"/>
                <w:szCs w:val="21"/>
              </w:rPr>
              <w:t>1</w:t>
            </w:r>
            <w:r w:rsidRPr="00676632">
              <w:rPr>
                <w:rFonts w:asciiTheme="majorHAnsi" w:eastAsia="Calibri" w:hAnsiTheme="majorHAnsi" w:cstheme="majorHAnsi"/>
                <w:sz w:val="21"/>
                <w:szCs w:val="21"/>
              </w:rPr>
              <w:t>)</w:t>
            </w:r>
          </w:p>
        </w:tc>
        <w:tc>
          <w:tcPr>
            <w:tcW w:w="1433" w:type="dxa"/>
            <w:vAlign w:val="center"/>
          </w:tcPr>
          <w:p w14:paraId="4454EFA5" w14:textId="77777777" w:rsidR="00425D91" w:rsidRPr="00676632" w:rsidRDefault="00B2403F" w:rsidP="00676632">
            <w:pPr>
              <w:widowControl w:val="0"/>
              <w:spacing w:line="219" w:lineRule="auto"/>
              <w:ind w:left="103"/>
              <w:rPr>
                <w:rFonts w:asciiTheme="majorHAnsi" w:eastAsia="Calibri" w:hAnsiTheme="majorHAnsi" w:cstheme="majorHAnsi"/>
                <w:sz w:val="21"/>
                <w:szCs w:val="21"/>
              </w:rPr>
            </w:pPr>
            <w:r w:rsidRPr="00676632">
              <w:rPr>
                <w:rFonts w:asciiTheme="majorHAnsi" w:eastAsia="Calibri" w:hAnsiTheme="majorHAnsi" w:cstheme="majorHAnsi"/>
                <w:sz w:val="21"/>
                <w:szCs w:val="21"/>
              </w:rPr>
              <w:t>100,000</w:t>
            </w:r>
          </w:p>
        </w:tc>
        <w:tc>
          <w:tcPr>
            <w:tcW w:w="4230" w:type="dxa"/>
            <w:vAlign w:val="center"/>
          </w:tcPr>
          <w:p w14:paraId="097A67C2" w14:textId="77777777" w:rsidR="00425D91" w:rsidRPr="00676632" w:rsidRDefault="00B2403F" w:rsidP="00676632">
            <w:pPr>
              <w:widowControl w:val="0"/>
              <w:spacing w:line="219" w:lineRule="auto"/>
              <w:ind w:left="100"/>
              <w:rPr>
                <w:rFonts w:asciiTheme="majorHAnsi" w:eastAsia="Calibri" w:hAnsiTheme="majorHAnsi" w:cstheme="majorHAnsi"/>
                <w:sz w:val="21"/>
                <w:szCs w:val="21"/>
              </w:rPr>
            </w:pPr>
            <w:r w:rsidRPr="00676632">
              <w:rPr>
                <w:rFonts w:asciiTheme="majorHAnsi" w:eastAsia="Calibri" w:hAnsiTheme="majorHAnsi" w:cstheme="majorHAnsi"/>
                <w:sz w:val="21"/>
                <w:szCs w:val="21"/>
              </w:rPr>
              <w:t>Classroom &amp; Specialist Teachers, Employee Benefits / Fixed Charges</w:t>
            </w:r>
          </w:p>
        </w:tc>
      </w:tr>
      <w:tr w:rsidR="00425D91" w:rsidRPr="00676632" w14:paraId="6FC79FC6" w14:textId="77777777" w:rsidTr="005B482F">
        <w:trPr>
          <w:trHeight w:val="615"/>
        </w:trPr>
        <w:tc>
          <w:tcPr>
            <w:tcW w:w="5022" w:type="dxa"/>
            <w:gridSpan w:val="2"/>
            <w:tcBorders>
              <w:top w:val="single" w:sz="6" w:space="0" w:color="000000"/>
            </w:tcBorders>
            <w:vAlign w:val="center"/>
          </w:tcPr>
          <w:p w14:paraId="559C487C" w14:textId="77777777" w:rsidR="00425D91" w:rsidRPr="00676632" w:rsidRDefault="00B2403F" w:rsidP="00676632">
            <w:pPr>
              <w:widowControl w:val="0"/>
              <w:ind w:left="103"/>
              <w:rPr>
                <w:rFonts w:asciiTheme="majorHAnsi" w:eastAsia="Calibri" w:hAnsiTheme="majorHAnsi" w:cstheme="majorHAnsi"/>
                <w:b/>
                <w:sz w:val="21"/>
                <w:szCs w:val="21"/>
              </w:rPr>
            </w:pPr>
            <w:r w:rsidRPr="00676632">
              <w:rPr>
                <w:rFonts w:asciiTheme="majorHAnsi" w:eastAsia="Calibri" w:hAnsiTheme="majorHAnsi" w:cstheme="majorHAnsi"/>
                <w:b/>
                <w:sz w:val="21"/>
                <w:szCs w:val="21"/>
              </w:rPr>
              <w:t>Evidence-based program identified by the Department:</w:t>
            </w:r>
          </w:p>
        </w:tc>
        <w:tc>
          <w:tcPr>
            <w:tcW w:w="4230" w:type="dxa"/>
            <w:tcBorders>
              <w:top w:val="single" w:sz="6" w:space="0" w:color="000000"/>
            </w:tcBorders>
            <w:vAlign w:val="center"/>
          </w:tcPr>
          <w:p w14:paraId="67959024" w14:textId="77777777" w:rsidR="00425D91" w:rsidRPr="00676632" w:rsidRDefault="00B2403F" w:rsidP="00676632">
            <w:pPr>
              <w:widowControl w:val="0"/>
              <w:ind w:left="100"/>
              <w:rPr>
                <w:rFonts w:asciiTheme="majorHAnsi" w:eastAsia="Calibri" w:hAnsiTheme="majorHAnsi" w:cstheme="majorHAnsi"/>
                <w:sz w:val="21"/>
                <w:szCs w:val="21"/>
              </w:rPr>
            </w:pPr>
            <w:r w:rsidRPr="00676632">
              <w:rPr>
                <w:rFonts w:asciiTheme="majorHAnsi" w:eastAsia="Calibri" w:hAnsiTheme="majorHAnsi" w:cstheme="majorHAnsi"/>
                <w:sz w:val="21"/>
                <w:szCs w:val="21"/>
              </w:rPr>
              <w:t>Inclusion/co-teaching for students with disabilities</w:t>
            </w:r>
          </w:p>
        </w:tc>
      </w:tr>
      <w:tr w:rsidR="00425D91" w:rsidRPr="00676632" w14:paraId="2280FBAF" w14:textId="77777777" w:rsidTr="005B482F">
        <w:trPr>
          <w:trHeight w:val="357"/>
        </w:trPr>
        <w:tc>
          <w:tcPr>
            <w:tcW w:w="5022" w:type="dxa"/>
            <w:gridSpan w:val="2"/>
            <w:vAlign w:val="center"/>
          </w:tcPr>
          <w:p w14:paraId="584961F2" w14:textId="77777777" w:rsidR="00425D91" w:rsidRPr="00676632" w:rsidRDefault="00B2403F" w:rsidP="00676632">
            <w:pPr>
              <w:widowControl w:val="0"/>
              <w:ind w:left="103"/>
              <w:rPr>
                <w:rFonts w:asciiTheme="majorHAnsi" w:eastAsia="Calibri" w:hAnsiTheme="majorHAnsi" w:cstheme="majorHAnsi"/>
                <w:b/>
                <w:sz w:val="21"/>
                <w:szCs w:val="21"/>
              </w:rPr>
            </w:pPr>
            <w:r w:rsidRPr="00676632">
              <w:rPr>
                <w:rFonts w:asciiTheme="majorHAnsi" w:eastAsia="Calibri" w:hAnsiTheme="majorHAnsi" w:cstheme="majorHAnsi"/>
                <w:b/>
                <w:sz w:val="21"/>
                <w:szCs w:val="21"/>
              </w:rPr>
              <w:lastRenderedPageBreak/>
              <w:t>SOA program categories:</w:t>
            </w:r>
          </w:p>
        </w:tc>
        <w:tc>
          <w:tcPr>
            <w:tcW w:w="4230" w:type="dxa"/>
            <w:vAlign w:val="center"/>
          </w:tcPr>
          <w:p w14:paraId="123F53DD" w14:textId="77777777" w:rsidR="00425D91" w:rsidRPr="00676632" w:rsidRDefault="00B2403F" w:rsidP="00676632">
            <w:pPr>
              <w:widowControl w:val="0"/>
              <w:ind w:left="100"/>
              <w:rPr>
                <w:rFonts w:asciiTheme="majorHAnsi" w:eastAsia="Calibri" w:hAnsiTheme="majorHAnsi" w:cstheme="majorHAnsi"/>
                <w:sz w:val="21"/>
                <w:szCs w:val="21"/>
              </w:rPr>
            </w:pPr>
            <w:r w:rsidRPr="00676632">
              <w:rPr>
                <w:rFonts w:asciiTheme="majorHAnsi" w:eastAsia="Calibri" w:hAnsiTheme="majorHAnsi" w:cstheme="majorHAnsi"/>
                <w:sz w:val="21"/>
                <w:szCs w:val="21"/>
              </w:rPr>
              <w:t>D (hiring school personnel) and E (PD)</w:t>
            </w:r>
          </w:p>
        </w:tc>
      </w:tr>
    </w:tbl>
    <w:p w14:paraId="3B66EBF9" w14:textId="5FCAA31F" w:rsidR="005506DB" w:rsidRDefault="00B2403F" w:rsidP="005506DB">
      <w:pPr>
        <w:widowControl w:val="0"/>
        <w:numPr>
          <w:ilvl w:val="0"/>
          <w:numId w:val="1"/>
        </w:numPr>
        <w:spacing w:before="280"/>
        <w:ind w:left="360"/>
        <w:rPr>
          <w:rFonts w:asciiTheme="majorHAnsi" w:eastAsia="Trebuchet MS" w:hAnsiTheme="majorHAnsi" w:cstheme="majorHAnsi"/>
          <w:b/>
          <w:sz w:val="21"/>
          <w:szCs w:val="21"/>
        </w:rPr>
      </w:pPr>
      <w:r w:rsidRPr="00676632">
        <w:rPr>
          <w:rFonts w:asciiTheme="majorHAnsi" w:eastAsia="Trebuchet MS" w:hAnsiTheme="majorHAnsi" w:cstheme="majorHAnsi"/>
          <w:b/>
          <w:sz w:val="21"/>
          <w:szCs w:val="21"/>
        </w:rPr>
        <w:t>Increased personnel and services to support holistic student needs (C and D)</w:t>
      </w:r>
    </w:p>
    <w:p w14:paraId="248FA709" w14:textId="4A73E441" w:rsidR="00425D91" w:rsidRPr="00676632" w:rsidRDefault="005506DB" w:rsidP="005506DB">
      <w:pPr>
        <w:widowControl w:val="0"/>
        <w:spacing w:before="280" w:after="400"/>
        <w:ind w:left="360"/>
        <w:rPr>
          <w:rFonts w:asciiTheme="majorHAnsi" w:eastAsia="Calibri" w:hAnsiTheme="majorHAnsi" w:cstheme="majorHAnsi"/>
          <w:sz w:val="21"/>
          <w:szCs w:val="21"/>
        </w:rPr>
      </w:pPr>
      <w:r w:rsidRPr="005506DB">
        <w:rPr>
          <w:rFonts w:asciiTheme="majorHAnsi" w:eastAsia="Calibri" w:hAnsiTheme="majorHAnsi" w:cstheme="majorHAnsi"/>
          <w:sz w:val="21"/>
          <w:szCs w:val="21"/>
        </w:rPr>
        <w:t>To</w:t>
      </w:r>
      <w:r w:rsidR="00B2403F" w:rsidRPr="005506DB">
        <w:rPr>
          <w:rFonts w:asciiTheme="majorHAnsi" w:eastAsia="Calibri" w:hAnsiTheme="majorHAnsi" w:cstheme="majorHAnsi"/>
          <w:sz w:val="21"/>
          <w:szCs w:val="21"/>
        </w:rPr>
        <w:t xml:space="preserve"> better support the holistic needs of students and their families, starting in FY21, we invested in a Network School Psychologist. This role will work with our student support teams to better assess and serve the needs of students. We believe this will ultimately help us increase engagement and attendance of our most vulnerable students because we will be providing more robus</w:t>
      </w:r>
      <w:r>
        <w:rPr>
          <w:rFonts w:asciiTheme="majorHAnsi" w:eastAsia="Calibri" w:hAnsiTheme="majorHAnsi" w:cstheme="majorHAnsi"/>
          <w:sz w:val="21"/>
          <w:szCs w:val="21"/>
        </w:rPr>
        <w:t>t</w:t>
      </w:r>
      <w:r w:rsidR="00B2403F" w:rsidRPr="005506DB">
        <w:rPr>
          <w:rFonts w:asciiTheme="majorHAnsi" w:eastAsia="Calibri" w:hAnsiTheme="majorHAnsi" w:cstheme="majorHAnsi"/>
          <w:sz w:val="21"/>
          <w:szCs w:val="21"/>
        </w:rPr>
        <w:t xml:space="preserve"> supports. </w:t>
      </w:r>
    </w:p>
    <w:tbl>
      <w:tblPr>
        <w:tblStyle w:val="a0"/>
        <w:tblW w:w="925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672"/>
        <w:gridCol w:w="1350"/>
        <w:gridCol w:w="4230"/>
      </w:tblGrid>
      <w:tr w:rsidR="00425D91" w:rsidRPr="00676632" w14:paraId="4F76B95F" w14:textId="77777777" w:rsidTr="005B482F">
        <w:trPr>
          <w:trHeight w:val="377"/>
        </w:trPr>
        <w:tc>
          <w:tcPr>
            <w:tcW w:w="3672" w:type="dxa"/>
            <w:vAlign w:val="center"/>
          </w:tcPr>
          <w:p w14:paraId="3607C921" w14:textId="77777777" w:rsidR="00425D91" w:rsidRPr="002D51CC" w:rsidRDefault="00B2403F" w:rsidP="005506DB">
            <w:pPr>
              <w:widowControl w:val="0"/>
              <w:spacing w:line="213" w:lineRule="auto"/>
              <w:ind w:left="103"/>
              <w:rPr>
                <w:rFonts w:asciiTheme="majorHAnsi" w:eastAsia="Calibri" w:hAnsiTheme="majorHAnsi" w:cstheme="majorHAnsi"/>
                <w:b/>
                <w:sz w:val="21"/>
                <w:szCs w:val="21"/>
              </w:rPr>
            </w:pPr>
            <w:r w:rsidRPr="002D51CC">
              <w:rPr>
                <w:rFonts w:asciiTheme="majorHAnsi" w:eastAsia="Calibri" w:hAnsiTheme="majorHAnsi" w:cstheme="majorHAnsi"/>
                <w:b/>
                <w:sz w:val="21"/>
                <w:szCs w:val="21"/>
              </w:rPr>
              <w:t xml:space="preserve">FY21 budget item </w:t>
            </w:r>
          </w:p>
        </w:tc>
        <w:tc>
          <w:tcPr>
            <w:tcW w:w="1350" w:type="dxa"/>
            <w:vAlign w:val="center"/>
          </w:tcPr>
          <w:p w14:paraId="63BBCE0E" w14:textId="77777777" w:rsidR="00425D91" w:rsidRPr="002D51CC" w:rsidRDefault="00B2403F" w:rsidP="005506DB">
            <w:pPr>
              <w:widowControl w:val="0"/>
              <w:spacing w:line="213" w:lineRule="auto"/>
              <w:ind w:left="103"/>
              <w:rPr>
                <w:rFonts w:asciiTheme="majorHAnsi" w:eastAsia="Calibri" w:hAnsiTheme="majorHAnsi" w:cstheme="majorHAnsi"/>
                <w:b/>
                <w:sz w:val="21"/>
                <w:szCs w:val="21"/>
              </w:rPr>
            </w:pPr>
            <w:r w:rsidRPr="002D51CC">
              <w:rPr>
                <w:rFonts w:asciiTheme="majorHAnsi" w:eastAsia="Calibri" w:hAnsiTheme="majorHAnsi" w:cstheme="majorHAnsi"/>
                <w:b/>
                <w:sz w:val="21"/>
                <w:szCs w:val="21"/>
              </w:rPr>
              <w:t>Amount</w:t>
            </w:r>
          </w:p>
        </w:tc>
        <w:tc>
          <w:tcPr>
            <w:tcW w:w="4230" w:type="dxa"/>
            <w:vAlign w:val="center"/>
          </w:tcPr>
          <w:p w14:paraId="36DCCB79" w14:textId="77777777" w:rsidR="00425D91" w:rsidRPr="002D51CC" w:rsidRDefault="00B2403F" w:rsidP="005506DB">
            <w:pPr>
              <w:widowControl w:val="0"/>
              <w:spacing w:line="213" w:lineRule="auto"/>
              <w:ind w:left="100"/>
              <w:rPr>
                <w:rFonts w:asciiTheme="majorHAnsi" w:eastAsia="Calibri" w:hAnsiTheme="majorHAnsi" w:cstheme="majorHAnsi"/>
                <w:b/>
                <w:sz w:val="21"/>
                <w:szCs w:val="21"/>
              </w:rPr>
            </w:pPr>
            <w:r w:rsidRPr="002D51CC">
              <w:rPr>
                <w:rFonts w:asciiTheme="majorHAnsi" w:eastAsia="Calibri" w:hAnsiTheme="majorHAnsi" w:cstheme="majorHAnsi"/>
                <w:b/>
                <w:sz w:val="21"/>
                <w:szCs w:val="21"/>
              </w:rPr>
              <w:t>Foundation Category</w:t>
            </w:r>
          </w:p>
        </w:tc>
      </w:tr>
      <w:tr w:rsidR="00425D91" w:rsidRPr="00676632" w14:paraId="26FAE73C" w14:textId="77777777" w:rsidTr="005B482F">
        <w:trPr>
          <w:trHeight w:val="465"/>
        </w:trPr>
        <w:tc>
          <w:tcPr>
            <w:tcW w:w="3672" w:type="dxa"/>
            <w:vAlign w:val="center"/>
          </w:tcPr>
          <w:p w14:paraId="18B2583E" w14:textId="77777777" w:rsidR="00425D91" w:rsidRPr="002D51CC" w:rsidRDefault="00B2403F" w:rsidP="005506DB">
            <w:pPr>
              <w:widowControl w:val="0"/>
              <w:spacing w:line="211" w:lineRule="auto"/>
              <w:ind w:left="103"/>
              <w:rPr>
                <w:rFonts w:asciiTheme="majorHAnsi" w:eastAsia="Calibri" w:hAnsiTheme="majorHAnsi" w:cstheme="majorHAnsi"/>
                <w:sz w:val="21"/>
                <w:szCs w:val="21"/>
              </w:rPr>
            </w:pPr>
            <w:r w:rsidRPr="002D51CC">
              <w:rPr>
                <w:rFonts w:asciiTheme="majorHAnsi" w:eastAsia="Calibri" w:hAnsiTheme="majorHAnsi" w:cstheme="majorHAnsi"/>
                <w:sz w:val="21"/>
                <w:szCs w:val="21"/>
              </w:rPr>
              <w:t>Network School Psychologist (1)</w:t>
            </w:r>
          </w:p>
        </w:tc>
        <w:tc>
          <w:tcPr>
            <w:tcW w:w="1350" w:type="dxa"/>
            <w:vAlign w:val="center"/>
          </w:tcPr>
          <w:p w14:paraId="0CEFF720" w14:textId="77777777" w:rsidR="00425D91" w:rsidRPr="002D51CC" w:rsidRDefault="00B2403F" w:rsidP="005506DB">
            <w:pPr>
              <w:widowControl w:val="0"/>
              <w:spacing w:line="211" w:lineRule="auto"/>
              <w:ind w:left="103"/>
              <w:rPr>
                <w:rFonts w:asciiTheme="majorHAnsi" w:eastAsia="Calibri" w:hAnsiTheme="majorHAnsi" w:cstheme="majorHAnsi"/>
                <w:sz w:val="21"/>
                <w:szCs w:val="21"/>
              </w:rPr>
            </w:pPr>
            <w:r w:rsidRPr="002D51CC">
              <w:rPr>
                <w:rFonts w:asciiTheme="majorHAnsi" w:eastAsia="Calibri" w:hAnsiTheme="majorHAnsi" w:cstheme="majorHAnsi"/>
                <w:sz w:val="21"/>
                <w:szCs w:val="21"/>
              </w:rPr>
              <w:t>100,000</w:t>
            </w:r>
          </w:p>
        </w:tc>
        <w:tc>
          <w:tcPr>
            <w:tcW w:w="4230" w:type="dxa"/>
            <w:vAlign w:val="center"/>
          </w:tcPr>
          <w:p w14:paraId="6CE84DBB" w14:textId="77777777" w:rsidR="00425D91" w:rsidRPr="002D51CC" w:rsidRDefault="00B2403F" w:rsidP="005506DB">
            <w:pPr>
              <w:widowControl w:val="0"/>
              <w:spacing w:line="211" w:lineRule="auto"/>
              <w:ind w:left="100"/>
              <w:rPr>
                <w:rFonts w:asciiTheme="majorHAnsi" w:eastAsia="Calibri" w:hAnsiTheme="majorHAnsi" w:cstheme="majorHAnsi"/>
                <w:sz w:val="21"/>
                <w:szCs w:val="21"/>
              </w:rPr>
            </w:pPr>
            <w:r w:rsidRPr="002D51CC">
              <w:rPr>
                <w:rFonts w:asciiTheme="majorHAnsi" w:eastAsia="Calibri" w:hAnsiTheme="majorHAnsi" w:cstheme="majorHAnsi"/>
                <w:sz w:val="21"/>
                <w:szCs w:val="21"/>
              </w:rPr>
              <w:t xml:space="preserve">D hiring School Personnel </w:t>
            </w:r>
          </w:p>
        </w:tc>
      </w:tr>
      <w:tr w:rsidR="00425D91" w:rsidRPr="00676632" w14:paraId="02289E9C" w14:textId="77777777" w:rsidTr="005B482F">
        <w:trPr>
          <w:trHeight w:val="570"/>
        </w:trPr>
        <w:tc>
          <w:tcPr>
            <w:tcW w:w="5022" w:type="dxa"/>
            <w:gridSpan w:val="2"/>
            <w:tcBorders>
              <w:top w:val="single" w:sz="6" w:space="0" w:color="000000"/>
            </w:tcBorders>
            <w:vAlign w:val="center"/>
          </w:tcPr>
          <w:p w14:paraId="0285BCA5" w14:textId="77777777" w:rsidR="00425D91" w:rsidRPr="002D51CC" w:rsidRDefault="00B2403F" w:rsidP="005506DB">
            <w:pPr>
              <w:widowControl w:val="0"/>
              <w:spacing w:line="213" w:lineRule="auto"/>
              <w:ind w:left="103"/>
              <w:rPr>
                <w:rFonts w:asciiTheme="majorHAnsi" w:eastAsia="Calibri" w:hAnsiTheme="majorHAnsi" w:cstheme="majorHAnsi"/>
                <w:b/>
                <w:sz w:val="21"/>
                <w:szCs w:val="21"/>
              </w:rPr>
            </w:pPr>
            <w:r w:rsidRPr="002D51CC">
              <w:rPr>
                <w:rFonts w:asciiTheme="majorHAnsi" w:eastAsia="Calibri" w:hAnsiTheme="majorHAnsi" w:cstheme="majorHAnsi"/>
                <w:b/>
                <w:sz w:val="21"/>
                <w:szCs w:val="21"/>
              </w:rPr>
              <w:t>Evidence-based program identified by the Department:</w:t>
            </w:r>
          </w:p>
        </w:tc>
        <w:tc>
          <w:tcPr>
            <w:tcW w:w="4230" w:type="dxa"/>
            <w:tcBorders>
              <w:top w:val="single" w:sz="6" w:space="0" w:color="000000"/>
            </w:tcBorders>
            <w:vAlign w:val="center"/>
          </w:tcPr>
          <w:p w14:paraId="5FA2C33B" w14:textId="5F3AA889" w:rsidR="00425D91" w:rsidRPr="002D51CC" w:rsidRDefault="002D51CC" w:rsidP="005506DB">
            <w:pPr>
              <w:widowControl w:val="0"/>
              <w:spacing w:line="213" w:lineRule="auto"/>
              <w:ind w:left="100"/>
              <w:rPr>
                <w:rFonts w:asciiTheme="majorHAnsi" w:eastAsia="Calibri" w:hAnsiTheme="majorHAnsi" w:cstheme="majorHAnsi"/>
                <w:sz w:val="21"/>
                <w:szCs w:val="21"/>
              </w:rPr>
            </w:pPr>
            <w:r>
              <w:rPr>
                <w:rFonts w:asciiTheme="majorHAnsi" w:hAnsiTheme="majorHAnsi" w:cstheme="majorHAnsi"/>
                <w:color w:val="000000"/>
                <w:sz w:val="21"/>
                <w:szCs w:val="21"/>
              </w:rPr>
              <w:t>I</w:t>
            </w:r>
            <w:r w:rsidRPr="002D51CC">
              <w:rPr>
                <w:rFonts w:asciiTheme="majorHAnsi" w:hAnsiTheme="majorHAnsi" w:cstheme="majorHAnsi"/>
                <w:color w:val="000000"/>
                <w:sz w:val="21"/>
                <w:szCs w:val="21"/>
              </w:rPr>
              <w:t>ncreased personnel and services to support holistic student needs</w:t>
            </w:r>
          </w:p>
        </w:tc>
      </w:tr>
      <w:tr w:rsidR="00425D91" w:rsidRPr="00676632" w14:paraId="3A6704E7" w14:textId="77777777" w:rsidTr="005B482F">
        <w:trPr>
          <w:trHeight w:val="422"/>
        </w:trPr>
        <w:tc>
          <w:tcPr>
            <w:tcW w:w="5022" w:type="dxa"/>
            <w:gridSpan w:val="2"/>
            <w:vAlign w:val="center"/>
          </w:tcPr>
          <w:p w14:paraId="6B596790" w14:textId="77777777" w:rsidR="00425D91" w:rsidRPr="002D51CC" w:rsidRDefault="00B2403F" w:rsidP="005506DB">
            <w:pPr>
              <w:widowControl w:val="0"/>
              <w:spacing w:line="213" w:lineRule="auto"/>
              <w:ind w:left="103"/>
              <w:rPr>
                <w:rFonts w:asciiTheme="majorHAnsi" w:eastAsia="Calibri" w:hAnsiTheme="majorHAnsi" w:cstheme="majorHAnsi"/>
                <w:b/>
                <w:sz w:val="21"/>
                <w:szCs w:val="21"/>
              </w:rPr>
            </w:pPr>
            <w:r w:rsidRPr="002D51CC">
              <w:rPr>
                <w:rFonts w:asciiTheme="majorHAnsi" w:eastAsia="Calibri" w:hAnsiTheme="majorHAnsi" w:cstheme="majorHAnsi"/>
                <w:b/>
                <w:sz w:val="21"/>
                <w:szCs w:val="21"/>
              </w:rPr>
              <w:t>SOA program categories:</w:t>
            </w:r>
          </w:p>
        </w:tc>
        <w:tc>
          <w:tcPr>
            <w:tcW w:w="4230" w:type="dxa"/>
            <w:vAlign w:val="center"/>
          </w:tcPr>
          <w:p w14:paraId="5FE6F58D" w14:textId="77777777" w:rsidR="00425D91" w:rsidRPr="002D51CC" w:rsidRDefault="00B2403F" w:rsidP="005506DB">
            <w:pPr>
              <w:widowControl w:val="0"/>
              <w:spacing w:line="213" w:lineRule="auto"/>
              <w:ind w:left="100"/>
              <w:rPr>
                <w:rFonts w:asciiTheme="majorHAnsi" w:eastAsia="Calibri" w:hAnsiTheme="majorHAnsi" w:cstheme="majorHAnsi"/>
                <w:sz w:val="21"/>
                <w:szCs w:val="21"/>
              </w:rPr>
            </w:pPr>
            <w:r w:rsidRPr="002D51CC">
              <w:rPr>
                <w:rFonts w:asciiTheme="majorHAnsi" w:eastAsia="Calibri" w:hAnsiTheme="majorHAnsi" w:cstheme="majorHAnsi"/>
                <w:sz w:val="21"/>
                <w:szCs w:val="21"/>
              </w:rPr>
              <w:t>D (hiring school personnel) and E (PD)</w:t>
            </w:r>
          </w:p>
        </w:tc>
      </w:tr>
    </w:tbl>
    <w:p w14:paraId="1D33F43A" w14:textId="77777777" w:rsidR="00425D91" w:rsidRPr="00676632" w:rsidRDefault="00425D91">
      <w:pPr>
        <w:widowControl w:val="0"/>
        <w:spacing w:before="1" w:line="240" w:lineRule="auto"/>
        <w:rPr>
          <w:rFonts w:asciiTheme="majorHAnsi" w:eastAsia="Calibri" w:hAnsiTheme="majorHAnsi" w:cstheme="majorHAnsi"/>
          <w:sz w:val="21"/>
          <w:szCs w:val="21"/>
        </w:rPr>
      </w:pPr>
    </w:p>
    <w:p w14:paraId="6D2D1488" w14:textId="5B086D8D" w:rsidR="00425D91" w:rsidRPr="005506DB" w:rsidRDefault="00B2403F" w:rsidP="005506DB">
      <w:pPr>
        <w:widowControl w:val="0"/>
        <w:spacing w:line="240" w:lineRule="auto"/>
        <w:rPr>
          <w:rFonts w:asciiTheme="majorHAnsi" w:eastAsia="Calibri" w:hAnsiTheme="majorHAnsi" w:cstheme="majorHAnsi"/>
          <w:b/>
          <w:sz w:val="26"/>
          <w:szCs w:val="26"/>
        </w:rPr>
      </w:pPr>
      <w:r w:rsidRPr="005506DB">
        <w:rPr>
          <w:rFonts w:asciiTheme="majorHAnsi" w:eastAsia="Arial Unicode MS" w:hAnsiTheme="majorHAnsi" w:cstheme="majorHAnsi"/>
          <w:color w:val="2D74B5"/>
          <w:sz w:val="26"/>
          <w:szCs w:val="26"/>
        </w:rPr>
        <w:t xml:space="preserve">→ </w:t>
      </w:r>
      <w:r w:rsidRPr="005506DB">
        <w:rPr>
          <w:rFonts w:asciiTheme="majorHAnsi" w:eastAsia="Calibri" w:hAnsiTheme="majorHAnsi" w:cstheme="majorHAnsi"/>
          <w:b/>
          <w:color w:val="2D74B5"/>
          <w:sz w:val="26"/>
          <w:szCs w:val="26"/>
        </w:rPr>
        <w:t>Commitment 3: Monitoring Success with Outcome Metrics and Targets</w:t>
      </w:r>
    </w:p>
    <w:p w14:paraId="706EA48A" w14:textId="1FD7A0FF" w:rsidR="00425D91" w:rsidRPr="00FE5DF5" w:rsidRDefault="00B2403F" w:rsidP="00FE5DF5">
      <w:pPr>
        <w:widowControl w:val="0"/>
        <w:spacing w:before="148" w:line="240" w:lineRule="auto"/>
        <w:ind w:right="358"/>
        <w:rPr>
          <w:rFonts w:asciiTheme="majorHAnsi" w:eastAsia="Calibri" w:hAnsiTheme="majorHAnsi" w:cstheme="majorHAnsi"/>
          <w:i/>
          <w:color w:val="1F3863"/>
        </w:rPr>
      </w:pPr>
      <w:r w:rsidRPr="005506DB">
        <w:rPr>
          <w:rFonts w:asciiTheme="majorHAnsi" w:eastAsia="Calibri" w:hAnsiTheme="majorHAnsi" w:cstheme="majorHAnsi"/>
          <w:b/>
          <w:color w:val="1F3863"/>
        </w:rPr>
        <w:t xml:space="preserve">What metrics will your charter school use to monitor success in reducing disparities in achievement among student subgroups? Select from the list of Department metrics or provide your own. </w:t>
      </w:r>
    </w:p>
    <w:p w14:paraId="43628583" w14:textId="77777777" w:rsidR="00425D91" w:rsidRPr="00676632" w:rsidRDefault="00425D91">
      <w:pPr>
        <w:widowControl w:val="0"/>
        <w:spacing w:before="8" w:line="240" w:lineRule="auto"/>
        <w:rPr>
          <w:rFonts w:asciiTheme="majorHAnsi" w:eastAsia="Calibri" w:hAnsiTheme="majorHAnsi" w:cstheme="majorHAnsi"/>
          <w:i/>
          <w:sz w:val="21"/>
          <w:szCs w:val="21"/>
        </w:rPr>
      </w:pPr>
    </w:p>
    <w:tbl>
      <w:tblPr>
        <w:tblStyle w:val="a2"/>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590"/>
        <w:gridCol w:w="4680"/>
      </w:tblGrid>
      <w:tr w:rsidR="00425D91" w:rsidRPr="00676632" w14:paraId="572F727A" w14:textId="77777777" w:rsidTr="005B482F">
        <w:trPr>
          <w:trHeight w:val="1028"/>
        </w:trPr>
        <w:tc>
          <w:tcPr>
            <w:tcW w:w="4590" w:type="dxa"/>
          </w:tcPr>
          <w:p w14:paraId="35A8BC2C" w14:textId="77777777" w:rsidR="00425D91" w:rsidRPr="00676632" w:rsidRDefault="00B2403F" w:rsidP="00EE16F0">
            <w:pPr>
              <w:widowControl w:val="0"/>
              <w:numPr>
                <w:ilvl w:val="0"/>
                <w:numId w:val="8"/>
              </w:numPr>
              <w:spacing w:after="240" w:line="211" w:lineRule="auto"/>
              <w:rPr>
                <w:rFonts w:asciiTheme="majorHAnsi" w:hAnsiTheme="majorHAnsi" w:cstheme="majorHAnsi"/>
                <w:sz w:val="21"/>
                <w:szCs w:val="21"/>
              </w:rPr>
            </w:pPr>
            <w:r w:rsidRPr="00676632">
              <w:rPr>
                <w:rFonts w:asciiTheme="majorHAnsi" w:eastAsia="Calibri" w:hAnsiTheme="majorHAnsi" w:cstheme="majorHAnsi"/>
                <w:b/>
                <w:sz w:val="21"/>
                <w:szCs w:val="21"/>
              </w:rPr>
              <w:t>Department outcome metrics:</w:t>
            </w:r>
          </w:p>
          <w:p w14:paraId="2547A5B3" w14:textId="77777777" w:rsidR="00425D91" w:rsidRPr="00676632" w:rsidRDefault="00B2403F" w:rsidP="00EE16F0">
            <w:pPr>
              <w:widowControl w:val="0"/>
              <w:numPr>
                <w:ilvl w:val="1"/>
                <w:numId w:val="8"/>
              </w:numPr>
              <w:tabs>
                <w:tab w:val="left" w:pos="800"/>
              </w:tabs>
              <w:spacing w:line="269"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Improved ELA mean SGP for all </w:t>
            </w:r>
            <w:proofErr w:type="gramStart"/>
            <w:r w:rsidRPr="00676632">
              <w:rPr>
                <w:rFonts w:asciiTheme="majorHAnsi" w:eastAsia="Calibri" w:hAnsiTheme="majorHAnsi" w:cstheme="majorHAnsi"/>
                <w:sz w:val="21"/>
                <w:szCs w:val="21"/>
              </w:rPr>
              <w:t>groups</w:t>
            </w:r>
            <w:proofErr w:type="gramEnd"/>
            <w:r w:rsidRPr="00676632">
              <w:rPr>
                <w:rFonts w:asciiTheme="majorHAnsi" w:eastAsia="Calibri" w:hAnsiTheme="majorHAnsi" w:cstheme="majorHAnsi"/>
                <w:sz w:val="21"/>
                <w:szCs w:val="21"/>
              </w:rPr>
              <w:t xml:space="preserve"> </w:t>
            </w:r>
          </w:p>
          <w:p w14:paraId="48AC82F8" w14:textId="6D5F8F30" w:rsidR="00425D91" w:rsidRPr="00676632" w:rsidRDefault="00B2403F" w:rsidP="00EE16F0">
            <w:pPr>
              <w:widowControl w:val="0"/>
              <w:numPr>
                <w:ilvl w:val="1"/>
                <w:numId w:val="8"/>
              </w:numPr>
              <w:tabs>
                <w:tab w:val="left" w:pos="800"/>
              </w:tabs>
              <w:spacing w:line="269"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Improved Math mean SGP for all </w:t>
            </w:r>
            <w:proofErr w:type="gramStart"/>
            <w:r w:rsidRPr="00676632">
              <w:rPr>
                <w:rFonts w:asciiTheme="majorHAnsi" w:eastAsia="Calibri" w:hAnsiTheme="majorHAnsi" w:cstheme="majorHAnsi"/>
                <w:sz w:val="21"/>
                <w:szCs w:val="21"/>
              </w:rPr>
              <w:t>groups</w:t>
            </w:r>
            <w:proofErr w:type="gramEnd"/>
            <w:r w:rsidRPr="00676632">
              <w:rPr>
                <w:rFonts w:asciiTheme="majorHAnsi" w:eastAsia="Calibri" w:hAnsiTheme="majorHAnsi" w:cstheme="majorHAnsi"/>
                <w:sz w:val="21"/>
                <w:szCs w:val="21"/>
              </w:rPr>
              <w:t xml:space="preserve"> </w:t>
            </w:r>
          </w:p>
          <w:p w14:paraId="1D292DC0" w14:textId="0FDBE9E5" w:rsidR="00425D91" w:rsidRPr="00676632" w:rsidRDefault="00B2403F" w:rsidP="00EE16F0">
            <w:pPr>
              <w:widowControl w:val="0"/>
              <w:numPr>
                <w:ilvl w:val="1"/>
                <w:numId w:val="8"/>
              </w:numPr>
              <w:tabs>
                <w:tab w:val="left" w:pos="800"/>
              </w:tabs>
              <w:spacing w:line="269"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Decreased </w:t>
            </w:r>
            <w:r w:rsidR="00274C5D">
              <w:rPr>
                <w:rFonts w:asciiTheme="majorHAnsi" w:eastAsia="Calibri" w:hAnsiTheme="majorHAnsi" w:cstheme="majorHAnsi"/>
                <w:sz w:val="21"/>
                <w:szCs w:val="21"/>
              </w:rPr>
              <w:t>c</w:t>
            </w:r>
            <w:r w:rsidRPr="00676632">
              <w:rPr>
                <w:rFonts w:asciiTheme="majorHAnsi" w:eastAsia="Calibri" w:hAnsiTheme="majorHAnsi" w:cstheme="majorHAnsi"/>
                <w:sz w:val="21"/>
                <w:szCs w:val="21"/>
              </w:rPr>
              <w:t xml:space="preserve">hronic absenteeism for all </w:t>
            </w:r>
            <w:proofErr w:type="gramStart"/>
            <w:r w:rsidRPr="00676632">
              <w:rPr>
                <w:rFonts w:asciiTheme="majorHAnsi" w:eastAsia="Calibri" w:hAnsiTheme="majorHAnsi" w:cstheme="majorHAnsi"/>
                <w:sz w:val="21"/>
                <w:szCs w:val="21"/>
              </w:rPr>
              <w:t>groups</w:t>
            </w:r>
            <w:proofErr w:type="gramEnd"/>
            <w:r w:rsidRPr="00676632">
              <w:rPr>
                <w:rFonts w:asciiTheme="majorHAnsi" w:eastAsia="Calibri" w:hAnsiTheme="majorHAnsi" w:cstheme="majorHAnsi"/>
                <w:sz w:val="21"/>
                <w:szCs w:val="21"/>
              </w:rPr>
              <w:t xml:space="preserve"> </w:t>
            </w:r>
          </w:p>
          <w:p w14:paraId="4FCCE76E" w14:textId="77777777" w:rsidR="00425D91" w:rsidRPr="00676632" w:rsidRDefault="00425D91" w:rsidP="00EE16F0">
            <w:pPr>
              <w:widowControl w:val="0"/>
              <w:spacing w:line="278" w:lineRule="auto"/>
              <w:ind w:left="531"/>
              <w:rPr>
                <w:rFonts w:asciiTheme="majorHAnsi" w:eastAsia="MS UI Gothic" w:hAnsiTheme="majorHAnsi" w:cstheme="majorHAnsi"/>
                <w:sz w:val="21"/>
                <w:szCs w:val="21"/>
              </w:rPr>
            </w:pPr>
          </w:p>
        </w:tc>
        <w:tc>
          <w:tcPr>
            <w:tcW w:w="4680" w:type="dxa"/>
          </w:tcPr>
          <w:p w14:paraId="0C95501F" w14:textId="28FAADCE" w:rsidR="00425D91" w:rsidRPr="00EE16F0" w:rsidRDefault="00B2403F" w:rsidP="00EE16F0">
            <w:pPr>
              <w:widowControl w:val="0"/>
              <w:spacing w:line="211" w:lineRule="auto"/>
              <w:ind w:left="450" w:hanging="450"/>
              <w:rPr>
                <w:rFonts w:asciiTheme="majorHAnsi" w:eastAsia="Calibri" w:hAnsiTheme="majorHAnsi" w:cstheme="majorHAnsi"/>
                <w:b/>
                <w:sz w:val="21"/>
                <w:szCs w:val="21"/>
              </w:rPr>
            </w:pPr>
            <w:r w:rsidRPr="00676632">
              <w:rPr>
                <w:rFonts w:asciiTheme="majorHAnsi" w:eastAsia="Calibri" w:hAnsiTheme="majorHAnsi" w:cstheme="majorHAnsi"/>
                <w:b/>
                <w:sz w:val="21"/>
                <w:szCs w:val="21"/>
              </w:rPr>
              <w:t xml:space="preserve">    2) Custom metrics (must include targets as well):</w:t>
            </w:r>
          </w:p>
        </w:tc>
      </w:tr>
    </w:tbl>
    <w:p w14:paraId="52479B85" w14:textId="77777777" w:rsidR="00425D91" w:rsidRPr="00676632" w:rsidRDefault="00425D91">
      <w:pPr>
        <w:widowControl w:val="0"/>
        <w:spacing w:before="12" w:line="240" w:lineRule="auto"/>
        <w:rPr>
          <w:rFonts w:asciiTheme="majorHAnsi" w:eastAsia="Calibri" w:hAnsiTheme="majorHAnsi" w:cstheme="majorHAnsi"/>
          <w:i/>
          <w:sz w:val="21"/>
          <w:szCs w:val="21"/>
        </w:rPr>
      </w:pPr>
    </w:p>
    <w:p w14:paraId="2026180F" w14:textId="77777777" w:rsidR="00425D91" w:rsidRPr="005506DB" w:rsidRDefault="00B2403F" w:rsidP="005506DB">
      <w:pPr>
        <w:widowControl w:val="0"/>
        <w:spacing w:line="240" w:lineRule="auto"/>
        <w:rPr>
          <w:rFonts w:asciiTheme="majorHAnsi" w:eastAsia="Calibri" w:hAnsiTheme="majorHAnsi" w:cstheme="majorHAnsi"/>
          <w:b/>
          <w:sz w:val="26"/>
          <w:szCs w:val="26"/>
        </w:rPr>
      </w:pPr>
      <w:r w:rsidRPr="005506DB">
        <w:rPr>
          <w:rFonts w:asciiTheme="majorHAnsi" w:eastAsia="Arial Unicode MS" w:hAnsiTheme="majorHAnsi" w:cstheme="majorHAnsi"/>
          <w:color w:val="2D74B5"/>
          <w:sz w:val="26"/>
          <w:szCs w:val="26"/>
        </w:rPr>
        <w:t xml:space="preserve">→ </w:t>
      </w:r>
      <w:r w:rsidRPr="005506DB">
        <w:rPr>
          <w:rFonts w:asciiTheme="majorHAnsi" w:eastAsia="Calibri" w:hAnsiTheme="majorHAnsi" w:cstheme="majorHAnsi"/>
          <w:b/>
          <w:color w:val="2D74B5"/>
          <w:sz w:val="26"/>
          <w:szCs w:val="26"/>
        </w:rPr>
        <w:t>Commitment 4: Engaging All Families</w:t>
      </w:r>
    </w:p>
    <w:p w14:paraId="7075A9A6" w14:textId="77777777" w:rsidR="00425D91" w:rsidRPr="005506DB" w:rsidRDefault="00B2403F" w:rsidP="005506DB">
      <w:pPr>
        <w:widowControl w:val="0"/>
        <w:spacing w:before="73" w:line="240" w:lineRule="auto"/>
        <w:ind w:right="221"/>
        <w:rPr>
          <w:rFonts w:asciiTheme="majorHAnsi" w:eastAsia="Calibri" w:hAnsiTheme="majorHAnsi" w:cstheme="majorHAnsi"/>
          <w:b/>
        </w:rPr>
      </w:pPr>
      <w:r w:rsidRPr="005506DB">
        <w:rPr>
          <w:rFonts w:asciiTheme="majorHAnsi" w:eastAsia="Calibri" w:hAnsiTheme="majorHAnsi" w:cstheme="majorHAnsi"/>
          <w:b/>
          <w:color w:val="1F3863"/>
        </w:rPr>
        <w:t>How will your charter school ensure that all families, particularly those representing the student subgroups most in need of support, have the opportunity to meaningfully engage with the charter school regarding their students’ needs?</w:t>
      </w:r>
    </w:p>
    <w:p w14:paraId="6CFA39F7" w14:textId="77777777" w:rsidR="00425D91" w:rsidRPr="00676632" w:rsidRDefault="00425D91">
      <w:pPr>
        <w:widowControl w:val="0"/>
        <w:tabs>
          <w:tab w:val="left" w:pos="828"/>
          <w:tab w:val="left" w:pos="829"/>
        </w:tabs>
        <w:spacing w:before="1" w:line="240" w:lineRule="auto"/>
        <w:ind w:right="492"/>
        <w:rPr>
          <w:rFonts w:asciiTheme="majorHAnsi" w:eastAsia="Calibri" w:hAnsiTheme="majorHAnsi" w:cstheme="majorHAnsi"/>
          <w:i/>
          <w:sz w:val="21"/>
          <w:szCs w:val="21"/>
        </w:rPr>
      </w:pPr>
    </w:p>
    <w:p w14:paraId="3B4B46BA" w14:textId="362427A9" w:rsidR="00425D91" w:rsidRDefault="00B2403F">
      <w:pPr>
        <w:widowControl w:val="0"/>
        <w:tabs>
          <w:tab w:val="left" w:pos="828"/>
          <w:tab w:val="left" w:pos="829"/>
        </w:tabs>
        <w:spacing w:before="1" w:line="240" w:lineRule="auto"/>
        <w:ind w:right="492"/>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Family engagement is a major priority at Match. We firmly believe that we cannot do our best work with students if we are not authentically engaging and partnering with the families of our students. We currently engage with families via phone calls and texts (that happen biweekly at a minimum), family conference and IEP meetings, assigning case managers to all students with IEPs and including both students and families in our high school RTI process. In addition to the targeted engagement above, we also engage with families via our family councils, SEPAC, and ELPAC. Further, we also have two parent trustees and have formed board committees that also include parents. </w:t>
      </w:r>
    </w:p>
    <w:p w14:paraId="24123FE2" w14:textId="77777777" w:rsidR="00EE16F0" w:rsidRPr="00676632" w:rsidRDefault="00EE16F0">
      <w:pPr>
        <w:widowControl w:val="0"/>
        <w:tabs>
          <w:tab w:val="left" w:pos="828"/>
          <w:tab w:val="left" w:pos="829"/>
        </w:tabs>
        <w:spacing w:before="1" w:line="240" w:lineRule="auto"/>
        <w:ind w:right="492"/>
        <w:rPr>
          <w:rFonts w:asciiTheme="majorHAnsi" w:eastAsia="Calibri" w:hAnsiTheme="majorHAnsi" w:cstheme="majorHAnsi"/>
          <w:sz w:val="21"/>
          <w:szCs w:val="21"/>
        </w:rPr>
      </w:pPr>
    </w:p>
    <w:p w14:paraId="60AF8719" w14:textId="612512D5" w:rsidR="00425D91" w:rsidRPr="00274C5D" w:rsidRDefault="00B2403F" w:rsidP="00274C5D">
      <w:pPr>
        <w:widowControl w:val="0"/>
        <w:tabs>
          <w:tab w:val="left" w:pos="828"/>
          <w:tab w:val="left" w:pos="829"/>
        </w:tabs>
        <w:spacing w:before="1" w:line="240" w:lineRule="auto"/>
        <w:ind w:right="492"/>
        <w:rPr>
          <w:rFonts w:asciiTheme="majorHAnsi" w:eastAsia="Calibri" w:hAnsiTheme="majorHAnsi" w:cstheme="majorHAnsi"/>
          <w:sz w:val="21"/>
          <w:szCs w:val="21"/>
        </w:rPr>
      </w:pPr>
      <w:r w:rsidRPr="00676632">
        <w:rPr>
          <w:rFonts w:asciiTheme="majorHAnsi" w:eastAsia="Calibri" w:hAnsiTheme="majorHAnsi" w:cstheme="majorHAnsi"/>
          <w:sz w:val="21"/>
          <w:szCs w:val="21"/>
        </w:rPr>
        <w:t xml:space="preserve">We will measure increases in family engagement based on these efforts by monitoring attendance at IEP meetings and various council meetings, as well as family call data. </w:t>
      </w:r>
    </w:p>
    <w:p w14:paraId="48DEAE56" w14:textId="77777777" w:rsidR="00425D91" w:rsidRPr="00676632" w:rsidRDefault="00425D91">
      <w:pPr>
        <w:widowControl w:val="0"/>
        <w:spacing w:line="240" w:lineRule="auto"/>
        <w:rPr>
          <w:rFonts w:asciiTheme="majorHAnsi" w:eastAsia="Calibri" w:hAnsiTheme="majorHAnsi" w:cstheme="majorHAnsi"/>
          <w:sz w:val="21"/>
          <w:szCs w:val="21"/>
        </w:rPr>
      </w:pPr>
    </w:p>
    <w:p w14:paraId="373070D4" w14:textId="77777777" w:rsidR="00916EBF" w:rsidRDefault="00916EBF" w:rsidP="00EE16F0">
      <w:pPr>
        <w:widowControl w:val="0"/>
        <w:spacing w:line="240" w:lineRule="auto"/>
        <w:rPr>
          <w:rFonts w:asciiTheme="majorHAnsi" w:eastAsia="Calibri" w:hAnsiTheme="majorHAnsi" w:cstheme="majorHAnsi"/>
          <w:b/>
          <w:color w:val="2D74B5"/>
        </w:rPr>
      </w:pPr>
    </w:p>
    <w:p w14:paraId="3DA6A63C" w14:textId="77777777" w:rsidR="00916EBF" w:rsidRDefault="00916EBF" w:rsidP="00EE16F0">
      <w:pPr>
        <w:widowControl w:val="0"/>
        <w:spacing w:line="240" w:lineRule="auto"/>
        <w:rPr>
          <w:rFonts w:asciiTheme="majorHAnsi" w:eastAsia="Calibri" w:hAnsiTheme="majorHAnsi" w:cstheme="majorHAnsi"/>
          <w:b/>
          <w:color w:val="2D74B5"/>
        </w:rPr>
      </w:pPr>
    </w:p>
    <w:p w14:paraId="288A5B65" w14:textId="586534C7" w:rsidR="00425D91" w:rsidRPr="00EE16F0" w:rsidRDefault="00B2403F" w:rsidP="00EE16F0">
      <w:pPr>
        <w:widowControl w:val="0"/>
        <w:spacing w:line="240" w:lineRule="auto"/>
        <w:rPr>
          <w:rFonts w:asciiTheme="majorHAnsi" w:eastAsia="Calibri" w:hAnsiTheme="majorHAnsi" w:cstheme="majorHAnsi"/>
          <w:b/>
        </w:rPr>
      </w:pPr>
      <w:r w:rsidRPr="00EE16F0">
        <w:rPr>
          <w:rFonts w:asciiTheme="majorHAnsi" w:eastAsia="Calibri" w:hAnsiTheme="majorHAnsi" w:cstheme="majorHAnsi"/>
          <w:b/>
          <w:color w:val="2D74B5"/>
        </w:rPr>
        <w:t>Certifications:</w:t>
      </w:r>
    </w:p>
    <w:p w14:paraId="5EE106A9" w14:textId="6D1BE24D" w:rsidR="00425D91" w:rsidRPr="00676632" w:rsidRDefault="00D45FFE" w:rsidP="00EE16F0">
      <w:pPr>
        <w:widowControl w:val="0"/>
        <w:tabs>
          <w:tab w:val="left" w:pos="466"/>
        </w:tabs>
        <w:spacing w:before="114" w:line="240" w:lineRule="auto"/>
        <w:ind w:right="467"/>
        <w:rPr>
          <w:rFonts w:asciiTheme="majorHAnsi" w:eastAsia="Helvetica Neue" w:hAnsiTheme="majorHAnsi" w:cstheme="majorHAnsi"/>
          <w:b/>
          <w:sz w:val="21"/>
          <w:szCs w:val="21"/>
        </w:rPr>
      </w:pPr>
      <w:r>
        <w:rPr>
          <w:rFonts w:ascii="Segoe UI Symbol" w:eastAsia="MS Gothic" w:hAnsi="Segoe UI Symbol" w:cs="Segoe UI Symbol"/>
          <w:b/>
          <w:color w:val="1F3863"/>
          <w:sz w:val="21"/>
          <w:szCs w:val="21"/>
        </w:rPr>
        <w:t>✓</w:t>
      </w:r>
      <w:proofErr w:type="gramStart"/>
      <w:r w:rsidR="00B2403F" w:rsidRPr="00676632">
        <w:rPr>
          <w:rFonts w:ascii="Segoe UI Symbol" w:eastAsia="MS Gothic" w:hAnsi="Segoe UI Symbol" w:cs="Segoe UI Symbol"/>
          <w:b/>
          <w:color w:val="1F3863"/>
          <w:sz w:val="21"/>
          <w:szCs w:val="21"/>
        </w:rPr>
        <w:t>☐</w:t>
      </w:r>
      <w:r w:rsidR="00B2403F" w:rsidRPr="00676632">
        <w:rPr>
          <w:rFonts w:asciiTheme="majorHAnsi" w:eastAsia="Calibri" w:hAnsiTheme="majorHAnsi" w:cstheme="majorHAnsi"/>
          <w:b/>
          <w:color w:val="1F3863"/>
          <w:sz w:val="21"/>
          <w:szCs w:val="21"/>
        </w:rPr>
        <w:t xml:space="preserve">  By</w:t>
      </w:r>
      <w:proofErr w:type="gramEnd"/>
      <w:r w:rsidR="00B2403F" w:rsidRPr="00676632">
        <w:rPr>
          <w:rFonts w:asciiTheme="majorHAnsi" w:eastAsia="Calibri" w:hAnsiTheme="majorHAnsi" w:cstheme="majorHAnsi"/>
          <w:b/>
          <w:color w:val="1F3863"/>
          <w:sz w:val="21"/>
          <w:szCs w:val="21"/>
        </w:rPr>
        <w:t xml:space="preserve"> checking here, I certify that our charter school has engaged stakeholders in our community in accordance with the Student Opportunity Act</w:t>
      </w:r>
    </w:p>
    <w:p w14:paraId="79C95A7B" w14:textId="77777777" w:rsidR="00425D91" w:rsidRPr="00676632" w:rsidRDefault="00B2403F" w:rsidP="00EE16F0">
      <w:pPr>
        <w:widowControl w:val="0"/>
        <w:spacing w:before="194" w:line="240" w:lineRule="auto"/>
        <w:rPr>
          <w:rFonts w:asciiTheme="majorHAnsi" w:eastAsia="Calibri" w:hAnsiTheme="majorHAnsi" w:cstheme="majorHAnsi"/>
          <w:b/>
          <w:sz w:val="21"/>
          <w:szCs w:val="21"/>
        </w:rPr>
      </w:pPr>
      <w:r w:rsidRPr="00676632">
        <w:rPr>
          <w:rFonts w:asciiTheme="majorHAnsi" w:eastAsia="Calibri" w:hAnsiTheme="majorHAnsi" w:cstheme="majorHAnsi"/>
          <w:b/>
          <w:color w:val="1F3863"/>
          <w:sz w:val="21"/>
          <w:szCs w:val="21"/>
        </w:rPr>
        <w:t>Please summarize your stakeholder engagement process, including specific groups that were engaged:</w:t>
      </w:r>
    </w:p>
    <w:p w14:paraId="668EDE7C" w14:textId="6EB7D6A8" w:rsidR="00425D91" w:rsidRPr="00676632" w:rsidRDefault="00B2403F" w:rsidP="00EE16F0">
      <w:pPr>
        <w:widowControl w:val="0"/>
        <w:spacing w:before="74" w:line="240" w:lineRule="auto"/>
        <w:rPr>
          <w:rFonts w:asciiTheme="majorHAnsi" w:eastAsia="Calibri" w:hAnsiTheme="majorHAnsi" w:cstheme="majorHAnsi"/>
          <w:sz w:val="21"/>
          <w:szCs w:val="21"/>
        </w:rPr>
      </w:pPr>
      <w:r w:rsidRPr="00676632">
        <w:rPr>
          <w:rFonts w:asciiTheme="majorHAnsi" w:eastAsia="Calibri" w:hAnsiTheme="majorHAnsi" w:cstheme="majorHAnsi"/>
          <w:sz w:val="21"/>
          <w:szCs w:val="21"/>
        </w:rPr>
        <w:t>In determining our plan, we engaged</w:t>
      </w:r>
      <w:r w:rsidR="00D45FFE">
        <w:rPr>
          <w:rFonts w:asciiTheme="majorHAnsi" w:eastAsia="Calibri" w:hAnsiTheme="majorHAnsi" w:cstheme="majorHAnsi"/>
          <w:sz w:val="21"/>
          <w:szCs w:val="21"/>
        </w:rPr>
        <w:t xml:space="preserve"> </w:t>
      </w:r>
      <w:r w:rsidRPr="00676632">
        <w:rPr>
          <w:rFonts w:asciiTheme="majorHAnsi" w:eastAsia="Calibri" w:hAnsiTheme="majorHAnsi" w:cstheme="majorHAnsi"/>
          <w:sz w:val="21"/>
          <w:szCs w:val="21"/>
        </w:rPr>
        <w:t xml:space="preserve">our Academic Board Committee, our Family and Community Engagement Board Committee, and our school leaders. </w:t>
      </w:r>
    </w:p>
    <w:p w14:paraId="11FA2F90" w14:textId="77777777" w:rsidR="00425D91" w:rsidRPr="00676632" w:rsidRDefault="00425D91" w:rsidP="00EE16F0">
      <w:pPr>
        <w:widowControl w:val="0"/>
        <w:spacing w:before="4" w:line="240" w:lineRule="auto"/>
        <w:rPr>
          <w:rFonts w:asciiTheme="majorHAnsi" w:eastAsia="Calibri" w:hAnsiTheme="majorHAnsi" w:cstheme="majorHAnsi"/>
          <w:sz w:val="21"/>
          <w:szCs w:val="21"/>
        </w:rPr>
      </w:pPr>
    </w:p>
    <w:p w14:paraId="45FF6C19" w14:textId="61C59C61" w:rsidR="00425D91" w:rsidRPr="00676632" w:rsidRDefault="00D45FFE" w:rsidP="00EE16F0">
      <w:pPr>
        <w:widowControl w:val="0"/>
        <w:tabs>
          <w:tab w:val="left" w:pos="476"/>
        </w:tabs>
        <w:spacing w:before="1" w:line="240" w:lineRule="auto"/>
        <w:rPr>
          <w:rFonts w:asciiTheme="majorHAnsi" w:eastAsia="Helvetica Neue" w:hAnsiTheme="majorHAnsi" w:cstheme="majorHAnsi"/>
          <w:b/>
          <w:color w:val="1F3863"/>
          <w:sz w:val="21"/>
          <w:szCs w:val="21"/>
        </w:rPr>
      </w:pPr>
      <w:r>
        <w:rPr>
          <w:rFonts w:ascii="Segoe UI Symbol" w:eastAsia="MS Gothic" w:hAnsi="Segoe UI Symbol" w:cs="Segoe UI Symbol"/>
          <w:b/>
          <w:color w:val="1F3863"/>
          <w:sz w:val="21"/>
          <w:szCs w:val="21"/>
        </w:rPr>
        <w:t>✓</w:t>
      </w:r>
      <w:proofErr w:type="gramStart"/>
      <w:r w:rsidR="00B2403F" w:rsidRPr="00676632">
        <w:rPr>
          <w:rFonts w:ascii="Segoe UI Symbol" w:eastAsia="MS Gothic" w:hAnsi="Segoe UI Symbol" w:cs="Segoe UI Symbol"/>
          <w:b/>
          <w:color w:val="1F3863"/>
          <w:sz w:val="21"/>
          <w:szCs w:val="21"/>
        </w:rPr>
        <w:t>☐</w:t>
      </w:r>
      <w:r w:rsidR="00B2403F" w:rsidRPr="00676632">
        <w:rPr>
          <w:rFonts w:asciiTheme="majorHAnsi" w:eastAsia="Calibri" w:hAnsiTheme="majorHAnsi" w:cstheme="majorHAnsi"/>
          <w:b/>
          <w:color w:val="1F3863"/>
          <w:sz w:val="21"/>
          <w:szCs w:val="21"/>
        </w:rPr>
        <w:t xml:space="preserve">  By</w:t>
      </w:r>
      <w:proofErr w:type="gramEnd"/>
      <w:r w:rsidR="00B2403F" w:rsidRPr="00676632">
        <w:rPr>
          <w:rFonts w:asciiTheme="majorHAnsi" w:eastAsia="Calibri" w:hAnsiTheme="majorHAnsi" w:cstheme="majorHAnsi"/>
          <w:b/>
          <w:color w:val="1F3863"/>
          <w:sz w:val="21"/>
          <w:szCs w:val="21"/>
        </w:rPr>
        <w:t xml:space="preserve"> checking here, I certify that </w:t>
      </w:r>
      <w:r w:rsidR="00EE16F0">
        <w:rPr>
          <w:rFonts w:asciiTheme="majorHAnsi" w:eastAsia="Calibri" w:hAnsiTheme="majorHAnsi" w:cstheme="majorHAnsi"/>
          <w:b/>
          <w:color w:val="1F3863"/>
          <w:sz w:val="21"/>
          <w:szCs w:val="21"/>
        </w:rPr>
        <w:t>Match Charter Public School’s</w:t>
      </w:r>
      <w:r w:rsidR="00B2403F" w:rsidRPr="00676632">
        <w:rPr>
          <w:rFonts w:asciiTheme="majorHAnsi" w:eastAsia="Calibri" w:hAnsiTheme="majorHAnsi" w:cstheme="majorHAnsi"/>
          <w:b/>
          <w:color w:val="1F3863"/>
          <w:sz w:val="21"/>
          <w:szCs w:val="21"/>
        </w:rPr>
        <w:t xml:space="preserve"> Board of Trustees voted on our Student Opportunity Act Plan.</w:t>
      </w:r>
    </w:p>
    <w:p w14:paraId="01998439" w14:textId="437673E3" w:rsidR="00425D91" w:rsidRPr="003F793F" w:rsidRDefault="00B2403F" w:rsidP="00FE5DF5">
      <w:pPr>
        <w:widowControl w:val="0"/>
        <w:tabs>
          <w:tab w:val="left" w:pos="2988"/>
        </w:tabs>
        <w:spacing w:before="146" w:line="240" w:lineRule="auto"/>
        <w:rPr>
          <w:rFonts w:asciiTheme="majorHAnsi" w:eastAsia="Times New Roman" w:hAnsiTheme="majorHAnsi" w:cstheme="majorHAnsi"/>
          <w:sz w:val="21"/>
          <w:szCs w:val="21"/>
        </w:rPr>
      </w:pPr>
      <w:r w:rsidRPr="00676632">
        <w:rPr>
          <w:rFonts w:asciiTheme="majorHAnsi" w:eastAsia="Calibri" w:hAnsiTheme="majorHAnsi" w:cstheme="majorHAnsi"/>
          <w:b/>
          <w:color w:val="1F3863"/>
          <w:sz w:val="21"/>
          <w:szCs w:val="21"/>
        </w:rPr>
        <w:t>Date of vote:</w:t>
      </w:r>
      <w:r w:rsidR="00EE16F0">
        <w:rPr>
          <w:rFonts w:asciiTheme="majorHAnsi" w:eastAsia="Calibri" w:hAnsiTheme="majorHAnsi" w:cstheme="majorHAnsi"/>
          <w:b/>
          <w:color w:val="1F3863"/>
          <w:sz w:val="21"/>
          <w:szCs w:val="21"/>
        </w:rPr>
        <w:t xml:space="preserve"> </w:t>
      </w:r>
      <w:r w:rsidR="00D45FFE">
        <w:rPr>
          <w:rFonts w:asciiTheme="majorHAnsi" w:eastAsia="Calibri" w:hAnsiTheme="majorHAnsi" w:cstheme="majorHAnsi"/>
          <w:b/>
          <w:color w:val="1F3863"/>
          <w:sz w:val="21"/>
          <w:szCs w:val="21"/>
        </w:rPr>
        <w:t xml:space="preserve"> 12/15/20 </w:t>
      </w:r>
      <w:r w:rsidRPr="00676632">
        <w:rPr>
          <w:rFonts w:asciiTheme="majorHAnsi" w:eastAsia="Calibri" w:hAnsiTheme="majorHAnsi" w:cstheme="majorHAnsi"/>
          <w:b/>
          <w:color w:val="1F3863"/>
          <w:sz w:val="21"/>
          <w:szCs w:val="21"/>
        </w:rPr>
        <w:tab/>
      </w:r>
      <w:r w:rsidR="002D51CC">
        <w:rPr>
          <w:rFonts w:asciiTheme="majorHAnsi" w:eastAsia="Calibri" w:hAnsiTheme="majorHAnsi" w:cstheme="majorHAnsi"/>
          <w:b/>
          <w:color w:val="1F3863"/>
          <w:sz w:val="21"/>
          <w:szCs w:val="21"/>
        </w:rPr>
        <w:tab/>
      </w:r>
      <w:r w:rsidRPr="00676632">
        <w:rPr>
          <w:rFonts w:asciiTheme="majorHAnsi" w:eastAsia="Calibri" w:hAnsiTheme="majorHAnsi" w:cstheme="majorHAnsi"/>
          <w:b/>
          <w:color w:val="1F3863"/>
          <w:sz w:val="21"/>
          <w:szCs w:val="21"/>
        </w:rPr>
        <w:t>Outcome of vote:</w:t>
      </w:r>
      <w:r w:rsidR="00D45FFE">
        <w:rPr>
          <w:rFonts w:asciiTheme="majorHAnsi" w:eastAsia="Calibri" w:hAnsiTheme="majorHAnsi" w:cstheme="majorHAnsi"/>
          <w:b/>
          <w:color w:val="1F3863"/>
          <w:sz w:val="21"/>
          <w:szCs w:val="21"/>
        </w:rPr>
        <w:t xml:space="preserve"> Approved</w:t>
      </w:r>
    </w:p>
    <w:sectPr w:rsidR="00425D91" w:rsidRPr="003F793F" w:rsidSect="00274C5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298B" w14:textId="77777777" w:rsidR="001F577D" w:rsidRDefault="001F577D" w:rsidP="00676632">
      <w:pPr>
        <w:spacing w:line="240" w:lineRule="auto"/>
      </w:pPr>
      <w:r>
        <w:separator/>
      </w:r>
    </w:p>
  </w:endnote>
  <w:endnote w:type="continuationSeparator" w:id="0">
    <w:p w14:paraId="04E3B12F" w14:textId="77777777" w:rsidR="001F577D" w:rsidRDefault="001F577D" w:rsidP="00676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93180"/>
      <w:docPartObj>
        <w:docPartGallery w:val="Page Numbers (Bottom of Page)"/>
        <w:docPartUnique/>
      </w:docPartObj>
    </w:sdtPr>
    <w:sdtEndPr>
      <w:rPr>
        <w:noProof/>
      </w:rPr>
    </w:sdtEndPr>
    <w:sdtContent>
      <w:p w14:paraId="3653AE0B" w14:textId="580A1DB0" w:rsidR="00396B99" w:rsidRDefault="00396B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F9E56" w14:textId="77777777" w:rsidR="00396B99" w:rsidRDefault="0039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F7D8" w14:textId="77777777" w:rsidR="001F577D" w:rsidRDefault="001F577D" w:rsidP="00676632">
      <w:pPr>
        <w:spacing w:line="240" w:lineRule="auto"/>
      </w:pPr>
      <w:r>
        <w:separator/>
      </w:r>
    </w:p>
  </w:footnote>
  <w:footnote w:type="continuationSeparator" w:id="0">
    <w:p w14:paraId="577C34BF" w14:textId="77777777" w:rsidR="001F577D" w:rsidRDefault="001F577D" w:rsidP="006766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BCA"/>
    <w:multiLevelType w:val="multilevel"/>
    <w:tmpl w:val="051429F6"/>
    <w:lvl w:ilvl="0">
      <w:start w:val="1"/>
      <w:numFmt w:val="bullet"/>
      <w:lvlText w:val="●"/>
      <w:lvlJc w:val="left"/>
      <w:pPr>
        <w:ind w:left="628" w:hanging="269"/>
      </w:pPr>
      <w:rPr>
        <w:rFonts w:ascii="Noto Sans Symbols" w:eastAsia="Noto Sans Symbols" w:hAnsi="Noto Sans Symbols" w:cs="Noto Sans Symbols"/>
        <w:sz w:val="20"/>
        <w:szCs w:val="20"/>
      </w:rPr>
    </w:lvl>
    <w:lvl w:ilvl="1">
      <w:start w:val="1"/>
      <w:numFmt w:val="bullet"/>
      <w:lvlText w:val="•"/>
      <w:lvlJc w:val="left"/>
      <w:pPr>
        <w:ind w:left="1341" w:hanging="269"/>
      </w:pPr>
    </w:lvl>
    <w:lvl w:ilvl="2">
      <w:start w:val="1"/>
      <w:numFmt w:val="bullet"/>
      <w:lvlText w:val="•"/>
      <w:lvlJc w:val="left"/>
      <w:pPr>
        <w:ind w:left="2063" w:hanging="269"/>
      </w:pPr>
    </w:lvl>
    <w:lvl w:ilvl="3">
      <w:start w:val="1"/>
      <w:numFmt w:val="bullet"/>
      <w:lvlText w:val="•"/>
      <w:lvlJc w:val="left"/>
      <w:pPr>
        <w:ind w:left="2784" w:hanging="269"/>
      </w:pPr>
    </w:lvl>
    <w:lvl w:ilvl="4">
      <w:start w:val="1"/>
      <w:numFmt w:val="bullet"/>
      <w:lvlText w:val="•"/>
      <w:lvlJc w:val="left"/>
      <w:pPr>
        <w:ind w:left="3506" w:hanging="268"/>
      </w:pPr>
    </w:lvl>
    <w:lvl w:ilvl="5">
      <w:start w:val="1"/>
      <w:numFmt w:val="bullet"/>
      <w:lvlText w:val="•"/>
      <w:lvlJc w:val="left"/>
      <w:pPr>
        <w:ind w:left="4227" w:hanging="269"/>
      </w:pPr>
    </w:lvl>
    <w:lvl w:ilvl="6">
      <w:start w:val="1"/>
      <w:numFmt w:val="bullet"/>
      <w:lvlText w:val="•"/>
      <w:lvlJc w:val="left"/>
      <w:pPr>
        <w:ind w:left="4949" w:hanging="269"/>
      </w:pPr>
    </w:lvl>
    <w:lvl w:ilvl="7">
      <w:start w:val="1"/>
      <w:numFmt w:val="bullet"/>
      <w:lvlText w:val="•"/>
      <w:lvlJc w:val="left"/>
      <w:pPr>
        <w:ind w:left="5670" w:hanging="269"/>
      </w:pPr>
    </w:lvl>
    <w:lvl w:ilvl="8">
      <w:start w:val="1"/>
      <w:numFmt w:val="bullet"/>
      <w:lvlText w:val="•"/>
      <w:lvlJc w:val="left"/>
      <w:pPr>
        <w:ind w:left="6392" w:hanging="268"/>
      </w:pPr>
    </w:lvl>
  </w:abstractNum>
  <w:abstractNum w:abstractNumId="1" w15:restartNumberingAfterBreak="0">
    <w:nsid w:val="06B87BEF"/>
    <w:multiLevelType w:val="multilevel"/>
    <w:tmpl w:val="BD2CC02E"/>
    <w:lvl w:ilvl="0">
      <w:start w:val="1"/>
      <w:numFmt w:val="bullet"/>
      <w:lvlText w:val="□"/>
      <w:lvlJc w:val="left"/>
      <w:pPr>
        <w:ind w:left="828" w:hanging="361"/>
      </w:pPr>
      <w:rPr>
        <w:rFonts w:ascii="Calibri" w:eastAsia="Calibri" w:hAnsi="Calibri" w:cs="Calibri"/>
        <w:sz w:val="21"/>
        <w:szCs w:val="21"/>
      </w:rPr>
    </w:lvl>
    <w:lvl w:ilvl="1">
      <w:start w:val="1"/>
      <w:numFmt w:val="bullet"/>
      <w:lvlText w:val="●"/>
      <w:lvlJc w:val="left"/>
      <w:pPr>
        <w:ind w:left="1548" w:hanging="360"/>
      </w:pPr>
      <w:rPr>
        <w:rFonts w:ascii="Noto Sans Symbols" w:eastAsia="Noto Sans Symbols" w:hAnsi="Noto Sans Symbols" w:cs="Noto Sans Symbols"/>
        <w:sz w:val="21"/>
        <w:szCs w:val="21"/>
      </w:rPr>
    </w:lvl>
    <w:lvl w:ilvl="2">
      <w:start w:val="1"/>
      <w:numFmt w:val="bullet"/>
      <w:lvlText w:val="•"/>
      <w:lvlJc w:val="left"/>
      <w:pPr>
        <w:ind w:left="2528" w:hanging="360"/>
      </w:pPr>
    </w:lvl>
    <w:lvl w:ilvl="3">
      <w:start w:val="1"/>
      <w:numFmt w:val="bullet"/>
      <w:lvlText w:val="•"/>
      <w:lvlJc w:val="left"/>
      <w:pPr>
        <w:ind w:left="3517" w:hanging="360"/>
      </w:pPr>
    </w:lvl>
    <w:lvl w:ilvl="4">
      <w:start w:val="1"/>
      <w:numFmt w:val="bullet"/>
      <w:lvlText w:val="•"/>
      <w:lvlJc w:val="left"/>
      <w:pPr>
        <w:ind w:left="4506" w:hanging="360"/>
      </w:pPr>
    </w:lvl>
    <w:lvl w:ilvl="5">
      <w:start w:val="1"/>
      <w:numFmt w:val="bullet"/>
      <w:lvlText w:val="•"/>
      <w:lvlJc w:val="left"/>
      <w:pPr>
        <w:ind w:left="5495" w:hanging="360"/>
      </w:pPr>
    </w:lvl>
    <w:lvl w:ilvl="6">
      <w:start w:val="1"/>
      <w:numFmt w:val="bullet"/>
      <w:lvlText w:val="•"/>
      <w:lvlJc w:val="left"/>
      <w:pPr>
        <w:ind w:left="6484" w:hanging="360"/>
      </w:pPr>
    </w:lvl>
    <w:lvl w:ilvl="7">
      <w:start w:val="1"/>
      <w:numFmt w:val="bullet"/>
      <w:lvlText w:val="•"/>
      <w:lvlJc w:val="left"/>
      <w:pPr>
        <w:ind w:left="7473" w:hanging="360"/>
      </w:pPr>
    </w:lvl>
    <w:lvl w:ilvl="8">
      <w:start w:val="1"/>
      <w:numFmt w:val="bullet"/>
      <w:lvlText w:val="•"/>
      <w:lvlJc w:val="left"/>
      <w:pPr>
        <w:ind w:left="8462" w:hanging="360"/>
      </w:pPr>
    </w:lvl>
  </w:abstractNum>
  <w:abstractNum w:abstractNumId="2" w15:restartNumberingAfterBreak="0">
    <w:nsid w:val="0C8C7E74"/>
    <w:multiLevelType w:val="multilevel"/>
    <w:tmpl w:val="D9E48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1A683A"/>
    <w:multiLevelType w:val="multilevel"/>
    <w:tmpl w:val="6FBC0072"/>
    <w:lvl w:ilvl="0">
      <w:start w:val="1"/>
      <w:numFmt w:val="bullet"/>
      <w:lvlText w:val="●"/>
      <w:lvlJc w:val="left"/>
      <w:pPr>
        <w:ind w:left="628" w:hanging="269"/>
      </w:pPr>
      <w:rPr>
        <w:rFonts w:ascii="Noto Sans Symbols" w:eastAsia="Noto Sans Symbols" w:hAnsi="Noto Sans Symbols" w:cs="Noto Sans Symbols"/>
        <w:sz w:val="20"/>
        <w:szCs w:val="20"/>
      </w:rPr>
    </w:lvl>
    <w:lvl w:ilvl="1">
      <w:start w:val="1"/>
      <w:numFmt w:val="bullet"/>
      <w:lvlText w:val="•"/>
      <w:lvlJc w:val="left"/>
      <w:pPr>
        <w:ind w:left="1341" w:hanging="269"/>
      </w:pPr>
    </w:lvl>
    <w:lvl w:ilvl="2">
      <w:start w:val="1"/>
      <w:numFmt w:val="bullet"/>
      <w:lvlText w:val="•"/>
      <w:lvlJc w:val="left"/>
      <w:pPr>
        <w:ind w:left="2063" w:hanging="269"/>
      </w:pPr>
    </w:lvl>
    <w:lvl w:ilvl="3">
      <w:start w:val="1"/>
      <w:numFmt w:val="bullet"/>
      <w:lvlText w:val="•"/>
      <w:lvlJc w:val="left"/>
      <w:pPr>
        <w:ind w:left="2784" w:hanging="269"/>
      </w:pPr>
    </w:lvl>
    <w:lvl w:ilvl="4">
      <w:start w:val="1"/>
      <w:numFmt w:val="bullet"/>
      <w:lvlText w:val="•"/>
      <w:lvlJc w:val="left"/>
      <w:pPr>
        <w:ind w:left="3506" w:hanging="268"/>
      </w:pPr>
    </w:lvl>
    <w:lvl w:ilvl="5">
      <w:start w:val="1"/>
      <w:numFmt w:val="bullet"/>
      <w:lvlText w:val="•"/>
      <w:lvlJc w:val="left"/>
      <w:pPr>
        <w:ind w:left="4227" w:hanging="269"/>
      </w:pPr>
    </w:lvl>
    <w:lvl w:ilvl="6">
      <w:start w:val="1"/>
      <w:numFmt w:val="bullet"/>
      <w:lvlText w:val="•"/>
      <w:lvlJc w:val="left"/>
      <w:pPr>
        <w:ind w:left="4949" w:hanging="269"/>
      </w:pPr>
    </w:lvl>
    <w:lvl w:ilvl="7">
      <w:start w:val="1"/>
      <w:numFmt w:val="bullet"/>
      <w:lvlText w:val="•"/>
      <w:lvlJc w:val="left"/>
      <w:pPr>
        <w:ind w:left="5670" w:hanging="269"/>
      </w:pPr>
    </w:lvl>
    <w:lvl w:ilvl="8">
      <w:start w:val="1"/>
      <w:numFmt w:val="bullet"/>
      <w:lvlText w:val="•"/>
      <w:lvlJc w:val="left"/>
      <w:pPr>
        <w:ind w:left="6392" w:hanging="268"/>
      </w:pPr>
    </w:lvl>
  </w:abstractNum>
  <w:abstractNum w:abstractNumId="4" w15:restartNumberingAfterBreak="0">
    <w:nsid w:val="2E0F4373"/>
    <w:multiLevelType w:val="multilevel"/>
    <w:tmpl w:val="B822811C"/>
    <w:lvl w:ilvl="0">
      <w:start w:val="1"/>
      <w:numFmt w:val="bullet"/>
      <w:lvlText w:val="●"/>
      <w:lvlJc w:val="left"/>
      <w:pPr>
        <w:ind w:left="628" w:hanging="269"/>
      </w:pPr>
      <w:rPr>
        <w:rFonts w:ascii="Noto Sans Symbols" w:eastAsia="Noto Sans Symbols" w:hAnsi="Noto Sans Symbols" w:cs="Noto Sans Symbols"/>
        <w:sz w:val="20"/>
        <w:szCs w:val="20"/>
      </w:rPr>
    </w:lvl>
    <w:lvl w:ilvl="1">
      <w:start w:val="1"/>
      <w:numFmt w:val="bullet"/>
      <w:lvlText w:val="•"/>
      <w:lvlJc w:val="left"/>
      <w:pPr>
        <w:ind w:left="1341" w:hanging="269"/>
      </w:pPr>
    </w:lvl>
    <w:lvl w:ilvl="2">
      <w:start w:val="1"/>
      <w:numFmt w:val="bullet"/>
      <w:lvlText w:val="•"/>
      <w:lvlJc w:val="left"/>
      <w:pPr>
        <w:ind w:left="2063" w:hanging="269"/>
      </w:pPr>
    </w:lvl>
    <w:lvl w:ilvl="3">
      <w:start w:val="1"/>
      <w:numFmt w:val="bullet"/>
      <w:lvlText w:val="•"/>
      <w:lvlJc w:val="left"/>
      <w:pPr>
        <w:ind w:left="2784" w:hanging="269"/>
      </w:pPr>
    </w:lvl>
    <w:lvl w:ilvl="4">
      <w:start w:val="1"/>
      <w:numFmt w:val="bullet"/>
      <w:lvlText w:val="•"/>
      <w:lvlJc w:val="left"/>
      <w:pPr>
        <w:ind w:left="3506" w:hanging="268"/>
      </w:pPr>
    </w:lvl>
    <w:lvl w:ilvl="5">
      <w:start w:val="1"/>
      <w:numFmt w:val="bullet"/>
      <w:lvlText w:val="•"/>
      <w:lvlJc w:val="left"/>
      <w:pPr>
        <w:ind w:left="4227" w:hanging="269"/>
      </w:pPr>
    </w:lvl>
    <w:lvl w:ilvl="6">
      <w:start w:val="1"/>
      <w:numFmt w:val="bullet"/>
      <w:lvlText w:val="•"/>
      <w:lvlJc w:val="left"/>
      <w:pPr>
        <w:ind w:left="4949" w:hanging="269"/>
      </w:pPr>
    </w:lvl>
    <w:lvl w:ilvl="7">
      <w:start w:val="1"/>
      <w:numFmt w:val="bullet"/>
      <w:lvlText w:val="•"/>
      <w:lvlJc w:val="left"/>
      <w:pPr>
        <w:ind w:left="5670" w:hanging="269"/>
      </w:pPr>
    </w:lvl>
    <w:lvl w:ilvl="8">
      <w:start w:val="1"/>
      <w:numFmt w:val="bullet"/>
      <w:lvlText w:val="•"/>
      <w:lvlJc w:val="left"/>
      <w:pPr>
        <w:ind w:left="6392" w:hanging="268"/>
      </w:pPr>
    </w:lvl>
  </w:abstractNum>
  <w:abstractNum w:abstractNumId="5" w15:restartNumberingAfterBreak="0">
    <w:nsid w:val="300973AE"/>
    <w:multiLevelType w:val="multilevel"/>
    <w:tmpl w:val="4306A3DE"/>
    <w:lvl w:ilvl="0">
      <w:start w:val="1"/>
      <w:numFmt w:val="bullet"/>
      <w:lvlText w:val="●"/>
      <w:lvlJc w:val="left"/>
      <w:pPr>
        <w:ind w:left="628" w:hanging="269"/>
      </w:pPr>
      <w:rPr>
        <w:rFonts w:ascii="Noto Sans Symbols" w:eastAsia="Noto Sans Symbols" w:hAnsi="Noto Sans Symbols" w:cs="Noto Sans Symbols"/>
        <w:sz w:val="20"/>
        <w:szCs w:val="20"/>
      </w:rPr>
    </w:lvl>
    <w:lvl w:ilvl="1">
      <w:start w:val="1"/>
      <w:numFmt w:val="bullet"/>
      <w:lvlText w:val="•"/>
      <w:lvlJc w:val="left"/>
      <w:pPr>
        <w:ind w:left="1341" w:hanging="269"/>
      </w:pPr>
    </w:lvl>
    <w:lvl w:ilvl="2">
      <w:start w:val="1"/>
      <w:numFmt w:val="bullet"/>
      <w:lvlText w:val="•"/>
      <w:lvlJc w:val="left"/>
      <w:pPr>
        <w:ind w:left="2063" w:hanging="269"/>
      </w:pPr>
    </w:lvl>
    <w:lvl w:ilvl="3">
      <w:start w:val="1"/>
      <w:numFmt w:val="bullet"/>
      <w:lvlText w:val="•"/>
      <w:lvlJc w:val="left"/>
      <w:pPr>
        <w:ind w:left="2784" w:hanging="269"/>
      </w:pPr>
    </w:lvl>
    <w:lvl w:ilvl="4">
      <w:start w:val="1"/>
      <w:numFmt w:val="bullet"/>
      <w:lvlText w:val="•"/>
      <w:lvlJc w:val="left"/>
      <w:pPr>
        <w:ind w:left="3506" w:hanging="268"/>
      </w:pPr>
    </w:lvl>
    <w:lvl w:ilvl="5">
      <w:start w:val="1"/>
      <w:numFmt w:val="bullet"/>
      <w:lvlText w:val="•"/>
      <w:lvlJc w:val="left"/>
      <w:pPr>
        <w:ind w:left="4227" w:hanging="269"/>
      </w:pPr>
    </w:lvl>
    <w:lvl w:ilvl="6">
      <w:start w:val="1"/>
      <w:numFmt w:val="bullet"/>
      <w:lvlText w:val="•"/>
      <w:lvlJc w:val="left"/>
      <w:pPr>
        <w:ind w:left="4949" w:hanging="269"/>
      </w:pPr>
    </w:lvl>
    <w:lvl w:ilvl="7">
      <w:start w:val="1"/>
      <w:numFmt w:val="bullet"/>
      <w:lvlText w:val="•"/>
      <w:lvlJc w:val="left"/>
      <w:pPr>
        <w:ind w:left="5670" w:hanging="269"/>
      </w:pPr>
    </w:lvl>
    <w:lvl w:ilvl="8">
      <w:start w:val="1"/>
      <w:numFmt w:val="bullet"/>
      <w:lvlText w:val="•"/>
      <w:lvlJc w:val="left"/>
      <w:pPr>
        <w:ind w:left="6392" w:hanging="268"/>
      </w:pPr>
    </w:lvl>
  </w:abstractNum>
  <w:abstractNum w:abstractNumId="6" w15:restartNumberingAfterBreak="0">
    <w:nsid w:val="3C7D399F"/>
    <w:multiLevelType w:val="hybridMultilevel"/>
    <w:tmpl w:val="961C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A191A"/>
    <w:multiLevelType w:val="multilevel"/>
    <w:tmpl w:val="559CCAB6"/>
    <w:lvl w:ilvl="0">
      <w:start w:val="1"/>
      <w:numFmt w:val="bullet"/>
      <w:lvlText w:val="●"/>
      <w:lvlJc w:val="left"/>
      <w:pPr>
        <w:ind w:left="628" w:hanging="269"/>
      </w:pPr>
      <w:rPr>
        <w:rFonts w:ascii="Noto Sans Symbols" w:eastAsia="Noto Sans Symbols" w:hAnsi="Noto Sans Symbols" w:cs="Noto Sans Symbols"/>
        <w:sz w:val="20"/>
        <w:szCs w:val="20"/>
      </w:rPr>
    </w:lvl>
    <w:lvl w:ilvl="1">
      <w:start w:val="1"/>
      <w:numFmt w:val="bullet"/>
      <w:lvlText w:val="•"/>
      <w:lvlJc w:val="left"/>
      <w:pPr>
        <w:ind w:left="1341" w:hanging="269"/>
      </w:pPr>
    </w:lvl>
    <w:lvl w:ilvl="2">
      <w:start w:val="1"/>
      <w:numFmt w:val="bullet"/>
      <w:lvlText w:val="•"/>
      <w:lvlJc w:val="left"/>
      <w:pPr>
        <w:ind w:left="2063" w:hanging="269"/>
      </w:pPr>
    </w:lvl>
    <w:lvl w:ilvl="3">
      <w:start w:val="1"/>
      <w:numFmt w:val="bullet"/>
      <w:lvlText w:val="•"/>
      <w:lvlJc w:val="left"/>
      <w:pPr>
        <w:ind w:left="2784" w:hanging="269"/>
      </w:pPr>
    </w:lvl>
    <w:lvl w:ilvl="4">
      <w:start w:val="1"/>
      <w:numFmt w:val="bullet"/>
      <w:lvlText w:val="•"/>
      <w:lvlJc w:val="left"/>
      <w:pPr>
        <w:ind w:left="3506" w:hanging="268"/>
      </w:pPr>
    </w:lvl>
    <w:lvl w:ilvl="5">
      <w:start w:val="1"/>
      <w:numFmt w:val="bullet"/>
      <w:lvlText w:val="•"/>
      <w:lvlJc w:val="left"/>
      <w:pPr>
        <w:ind w:left="4227" w:hanging="269"/>
      </w:pPr>
    </w:lvl>
    <w:lvl w:ilvl="6">
      <w:start w:val="1"/>
      <w:numFmt w:val="bullet"/>
      <w:lvlText w:val="•"/>
      <w:lvlJc w:val="left"/>
      <w:pPr>
        <w:ind w:left="4949" w:hanging="269"/>
      </w:pPr>
    </w:lvl>
    <w:lvl w:ilvl="7">
      <w:start w:val="1"/>
      <w:numFmt w:val="bullet"/>
      <w:lvlText w:val="•"/>
      <w:lvlJc w:val="left"/>
      <w:pPr>
        <w:ind w:left="5670" w:hanging="269"/>
      </w:pPr>
    </w:lvl>
    <w:lvl w:ilvl="8">
      <w:start w:val="1"/>
      <w:numFmt w:val="bullet"/>
      <w:lvlText w:val="•"/>
      <w:lvlJc w:val="left"/>
      <w:pPr>
        <w:ind w:left="6392" w:hanging="268"/>
      </w:pPr>
    </w:lvl>
  </w:abstractNum>
  <w:abstractNum w:abstractNumId="8" w15:restartNumberingAfterBreak="0">
    <w:nsid w:val="561B188C"/>
    <w:multiLevelType w:val="multilevel"/>
    <w:tmpl w:val="D15E9C12"/>
    <w:lvl w:ilvl="0">
      <w:start w:val="1"/>
      <w:numFmt w:val="bullet"/>
      <w:lvlText w:val="●"/>
      <w:lvlJc w:val="left"/>
      <w:pPr>
        <w:ind w:left="628" w:hanging="269"/>
      </w:pPr>
      <w:rPr>
        <w:rFonts w:ascii="Noto Sans Symbols" w:eastAsia="Noto Sans Symbols" w:hAnsi="Noto Sans Symbols" w:cs="Noto Sans Symbols"/>
        <w:sz w:val="20"/>
        <w:szCs w:val="20"/>
      </w:rPr>
    </w:lvl>
    <w:lvl w:ilvl="1">
      <w:start w:val="1"/>
      <w:numFmt w:val="bullet"/>
      <w:lvlText w:val="•"/>
      <w:lvlJc w:val="left"/>
      <w:pPr>
        <w:ind w:left="1341" w:hanging="269"/>
      </w:pPr>
    </w:lvl>
    <w:lvl w:ilvl="2">
      <w:start w:val="1"/>
      <w:numFmt w:val="bullet"/>
      <w:lvlText w:val="•"/>
      <w:lvlJc w:val="left"/>
      <w:pPr>
        <w:ind w:left="2063" w:hanging="269"/>
      </w:pPr>
    </w:lvl>
    <w:lvl w:ilvl="3">
      <w:start w:val="1"/>
      <w:numFmt w:val="bullet"/>
      <w:lvlText w:val="•"/>
      <w:lvlJc w:val="left"/>
      <w:pPr>
        <w:ind w:left="2784" w:hanging="269"/>
      </w:pPr>
    </w:lvl>
    <w:lvl w:ilvl="4">
      <w:start w:val="1"/>
      <w:numFmt w:val="bullet"/>
      <w:lvlText w:val="•"/>
      <w:lvlJc w:val="left"/>
      <w:pPr>
        <w:ind w:left="3506" w:hanging="268"/>
      </w:pPr>
    </w:lvl>
    <w:lvl w:ilvl="5">
      <w:start w:val="1"/>
      <w:numFmt w:val="bullet"/>
      <w:lvlText w:val="•"/>
      <w:lvlJc w:val="left"/>
      <w:pPr>
        <w:ind w:left="4227" w:hanging="269"/>
      </w:pPr>
    </w:lvl>
    <w:lvl w:ilvl="6">
      <w:start w:val="1"/>
      <w:numFmt w:val="bullet"/>
      <w:lvlText w:val="•"/>
      <w:lvlJc w:val="left"/>
      <w:pPr>
        <w:ind w:left="4949" w:hanging="269"/>
      </w:pPr>
    </w:lvl>
    <w:lvl w:ilvl="7">
      <w:start w:val="1"/>
      <w:numFmt w:val="bullet"/>
      <w:lvlText w:val="•"/>
      <w:lvlJc w:val="left"/>
      <w:pPr>
        <w:ind w:left="5670" w:hanging="269"/>
      </w:pPr>
    </w:lvl>
    <w:lvl w:ilvl="8">
      <w:start w:val="1"/>
      <w:numFmt w:val="bullet"/>
      <w:lvlText w:val="•"/>
      <w:lvlJc w:val="left"/>
      <w:pPr>
        <w:ind w:left="6392" w:hanging="268"/>
      </w:pPr>
    </w:lvl>
  </w:abstractNum>
  <w:abstractNum w:abstractNumId="9" w15:restartNumberingAfterBreak="0">
    <w:nsid w:val="7BE9654A"/>
    <w:multiLevelType w:val="multilevel"/>
    <w:tmpl w:val="3C1666CC"/>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91"/>
    <w:rsid w:val="001F577D"/>
    <w:rsid w:val="00274C5D"/>
    <w:rsid w:val="002D51CC"/>
    <w:rsid w:val="00396B99"/>
    <w:rsid w:val="003F793F"/>
    <w:rsid w:val="00425D91"/>
    <w:rsid w:val="005506DB"/>
    <w:rsid w:val="005B482F"/>
    <w:rsid w:val="0065680A"/>
    <w:rsid w:val="00676632"/>
    <w:rsid w:val="00841424"/>
    <w:rsid w:val="00916EBF"/>
    <w:rsid w:val="00B01E30"/>
    <w:rsid w:val="00B2403F"/>
    <w:rsid w:val="00D45FFE"/>
    <w:rsid w:val="00EB5483"/>
    <w:rsid w:val="00EE16F0"/>
    <w:rsid w:val="00FE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09DA"/>
  <w15:docId w15:val="{8D1E5630-DB2D-4CB0-9827-B0FF2863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76632"/>
    <w:pPr>
      <w:tabs>
        <w:tab w:val="center" w:pos="4680"/>
        <w:tab w:val="right" w:pos="9360"/>
      </w:tabs>
      <w:spacing w:line="240" w:lineRule="auto"/>
    </w:pPr>
  </w:style>
  <w:style w:type="character" w:customStyle="1" w:styleId="HeaderChar">
    <w:name w:val="Header Char"/>
    <w:basedOn w:val="DefaultParagraphFont"/>
    <w:link w:val="Header"/>
    <w:uiPriority w:val="99"/>
    <w:rsid w:val="00676632"/>
  </w:style>
  <w:style w:type="paragraph" w:styleId="Footer">
    <w:name w:val="footer"/>
    <w:basedOn w:val="Normal"/>
    <w:link w:val="FooterChar"/>
    <w:uiPriority w:val="99"/>
    <w:unhideWhenUsed/>
    <w:rsid w:val="00676632"/>
    <w:pPr>
      <w:tabs>
        <w:tab w:val="center" w:pos="4680"/>
        <w:tab w:val="right" w:pos="9360"/>
      </w:tabs>
      <w:spacing w:line="240" w:lineRule="auto"/>
    </w:pPr>
  </w:style>
  <w:style w:type="character" w:customStyle="1" w:styleId="FooterChar">
    <w:name w:val="Footer Char"/>
    <w:basedOn w:val="DefaultParagraphFont"/>
    <w:link w:val="Footer"/>
    <w:uiPriority w:val="99"/>
    <w:rsid w:val="00676632"/>
  </w:style>
  <w:style w:type="paragraph" w:styleId="ListParagraph">
    <w:name w:val="List Paragraph"/>
    <w:basedOn w:val="Normal"/>
    <w:uiPriority w:val="34"/>
    <w:qFormat/>
    <w:rsid w:val="00EE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7BC9B-67BE-40DD-8037-B33C454ABFCD}">
  <ds:schemaRefs>
    <ds:schemaRef ds:uri="http://schemas.openxmlformats.org/officeDocument/2006/bibliography"/>
  </ds:schemaRefs>
</ds:datastoreItem>
</file>

<file path=customXml/itemProps2.xml><?xml version="1.0" encoding="utf-8"?>
<ds:datastoreItem xmlns:ds="http://schemas.openxmlformats.org/officeDocument/2006/customXml" ds:itemID="{EF409027-EA2A-40D2-AB58-8FF240FC5B78}"/>
</file>

<file path=customXml/itemProps3.xml><?xml version="1.0" encoding="utf-8"?>
<ds:datastoreItem xmlns:ds="http://schemas.openxmlformats.org/officeDocument/2006/customXml" ds:itemID="{C57DD184-9124-4194-9D5A-D2AC343BC396}"/>
</file>

<file path=customXml/itemProps4.xml><?xml version="1.0" encoding="utf-8"?>
<ds:datastoreItem xmlns:ds="http://schemas.openxmlformats.org/officeDocument/2006/customXml" ds:itemID="{215C7307-7563-4127-8952-15B7C7A27678}"/>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Match Charter Public School Student Opportunity Act Plan: SY 2021-2023</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Charter Public School Student Opportunity Act Plan: SY 2021-2023</dc:title>
  <dc:creator>Genevieve Dusing</dc:creator>
  <cp:lastModifiedBy>DeLorenzo, Lee E (DESE)</cp:lastModifiedBy>
  <cp:revision>4</cp:revision>
  <dcterms:created xsi:type="dcterms:W3CDTF">2021-03-19T20:18:00Z</dcterms:created>
  <dcterms:modified xsi:type="dcterms:W3CDTF">2021-03-24T15:50:00Z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