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12A36" w14:textId="6D8FD23E" w:rsidR="00E61247" w:rsidRPr="00D96F95" w:rsidRDefault="008B5FF6" w:rsidP="003133F0">
      <w:pPr>
        <w:pStyle w:val="Title"/>
        <w:jc w:val="center"/>
        <w:rPr>
          <w:b/>
          <w:bCs/>
          <w:sz w:val="28"/>
          <w:szCs w:val="28"/>
        </w:rPr>
      </w:pPr>
      <w:r w:rsidRPr="00D96F95">
        <w:rPr>
          <w:b/>
          <w:bCs/>
          <w:sz w:val="28"/>
          <w:szCs w:val="28"/>
        </w:rPr>
        <w:t xml:space="preserve">FY22 Student Opportunity Act Plan Amendments: </w:t>
      </w:r>
      <w:r w:rsidR="00D96F95" w:rsidRPr="00D96F95">
        <w:rPr>
          <w:b/>
          <w:bCs/>
          <w:sz w:val="28"/>
          <w:szCs w:val="28"/>
        </w:rPr>
        <w:t>Additional Detail on</w:t>
      </w:r>
      <w:r w:rsidR="00E61247" w:rsidRPr="00D96F95">
        <w:rPr>
          <w:b/>
          <w:bCs/>
          <w:sz w:val="28"/>
          <w:szCs w:val="28"/>
        </w:rPr>
        <w:t xml:space="preserve"> Review Criteria</w:t>
      </w:r>
    </w:p>
    <w:p w14:paraId="303F5CDD" w14:textId="7A3E43CB" w:rsidR="002C2662" w:rsidRPr="00D96F95" w:rsidRDefault="002C2662" w:rsidP="003133F0">
      <w:pPr>
        <w:pStyle w:val="Title"/>
        <w:jc w:val="center"/>
        <w:rPr>
          <w:b/>
          <w:bCs/>
          <w:sz w:val="28"/>
          <w:szCs w:val="28"/>
        </w:rPr>
      </w:pPr>
    </w:p>
    <w:p w14:paraId="57A4E753" w14:textId="584FA6DD" w:rsidR="00F0228B" w:rsidRDefault="42FF9608">
      <w:r>
        <w:t xml:space="preserve">This resource is intended to </w:t>
      </w:r>
      <w:r w:rsidR="5AE010E1">
        <w:t xml:space="preserve">provide additional detail about the plan review criteria that DESE’s </w:t>
      </w:r>
      <w:r w:rsidR="325CA176">
        <w:t xml:space="preserve">SOA plan reviewers </w:t>
      </w:r>
      <w:r w:rsidR="5BFD5B9E">
        <w:t xml:space="preserve">considered </w:t>
      </w:r>
      <w:r w:rsidR="5AE010E1">
        <w:t xml:space="preserve">as they read districts’ FY22 SOA Plan Amendments.  </w:t>
      </w:r>
      <w:r w:rsidR="24C7462A">
        <w:t>The left-hand column summarizes the statutory requirement</w:t>
      </w:r>
      <w:r w:rsidR="00316032">
        <w:t>s</w:t>
      </w:r>
      <w:r w:rsidR="15D24DED">
        <w:t xml:space="preserve"> for 5 broad elements that reviewers will consider:  1) Data analysis and selection of student groups; 2) </w:t>
      </w:r>
      <w:r w:rsidR="55734439">
        <w:t xml:space="preserve">Selection of evidence-based program areas; 3) </w:t>
      </w:r>
      <w:r w:rsidR="20E2A347">
        <w:t>budget/resource allocation; 4) engaging all families/caregivers; and 5) stakeholder engagement in SOA plan development.</w:t>
      </w:r>
      <w:r w:rsidR="2AE2D64C">
        <w:t xml:space="preserve">  The right</w:t>
      </w:r>
      <w:r w:rsidR="0E558D03">
        <w:t>-</w:t>
      </w:r>
      <w:r w:rsidR="2AE2D64C">
        <w:t xml:space="preserve">hand column highlights </w:t>
      </w:r>
      <w:r w:rsidR="6C3F8610">
        <w:t xml:space="preserve">examples of </w:t>
      </w:r>
      <w:r w:rsidR="2AE2D64C">
        <w:t xml:space="preserve">why </w:t>
      </w:r>
      <w:r w:rsidR="0E558D03">
        <w:t xml:space="preserve">a plan </w:t>
      </w:r>
      <w:r w:rsidR="00957C35">
        <w:t xml:space="preserve">element </w:t>
      </w:r>
      <w:r w:rsidR="0E558D03">
        <w:t xml:space="preserve">may be flagged as </w:t>
      </w:r>
      <w:r w:rsidR="0E558D03" w:rsidRPr="76EE3E20">
        <w:rPr>
          <w:i/>
          <w:iCs/>
        </w:rPr>
        <w:t>Need</w:t>
      </w:r>
      <w:r w:rsidR="24538F2B" w:rsidRPr="76EE3E20">
        <w:rPr>
          <w:i/>
          <w:iCs/>
        </w:rPr>
        <w:t>s</w:t>
      </w:r>
      <w:r w:rsidR="0E558D03" w:rsidRPr="76EE3E20">
        <w:rPr>
          <w:i/>
          <w:iCs/>
        </w:rPr>
        <w:t xml:space="preserve"> additional information in order to meet statutory requirements</w:t>
      </w:r>
      <w:r w:rsidR="0E558D03">
        <w:t xml:space="preserve"> or </w:t>
      </w:r>
      <w:r w:rsidR="0E558D03" w:rsidRPr="76EE3E20">
        <w:rPr>
          <w:i/>
          <w:iCs/>
        </w:rPr>
        <w:t>Meets expectations, with recommendations for strengthening</w:t>
      </w:r>
      <w:r w:rsidR="6C3F8610">
        <w:t>.  These ‘look</w:t>
      </w:r>
      <w:r w:rsidR="449887D8">
        <w:t>-</w:t>
      </w:r>
      <w:proofErr w:type="spellStart"/>
      <w:r w:rsidR="6C3F8610">
        <w:t>fors</w:t>
      </w:r>
      <w:proofErr w:type="spellEnd"/>
      <w:r w:rsidR="6C3F8610">
        <w:t>’ are illustrative and not exhaustive.</w:t>
      </w:r>
    </w:p>
    <w:tbl>
      <w:tblPr>
        <w:tblStyle w:val="TableGrid"/>
        <w:tblW w:w="10060" w:type="dxa"/>
        <w:tblLayout w:type="fixed"/>
        <w:tblLook w:val="06A0" w:firstRow="1" w:lastRow="0" w:firstColumn="1" w:lastColumn="0" w:noHBand="1" w:noVBand="1"/>
      </w:tblPr>
      <w:tblGrid>
        <w:gridCol w:w="3145"/>
        <w:gridCol w:w="6915"/>
      </w:tblGrid>
      <w:tr w:rsidR="42FF9608" w14:paraId="5FDEDF99" w14:textId="77777777" w:rsidTr="007C42FE">
        <w:tc>
          <w:tcPr>
            <w:tcW w:w="10060" w:type="dxa"/>
            <w:gridSpan w:val="2"/>
            <w:shd w:val="clear" w:color="auto" w:fill="0070C0"/>
          </w:tcPr>
          <w:p w14:paraId="48802D27" w14:textId="64EE737A" w:rsidR="42FF9608" w:rsidRDefault="42FF9608" w:rsidP="42FF9608">
            <w:pPr>
              <w:jc w:val="center"/>
              <w:rPr>
                <w:rFonts w:ascii="Calibri" w:eastAsia="Calibri" w:hAnsi="Calibri" w:cs="Calibri"/>
                <w:b/>
                <w:bCs/>
                <w:color w:val="444444"/>
              </w:rPr>
            </w:pPr>
            <w:r w:rsidRPr="42FF9608">
              <w:rPr>
                <w:b/>
                <w:bCs/>
                <w:color w:val="FFFFFF" w:themeColor="background1"/>
                <w:sz w:val="24"/>
                <w:szCs w:val="24"/>
              </w:rPr>
              <w:t xml:space="preserve">Plan Element #1: </w:t>
            </w:r>
            <w:r w:rsidRPr="1DB22255">
              <w:rPr>
                <w:b/>
                <w:bCs/>
                <w:color w:val="FFFFFF" w:themeColor="background1"/>
                <w:sz w:val="24"/>
                <w:szCs w:val="24"/>
              </w:rPr>
              <w:t>Gap</w:t>
            </w:r>
            <w:r w:rsidRPr="42FF9608">
              <w:rPr>
                <w:rFonts w:ascii="Calibri" w:eastAsia="Calibri" w:hAnsi="Calibri" w:cs="Calibri"/>
                <w:b/>
                <w:bCs/>
                <w:color w:val="FFFFFF" w:themeColor="background1"/>
              </w:rPr>
              <w:t xml:space="preserve"> Analysis and Selection of Student Groups </w:t>
            </w:r>
          </w:p>
        </w:tc>
      </w:tr>
      <w:tr w:rsidR="00A43A3A" w14:paraId="7F224CE9" w14:textId="77777777" w:rsidTr="00800E29">
        <w:trPr>
          <w:trHeight w:val="2276"/>
        </w:trPr>
        <w:tc>
          <w:tcPr>
            <w:tcW w:w="3145" w:type="dxa"/>
            <w:vMerge w:val="restart"/>
          </w:tcPr>
          <w:p w14:paraId="76B3F19C" w14:textId="5F72C20F" w:rsidR="00A43A3A" w:rsidRDefault="46351BF4" w:rsidP="42FF9608">
            <w:pPr>
              <w:rPr>
                <w:b/>
                <w:bCs/>
              </w:rPr>
            </w:pPr>
            <w:r w:rsidRPr="00143F5C">
              <w:rPr>
                <w:b/>
                <w:bCs/>
              </w:rPr>
              <w:t>Statutory Requirement</w:t>
            </w:r>
            <w:r w:rsidR="37F14BEA" w:rsidRPr="00143F5C">
              <w:rPr>
                <w:b/>
                <w:bCs/>
              </w:rPr>
              <w:t>(</w:t>
            </w:r>
            <w:r w:rsidRPr="00143F5C">
              <w:rPr>
                <w:b/>
                <w:bCs/>
              </w:rPr>
              <w:t>s</w:t>
            </w:r>
            <w:r w:rsidR="37F14BEA" w:rsidRPr="00143F5C">
              <w:rPr>
                <w:b/>
                <w:bCs/>
              </w:rPr>
              <w:t>)</w:t>
            </w:r>
            <w:r w:rsidRPr="080E1025">
              <w:rPr>
                <w:b/>
                <w:bCs/>
              </w:rPr>
              <w:t xml:space="preserve">  </w:t>
            </w:r>
          </w:p>
          <w:p w14:paraId="635E232D" w14:textId="56886C0C" w:rsidR="00A43A3A" w:rsidRPr="008465F6" w:rsidRDefault="00A43A3A" w:rsidP="008465F6">
            <w:pPr>
              <w:rPr>
                <w:rStyle w:val="normaltextrun"/>
                <w:rFonts w:eastAsiaTheme="minorEastAsia"/>
                <w:b/>
                <w:bCs/>
              </w:rPr>
            </w:pPr>
            <w:r w:rsidRPr="008465F6">
              <w:rPr>
                <w:rStyle w:val="normaltextrun"/>
                <w:rFonts w:ascii="Calibri" w:hAnsi="Calibri" w:cs="Calibri"/>
                <w:i/>
                <w:iCs/>
                <w:color w:val="000000"/>
                <w:bdr w:val="none" w:sz="0" w:space="0" w:color="auto" w:frame="1"/>
              </w:rPr>
              <w:t>Reducing persistent disparities in performance among student subgroups is the broad mandate of the Student Opportunity Act.</w:t>
            </w:r>
          </w:p>
          <w:p w14:paraId="7E23D223" w14:textId="77777777" w:rsidR="00A43A3A" w:rsidRPr="00AC7E39" w:rsidRDefault="00A43A3A" w:rsidP="004325D7">
            <w:pPr>
              <w:pStyle w:val="ListParagraph"/>
              <w:rPr>
                <w:rStyle w:val="normaltextrun"/>
                <w:rFonts w:eastAsiaTheme="minorEastAsia"/>
                <w:b/>
                <w:bCs/>
              </w:rPr>
            </w:pPr>
          </w:p>
          <w:p w14:paraId="2C4A24F3" w14:textId="1D818B1E" w:rsidR="00A43A3A" w:rsidRDefault="00A43A3A" w:rsidP="42FF9608">
            <w:pPr>
              <w:jc w:val="center"/>
              <w:rPr>
                <w:b/>
                <w:bCs/>
                <w:color w:val="FFFFFF" w:themeColor="background1"/>
                <w:sz w:val="24"/>
                <w:szCs w:val="24"/>
              </w:rPr>
            </w:pPr>
          </w:p>
          <w:p w14:paraId="723FD1AA" w14:textId="7815453D" w:rsidR="00A43A3A" w:rsidRDefault="00A43A3A" w:rsidP="42FF9608">
            <w:pPr>
              <w:jc w:val="center"/>
              <w:rPr>
                <w:b/>
                <w:bCs/>
                <w:color w:val="FFFFFF" w:themeColor="background1"/>
                <w:sz w:val="24"/>
                <w:szCs w:val="24"/>
              </w:rPr>
            </w:pPr>
          </w:p>
          <w:p w14:paraId="3FCEC924" w14:textId="1454FB8D" w:rsidR="00A43A3A" w:rsidRDefault="00A43A3A" w:rsidP="1DB22255">
            <w:pPr>
              <w:spacing w:line="259" w:lineRule="auto"/>
              <w:jc w:val="center"/>
              <w:rPr>
                <w:b/>
                <w:bCs/>
                <w:color w:val="FFFFFF" w:themeColor="background1"/>
                <w:sz w:val="24"/>
                <w:szCs w:val="24"/>
              </w:rPr>
            </w:pPr>
          </w:p>
        </w:tc>
        <w:tc>
          <w:tcPr>
            <w:tcW w:w="6915" w:type="dxa"/>
          </w:tcPr>
          <w:p w14:paraId="12C2AF7E" w14:textId="06A746A8" w:rsidR="00236ECB" w:rsidRPr="00800E29" w:rsidRDefault="56A3FD91" w:rsidP="00381118">
            <w:pPr>
              <w:rPr>
                <w:b/>
                <w:bCs/>
              </w:rPr>
            </w:pPr>
            <w:r w:rsidRPr="0BF84996">
              <w:rPr>
                <w:b/>
                <w:bCs/>
              </w:rPr>
              <w:t xml:space="preserve">Needs additional information in order to meet statutory requirements </w:t>
            </w:r>
          </w:p>
          <w:p w14:paraId="2146A43E" w14:textId="2019A459" w:rsidR="00A43A3A" w:rsidRDefault="1414D92C" w:rsidP="00B23513">
            <w:pPr>
              <w:pStyle w:val="ListParagraph"/>
              <w:numPr>
                <w:ilvl w:val="0"/>
                <w:numId w:val="8"/>
              </w:numPr>
            </w:pPr>
            <w:r>
              <w:t xml:space="preserve">Narrative </w:t>
            </w:r>
            <w:r w:rsidR="00AC12BB">
              <w:t xml:space="preserve">needs to </w:t>
            </w:r>
            <w:r>
              <w:t>describe gaps in learning experiences and outcomes for specific student groups</w:t>
            </w:r>
            <w:r w:rsidR="00F72FA7">
              <w:t xml:space="preserve"> identified through a</w:t>
            </w:r>
            <w:r w:rsidR="00661FDA">
              <w:t xml:space="preserve">n analysis of data </w:t>
            </w:r>
            <w:r w:rsidR="00F72FA7">
              <w:t xml:space="preserve">disaggregated </w:t>
            </w:r>
            <w:r w:rsidR="00661FDA">
              <w:t>by student group</w:t>
            </w:r>
          </w:p>
          <w:p w14:paraId="39FDFA5C" w14:textId="72B92FE7" w:rsidR="37C45F4B" w:rsidRDefault="37C45F4B" w:rsidP="506219F6">
            <w:pPr>
              <w:pStyle w:val="ListParagraph"/>
              <w:numPr>
                <w:ilvl w:val="0"/>
                <w:numId w:val="8"/>
              </w:numPr>
            </w:pPr>
            <w:r>
              <w:t>Rationale for selecting student groups n</w:t>
            </w:r>
            <w:r w:rsidR="009C03FA">
              <w:t xml:space="preserve">eeds to be </w:t>
            </w:r>
            <w:r>
              <w:t>based on gap-closing for targeted student groups</w:t>
            </w:r>
            <w:r w:rsidR="00DE018C">
              <w:t xml:space="preserve"> </w:t>
            </w:r>
          </w:p>
          <w:p w14:paraId="39997DBA" w14:textId="7CBF09C0" w:rsidR="00A43A3A" w:rsidRDefault="00D05F80" w:rsidP="00384AAD">
            <w:pPr>
              <w:pStyle w:val="ListParagraph"/>
              <w:numPr>
                <w:ilvl w:val="0"/>
                <w:numId w:val="8"/>
              </w:numPr>
              <w:rPr>
                <w:rFonts w:eastAsiaTheme="minorEastAsia"/>
                <w:b/>
                <w:bCs/>
              </w:rPr>
            </w:pPr>
            <w:r>
              <w:t>If a p</w:t>
            </w:r>
            <w:r w:rsidR="00A43A3A">
              <w:t xml:space="preserve">lan identifies </w:t>
            </w:r>
            <w:r>
              <w:t xml:space="preserve">most or </w:t>
            </w:r>
            <w:r w:rsidR="00A43A3A">
              <w:t>every student group in the district</w:t>
            </w:r>
            <w:r>
              <w:t>, it needs</w:t>
            </w:r>
            <w:r w:rsidR="00A43A3A">
              <w:t xml:space="preserve"> </w:t>
            </w:r>
            <w:r w:rsidR="000E4427">
              <w:t>a rationale</w:t>
            </w:r>
            <w:r w:rsidR="00D76301">
              <w:t xml:space="preserve"> for </w:t>
            </w:r>
            <w:r w:rsidR="004C63F7">
              <w:t>doing so that is</w:t>
            </w:r>
            <w:r w:rsidR="000E4427">
              <w:t xml:space="preserve"> based on gap-closing </w:t>
            </w:r>
          </w:p>
        </w:tc>
      </w:tr>
      <w:tr w:rsidR="00A43A3A" w14:paraId="2C98B159" w14:textId="77777777" w:rsidTr="0BF84996">
        <w:tc>
          <w:tcPr>
            <w:tcW w:w="3145" w:type="dxa"/>
            <w:vMerge/>
          </w:tcPr>
          <w:p w14:paraId="02281D67" w14:textId="77777777" w:rsidR="00A43A3A" w:rsidRDefault="00A43A3A" w:rsidP="00A43A3A">
            <w:pPr>
              <w:pStyle w:val="ListParagraph"/>
            </w:pPr>
          </w:p>
        </w:tc>
        <w:tc>
          <w:tcPr>
            <w:tcW w:w="6915" w:type="dxa"/>
          </w:tcPr>
          <w:p w14:paraId="0B7718B2" w14:textId="43CE90B1" w:rsidR="00A43A3A" w:rsidRPr="000931C3" w:rsidRDefault="00A43A3A" w:rsidP="000931C3">
            <w:pPr>
              <w:rPr>
                <w:b/>
                <w:bCs/>
              </w:rPr>
            </w:pPr>
            <w:r w:rsidRPr="42FF9608">
              <w:rPr>
                <w:b/>
                <w:bCs/>
              </w:rPr>
              <w:t>Meets expectation</w:t>
            </w:r>
            <w:r w:rsidR="003E675F">
              <w:rPr>
                <w:b/>
                <w:bCs/>
              </w:rPr>
              <w:t>s</w:t>
            </w:r>
            <w:r w:rsidRPr="42FF9608">
              <w:rPr>
                <w:b/>
                <w:bCs/>
              </w:rPr>
              <w:t xml:space="preserve">, with recommendations for strengthening </w:t>
            </w:r>
          </w:p>
          <w:p w14:paraId="7CEDD293" w14:textId="32676B0C" w:rsidR="00A43A3A" w:rsidRDefault="00A43A3A" w:rsidP="00D84B0E">
            <w:pPr>
              <w:pStyle w:val="ListParagraph"/>
              <w:numPr>
                <w:ilvl w:val="0"/>
                <w:numId w:val="10"/>
              </w:numPr>
            </w:pPr>
            <w:r>
              <w:t>More detail about the size and scope of gaps would provide valuable information for stakeholders</w:t>
            </w:r>
          </w:p>
          <w:p w14:paraId="78D0F2FC" w14:textId="70DC8ABA" w:rsidR="00A43A3A" w:rsidRDefault="00562FEF" w:rsidP="00375877">
            <w:pPr>
              <w:pStyle w:val="ListParagraph"/>
              <w:numPr>
                <w:ilvl w:val="0"/>
                <w:numId w:val="10"/>
              </w:numPr>
              <w:rPr>
                <w:rFonts w:eastAsiaTheme="minorEastAsia"/>
                <w:b/>
                <w:bCs/>
              </w:rPr>
            </w:pPr>
            <w:r>
              <w:t>Broadening</w:t>
            </w:r>
            <w:r w:rsidR="00A43A3A">
              <w:t xml:space="preserve"> </w:t>
            </w:r>
            <w:r w:rsidR="00B7612D">
              <w:t xml:space="preserve">the set of </w:t>
            </w:r>
            <w:r w:rsidR="00A43A3A">
              <w:t xml:space="preserve">data </w:t>
            </w:r>
            <w:r>
              <w:t xml:space="preserve">analyzed to include </w:t>
            </w:r>
            <w:r w:rsidR="00A43A3A">
              <w:t xml:space="preserve">measures </w:t>
            </w:r>
            <w:r>
              <w:t xml:space="preserve">beyond </w:t>
            </w:r>
            <w:r w:rsidR="00B7612D">
              <w:t xml:space="preserve">MCAS </w:t>
            </w:r>
            <w:r w:rsidR="00A43A3A">
              <w:t>would provide a more complete picture of student needs</w:t>
            </w:r>
          </w:p>
        </w:tc>
      </w:tr>
    </w:tbl>
    <w:p w14:paraId="17C6090C" w14:textId="04D9BE81" w:rsidR="42FF9608" w:rsidRDefault="42FF9608" w:rsidP="42FF9608"/>
    <w:tbl>
      <w:tblPr>
        <w:tblStyle w:val="TableGrid"/>
        <w:tblW w:w="10090" w:type="dxa"/>
        <w:tblLayout w:type="fixed"/>
        <w:tblLook w:val="06A0" w:firstRow="1" w:lastRow="0" w:firstColumn="1" w:lastColumn="0" w:noHBand="1" w:noVBand="1"/>
      </w:tblPr>
      <w:tblGrid>
        <w:gridCol w:w="3145"/>
        <w:gridCol w:w="6945"/>
      </w:tblGrid>
      <w:tr w:rsidR="42FF9608" w14:paraId="75DE490C" w14:textId="77777777" w:rsidTr="007C42FE">
        <w:tc>
          <w:tcPr>
            <w:tcW w:w="10090" w:type="dxa"/>
            <w:gridSpan w:val="2"/>
            <w:shd w:val="clear" w:color="auto" w:fill="0070C0"/>
          </w:tcPr>
          <w:p w14:paraId="50B35882" w14:textId="297AFDB5" w:rsidR="42FF9608" w:rsidRDefault="42FF9608" w:rsidP="42FF9608">
            <w:pPr>
              <w:jc w:val="center"/>
              <w:rPr>
                <w:rFonts w:ascii="Calibri" w:eastAsia="Calibri" w:hAnsi="Calibri" w:cs="Calibri"/>
                <w:b/>
                <w:bCs/>
                <w:color w:val="444444"/>
              </w:rPr>
            </w:pPr>
            <w:r w:rsidRPr="42FF9608">
              <w:rPr>
                <w:b/>
                <w:bCs/>
                <w:color w:val="FFFFFF" w:themeColor="background1"/>
                <w:sz w:val="24"/>
                <w:szCs w:val="24"/>
              </w:rPr>
              <w:t xml:space="preserve">Plan Element #2: </w:t>
            </w:r>
            <w:r w:rsidRPr="42FF9608">
              <w:rPr>
                <w:rFonts w:ascii="Calibri" w:eastAsia="Calibri" w:hAnsi="Calibri" w:cs="Calibri"/>
                <w:b/>
                <w:bCs/>
                <w:color w:val="FFFFFF" w:themeColor="background1"/>
              </w:rPr>
              <w:t xml:space="preserve">Selection of Evidence Based Practice </w:t>
            </w:r>
            <w:r w:rsidR="004E67A7">
              <w:rPr>
                <w:rFonts w:ascii="Calibri" w:eastAsia="Calibri" w:hAnsi="Calibri" w:cs="Calibri"/>
                <w:b/>
                <w:bCs/>
                <w:color w:val="FFFFFF" w:themeColor="background1"/>
              </w:rPr>
              <w:t xml:space="preserve">(EBP) </w:t>
            </w:r>
            <w:r w:rsidRPr="42FF9608">
              <w:rPr>
                <w:rFonts w:ascii="Calibri" w:eastAsia="Calibri" w:hAnsi="Calibri" w:cs="Calibri"/>
                <w:b/>
                <w:bCs/>
                <w:color w:val="FFFFFF" w:themeColor="background1"/>
              </w:rPr>
              <w:t>Areas and Metrics</w:t>
            </w:r>
          </w:p>
        </w:tc>
      </w:tr>
      <w:tr w:rsidR="42FF9608" w14:paraId="2CC8EDB8" w14:textId="77777777" w:rsidTr="76EE3E20">
        <w:trPr>
          <w:trHeight w:val="735"/>
        </w:trPr>
        <w:tc>
          <w:tcPr>
            <w:tcW w:w="3145" w:type="dxa"/>
            <w:vMerge w:val="restart"/>
          </w:tcPr>
          <w:p w14:paraId="5C667DC1" w14:textId="16FA1FE9" w:rsidR="005D190B" w:rsidRDefault="009F0A76" w:rsidP="42FF9608">
            <w:pPr>
              <w:rPr>
                <w:b/>
                <w:bCs/>
              </w:rPr>
            </w:pPr>
            <w:r w:rsidRPr="00143F5C">
              <w:rPr>
                <w:b/>
                <w:bCs/>
              </w:rPr>
              <w:t>Statutory Requirement</w:t>
            </w:r>
            <w:r w:rsidR="009A2967" w:rsidRPr="00143F5C">
              <w:rPr>
                <w:b/>
                <w:bCs/>
              </w:rPr>
              <w:t>(</w:t>
            </w:r>
            <w:r w:rsidRPr="00143F5C">
              <w:rPr>
                <w:b/>
                <w:bCs/>
              </w:rPr>
              <w:t>s</w:t>
            </w:r>
            <w:r w:rsidR="009A2967" w:rsidRPr="00143F5C">
              <w:rPr>
                <w:b/>
                <w:bCs/>
              </w:rPr>
              <w:t>)</w:t>
            </w:r>
          </w:p>
          <w:p w14:paraId="5EE26771" w14:textId="77777777" w:rsidR="005D190B" w:rsidRDefault="005D190B" w:rsidP="42FF9608">
            <w:pPr>
              <w:rPr>
                <w:b/>
                <w:bCs/>
              </w:rPr>
            </w:pPr>
          </w:p>
          <w:p w14:paraId="7F7A4790" w14:textId="2FA4DD8F" w:rsidR="42FF9608" w:rsidRPr="00C80378" w:rsidRDefault="00E04A5A" w:rsidP="347AAE15">
            <w:pPr>
              <w:pStyle w:val="ListParagraph"/>
              <w:numPr>
                <w:ilvl w:val="0"/>
                <w:numId w:val="12"/>
              </w:numPr>
              <w:rPr>
                <w:rStyle w:val="normaltextrun"/>
                <w:rFonts w:ascii="Calibri" w:hAnsi="Calibri" w:cs="Calibri"/>
                <w:i/>
                <w:iCs/>
                <w:color w:val="000000"/>
                <w:bdr w:val="none" w:sz="0" w:space="0" w:color="auto" w:frame="1"/>
              </w:rPr>
            </w:pPr>
            <w:r w:rsidRPr="347AAE15">
              <w:rPr>
                <w:rStyle w:val="normaltextrun"/>
                <w:rFonts w:ascii="Calibri" w:hAnsi="Calibri" w:cs="Calibri"/>
                <w:i/>
                <w:iCs/>
                <w:color w:val="000000"/>
                <w:bdr w:val="none" w:sz="0" w:space="0" w:color="auto" w:frame="1"/>
              </w:rPr>
              <w:t xml:space="preserve">Each district must provide a description of specific evidence-based programs it will implement (adopt, deepen, or continue) that will address persistent disparities in achievement among student groups. </w:t>
            </w:r>
          </w:p>
          <w:p w14:paraId="62D482B3" w14:textId="0DA6FF5F" w:rsidR="00C80378" w:rsidRDefault="00C80378" w:rsidP="00E04A5A">
            <w:pPr>
              <w:rPr>
                <w:rStyle w:val="normaltextrun"/>
                <w:rFonts w:ascii="Calibri" w:hAnsi="Calibri" w:cs="Calibri"/>
                <w:i/>
                <w:iCs/>
                <w:color w:val="000000"/>
                <w:bdr w:val="none" w:sz="0" w:space="0" w:color="auto" w:frame="1"/>
              </w:rPr>
            </w:pPr>
          </w:p>
          <w:p w14:paraId="5A9F9A08" w14:textId="08EB37D3" w:rsidR="00C80378" w:rsidRPr="00C80378" w:rsidRDefault="00C80378" w:rsidP="347AAE15">
            <w:pPr>
              <w:pStyle w:val="ListParagraph"/>
              <w:numPr>
                <w:ilvl w:val="0"/>
                <w:numId w:val="12"/>
              </w:numPr>
              <w:rPr>
                <w:rFonts w:eastAsiaTheme="minorEastAsia"/>
                <w:b/>
                <w:bCs/>
              </w:rPr>
            </w:pPr>
            <w:r w:rsidRPr="347AAE15">
              <w:rPr>
                <w:rStyle w:val="normaltextrun"/>
                <w:rFonts w:ascii="Calibri" w:hAnsi="Calibri" w:cs="Calibri"/>
                <w:i/>
                <w:iCs/>
                <w:color w:val="000000"/>
                <w:bdr w:val="none" w:sz="0" w:space="0" w:color="auto" w:frame="1"/>
              </w:rPr>
              <w:t>Districts must identify outcome metrics to measure success in addressing persistent disparities in achievement among student groups.</w:t>
            </w:r>
          </w:p>
          <w:p w14:paraId="6C798E17" w14:textId="1454FB8D" w:rsidR="42FF9608" w:rsidRDefault="42FF9608" w:rsidP="00B95862">
            <w:pPr>
              <w:rPr>
                <w:b/>
                <w:bCs/>
                <w:color w:val="FFFFFF" w:themeColor="background1"/>
                <w:sz w:val="24"/>
                <w:szCs w:val="24"/>
              </w:rPr>
            </w:pPr>
          </w:p>
        </w:tc>
        <w:tc>
          <w:tcPr>
            <w:tcW w:w="6945" w:type="dxa"/>
          </w:tcPr>
          <w:p w14:paraId="1CBE5924" w14:textId="260F250A" w:rsidR="00646A54" w:rsidRDefault="003E675F" w:rsidP="003E675F">
            <w:pPr>
              <w:rPr>
                <w:b/>
                <w:bCs/>
              </w:rPr>
            </w:pPr>
            <w:r w:rsidRPr="42FF9608">
              <w:rPr>
                <w:b/>
                <w:bCs/>
              </w:rPr>
              <w:t xml:space="preserve">Needs additional information in order to meet </w:t>
            </w:r>
            <w:r>
              <w:rPr>
                <w:b/>
                <w:bCs/>
              </w:rPr>
              <w:t xml:space="preserve">statutory requirements </w:t>
            </w:r>
          </w:p>
          <w:p w14:paraId="5F9BBA1C" w14:textId="31877C60" w:rsidR="00B80DAD" w:rsidRDefault="006E50C7" w:rsidP="506219F6">
            <w:pPr>
              <w:pStyle w:val="ListParagraph"/>
              <w:numPr>
                <w:ilvl w:val="0"/>
                <w:numId w:val="13"/>
              </w:numPr>
              <w:rPr>
                <w:rFonts w:eastAsiaTheme="minorEastAsia"/>
              </w:rPr>
            </w:pPr>
            <w:r>
              <w:rPr>
                <w:rFonts w:eastAsiaTheme="minorEastAsia"/>
              </w:rPr>
              <w:t>For each EBP, a</w:t>
            </w:r>
            <w:r w:rsidR="00130C8F">
              <w:rPr>
                <w:rFonts w:eastAsiaTheme="minorEastAsia"/>
              </w:rPr>
              <w:t>dditional detail is need</w:t>
            </w:r>
            <w:r w:rsidR="00504D56">
              <w:rPr>
                <w:rFonts w:eastAsiaTheme="minorEastAsia"/>
              </w:rPr>
              <w:t>ed in order to understand how</w:t>
            </w:r>
            <w:r w:rsidR="00B80DAD">
              <w:rPr>
                <w:rFonts w:eastAsiaTheme="minorEastAsia"/>
              </w:rPr>
              <w:t>:</w:t>
            </w:r>
          </w:p>
          <w:p w14:paraId="00EE3361" w14:textId="38AD46B7" w:rsidR="00130C8F" w:rsidRPr="00162D4C" w:rsidRDefault="00504D56" w:rsidP="0098343E">
            <w:pPr>
              <w:pStyle w:val="ListParagraph"/>
              <w:numPr>
                <w:ilvl w:val="1"/>
                <w:numId w:val="13"/>
              </w:numPr>
              <w:rPr>
                <w:rFonts w:eastAsiaTheme="minorEastAsia"/>
                <w:i/>
                <w:iCs/>
              </w:rPr>
            </w:pPr>
            <w:r>
              <w:rPr>
                <w:rFonts w:eastAsiaTheme="minorEastAsia"/>
              </w:rPr>
              <w:t xml:space="preserve">the district is allocating resources to </w:t>
            </w:r>
            <w:r w:rsidR="0023626E">
              <w:rPr>
                <w:rFonts w:eastAsiaTheme="minorEastAsia"/>
              </w:rPr>
              <w:t xml:space="preserve">support implementation </w:t>
            </w:r>
            <w:r w:rsidR="0098343E" w:rsidRPr="00162D4C">
              <w:rPr>
                <w:rFonts w:eastAsiaTheme="minorEastAsia"/>
                <w:i/>
                <w:iCs/>
              </w:rPr>
              <w:t>(e.g., funding</w:t>
            </w:r>
            <w:r w:rsidR="00162D4C" w:rsidRPr="00162D4C">
              <w:rPr>
                <w:rFonts w:eastAsiaTheme="minorEastAsia"/>
                <w:i/>
                <w:iCs/>
              </w:rPr>
              <w:t>, deployment of staff, PD)</w:t>
            </w:r>
          </w:p>
          <w:p w14:paraId="71B69143" w14:textId="17140781" w:rsidR="00FC6A82" w:rsidRPr="00AC5EEE" w:rsidRDefault="004E67A7" w:rsidP="00162D4C">
            <w:pPr>
              <w:pStyle w:val="ListParagraph"/>
              <w:numPr>
                <w:ilvl w:val="1"/>
                <w:numId w:val="13"/>
              </w:numPr>
              <w:rPr>
                <w:rFonts w:eastAsiaTheme="minorEastAsia"/>
              </w:rPr>
            </w:pPr>
            <w:r>
              <w:t xml:space="preserve">its implementation </w:t>
            </w:r>
            <w:r w:rsidR="1E182DC9">
              <w:t>will lead to gap-closing for identified student groups</w:t>
            </w:r>
            <w:r w:rsidR="506219F6">
              <w:t xml:space="preserve"> </w:t>
            </w:r>
          </w:p>
          <w:p w14:paraId="4D0A1DB0" w14:textId="08CD3497" w:rsidR="00AC5EEE" w:rsidRPr="00162D4C" w:rsidRDefault="00AC5EEE" w:rsidP="00162D4C">
            <w:pPr>
              <w:pStyle w:val="ListParagraph"/>
              <w:numPr>
                <w:ilvl w:val="1"/>
                <w:numId w:val="13"/>
              </w:numPr>
              <w:rPr>
                <w:rFonts w:eastAsiaTheme="minorEastAsia"/>
              </w:rPr>
            </w:pPr>
            <w:r>
              <w:t>the district is implementing strategies that reflect high-quality approaches described in the research and evidence base</w:t>
            </w:r>
          </w:p>
          <w:p w14:paraId="51A54EDC" w14:textId="0E90C6D0" w:rsidR="00FC6A82" w:rsidRPr="00B95862" w:rsidRDefault="329D0D79" w:rsidP="506219F6">
            <w:pPr>
              <w:pStyle w:val="ListParagraph"/>
              <w:numPr>
                <w:ilvl w:val="0"/>
                <w:numId w:val="13"/>
              </w:numPr>
              <w:rPr>
                <w:rFonts w:eastAsiaTheme="minorEastAsia"/>
              </w:rPr>
            </w:pPr>
            <w:r>
              <w:t xml:space="preserve">Selected EBPs </w:t>
            </w:r>
            <w:r w:rsidR="00F15167">
              <w:t>need to</w:t>
            </w:r>
            <w:r>
              <w:t xml:space="preserve"> explicitly address needs ident</w:t>
            </w:r>
            <w:r w:rsidR="19E30E74">
              <w:t>i</w:t>
            </w:r>
            <w:r>
              <w:t xml:space="preserve">fied in </w:t>
            </w:r>
            <w:r w:rsidR="002B62C2">
              <w:t xml:space="preserve">the disaggregated </w:t>
            </w:r>
            <w:r>
              <w:t>data analysis</w:t>
            </w:r>
          </w:p>
          <w:p w14:paraId="068079DD" w14:textId="77777777" w:rsidR="00EC4119" w:rsidRDefault="00F43E35" w:rsidP="00EC4119">
            <w:pPr>
              <w:pStyle w:val="ListParagraph"/>
              <w:numPr>
                <w:ilvl w:val="0"/>
                <w:numId w:val="13"/>
              </w:numPr>
              <w:rPr>
                <w:rFonts w:eastAsiaTheme="minorEastAsia"/>
              </w:rPr>
            </w:pPr>
            <w:r>
              <w:rPr>
                <w:rFonts w:eastAsiaTheme="minorEastAsia"/>
              </w:rPr>
              <w:t>Outcomes metrics need to</w:t>
            </w:r>
            <w:r w:rsidR="00776F56">
              <w:rPr>
                <w:rFonts w:eastAsiaTheme="minorEastAsia"/>
              </w:rPr>
              <w:t xml:space="preserve"> have clear connections to the EBP</w:t>
            </w:r>
          </w:p>
          <w:p w14:paraId="0D24A2FF" w14:textId="352A8CFA" w:rsidR="000D4849" w:rsidRPr="000D4849" w:rsidRDefault="000D4849" w:rsidP="000D4849">
            <w:pPr>
              <w:pStyle w:val="ListParagraph"/>
              <w:numPr>
                <w:ilvl w:val="0"/>
                <w:numId w:val="13"/>
              </w:numPr>
              <w:rPr>
                <w:rFonts w:eastAsiaTheme="minorEastAsia"/>
              </w:rPr>
            </w:pPr>
            <w:r>
              <w:rPr>
                <w:rFonts w:eastAsiaTheme="minorEastAsia"/>
              </w:rPr>
              <w:t>A brief rationale for any EBP not in</w:t>
            </w:r>
            <w:r w:rsidR="00DD484F">
              <w:rPr>
                <w:rFonts w:eastAsiaTheme="minorEastAsia"/>
              </w:rPr>
              <w:t>cluded</w:t>
            </w:r>
            <w:r>
              <w:rPr>
                <w:rFonts w:eastAsiaTheme="minorEastAsia"/>
              </w:rPr>
              <w:t xml:space="preserve"> a district’s original plan </w:t>
            </w:r>
            <w:r w:rsidR="004E6D22">
              <w:rPr>
                <w:rFonts w:eastAsiaTheme="minorEastAsia"/>
              </w:rPr>
              <w:t xml:space="preserve">is </w:t>
            </w:r>
            <w:r>
              <w:rPr>
                <w:rFonts w:eastAsiaTheme="minorEastAsia"/>
              </w:rPr>
              <w:t xml:space="preserve">needed to complete </w:t>
            </w:r>
            <w:r w:rsidR="002105F4">
              <w:rPr>
                <w:rFonts w:eastAsiaTheme="minorEastAsia"/>
              </w:rPr>
              <w:t xml:space="preserve">the </w:t>
            </w:r>
            <w:r w:rsidR="00DD484F">
              <w:rPr>
                <w:rFonts w:eastAsiaTheme="minorEastAsia"/>
              </w:rPr>
              <w:t>review of the FY22 SOA Plan Amendment</w:t>
            </w:r>
          </w:p>
        </w:tc>
      </w:tr>
      <w:tr w:rsidR="42FF9608" w14:paraId="7D207E54" w14:textId="77777777" w:rsidTr="76EE3E20">
        <w:tc>
          <w:tcPr>
            <w:tcW w:w="3145" w:type="dxa"/>
            <w:vMerge/>
          </w:tcPr>
          <w:p w14:paraId="530C5679" w14:textId="77777777" w:rsidR="00B241B5" w:rsidRDefault="00B241B5"/>
        </w:tc>
        <w:tc>
          <w:tcPr>
            <w:tcW w:w="6945" w:type="dxa"/>
          </w:tcPr>
          <w:p w14:paraId="1B6D7DE2" w14:textId="21A14F41" w:rsidR="005E5828" w:rsidRDefault="003E675F" w:rsidP="00C752A3">
            <w:pPr>
              <w:rPr>
                <w:b/>
                <w:bCs/>
              </w:rPr>
            </w:pPr>
            <w:r w:rsidRPr="42FF9608">
              <w:rPr>
                <w:b/>
                <w:bCs/>
              </w:rPr>
              <w:t>Meets expectation</w:t>
            </w:r>
            <w:r>
              <w:rPr>
                <w:b/>
                <w:bCs/>
              </w:rPr>
              <w:t>s</w:t>
            </w:r>
            <w:r w:rsidRPr="42FF9608">
              <w:rPr>
                <w:b/>
                <w:bCs/>
              </w:rPr>
              <w:t xml:space="preserve">, with recommendations for strengthening </w:t>
            </w:r>
          </w:p>
          <w:p w14:paraId="3E10A463" w14:textId="4D47FDA2" w:rsidR="00536EFE" w:rsidRDefault="3EDC4DAF" w:rsidP="76EE3E20">
            <w:pPr>
              <w:pStyle w:val="ListParagraph"/>
              <w:numPr>
                <w:ilvl w:val="0"/>
                <w:numId w:val="15"/>
              </w:numPr>
              <w:rPr>
                <w:rFonts w:eastAsiaTheme="minorEastAsia"/>
              </w:rPr>
            </w:pPr>
            <w:r w:rsidRPr="76EE3E20">
              <w:rPr>
                <w:rFonts w:eastAsiaTheme="minorEastAsia"/>
              </w:rPr>
              <w:t xml:space="preserve">Consider adding interim </w:t>
            </w:r>
            <w:r w:rsidR="6B45D5A0" w:rsidRPr="76EE3E20">
              <w:rPr>
                <w:rFonts w:eastAsiaTheme="minorEastAsia"/>
              </w:rPr>
              <w:t xml:space="preserve">outcomes </w:t>
            </w:r>
            <w:r w:rsidRPr="76EE3E20">
              <w:rPr>
                <w:rFonts w:eastAsiaTheme="minorEastAsia"/>
              </w:rPr>
              <w:t>me</w:t>
            </w:r>
            <w:r w:rsidR="6B45D5A0" w:rsidRPr="76EE3E20">
              <w:rPr>
                <w:rFonts w:eastAsiaTheme="minorEastAsia"/>
              </w:rPr>
              <w:t xml:space="preserve">trics </w:t>
            </w:r>
            <w:r w:rsidR="0563C944" w:rsidRPr="76EE3E20">
              <w:rPr>
                <w:rFonts w:eastAsiaTheme="minorEastAsia"/>
              </w:rPr>
              <w:t xml:space="preserve">to measure progress </w:t>
            </w:r>
            <w:r w:rsidR="6B45D5A0" w:rsidRPr="76EE3E20">
              <w:rPr>
                <w:rFonts w:eastAsiaTheme="minorEastAsia"/>
              </w:rPr>
              <w:t>if you have selected longer-</w:t>
            </w:r>
            <w:r w:rsidR="69DA17B1" w:rsidRPr="76EE3E20">
              <w:rPr>
                <w:rFonts w:eastAsiaTheme="minorEastAsia"/>
              </w:rPr>
              <w:t>term measures that may take multiple years to be realized</w:t>
            </w:r>
          </w:p>
          <w:p w14:paraId="77CF2C7F" w14:textId="0745D769" w:rsidR="00FA6A25" w:rsidRPr="00C752A3" w:rsidRDefault="00386DF9" w:rsidP="00D339F0">
            <w:pPr>
              <w:pStyle w:val="ListParagraph"/>
              <w:numPr>
                <w:ilvl w:val="0"/>
                <w:numId w:val="15"/>
              </w:numPr>
              <w:rPr>
                <w:rFonts w:eastAsiaTheme="minorEastAsia"/>
              </w:rPr>
            </w:pPr>
            <w:r>
              <w:rPr>
                <w:rFonts w:eastAsiaTheme="minorEastAsia"/>
              </w:rPr>
              <w:t xml:space="preserve">Where </w:t>
            </w:r>
            <w:r w:rsidR="001A7ADD">
              <w:rPr>
                <w:rFonts w:eastAsiaTheme="minorEastAsia"/>
              </w:rPr>
              <w:t xml:space="preserve">plans </w:t>
            </w:r>
            <w:r w:rsidR="00AF6826">
              <w:rPr>
                <w:rFonts w:eastAsiaTheme="minorEastAsia"/>
              </w:rPr>
              <w:t>i</w:t>
            </w:r>
            <w:r>
              <w:rPr>
                <w:rFonts w:eastAsiaTheme="minorEastAsia"/>
              </w:rPr>
              <w:t>nclude large numbers of EBP</w:t>
            </w:r>
            <w:r w:rsidR="00686B70">
              <w:rPr>
                <w:rFonts w:eastAsiaTheme="minorEastAsia"/>
              </w:rPr>
              <w:t>s</w:t>
            </w:r>
            <w:r w:rsidR="001A7ADD">
              <w:rPr>
                <w:rFonts w:eastAsiaTheme="minorEastAsia"/>
              </w:rPr>
              <w:t>,</w:t>
            </w:r>
            <w:r w:rsidR="00686B70">
              <w:rPr>
                <w:rFonts w:eastAsiaTheme="minorEastAsia"/>
              </w:rPr>
              <w:t xml:space="preserve"> </w:t>
            </w:r>
            <w:r w:rsidR="00E56D8C">
              <w:rPr>
                <w:rFonts w:eastAsiaTheme="minorEastAsia"/>
              </w:rPr>
              <w:t xml:space="preserve">recommend </w:t>
            </w:r>
            <w:r w:rsidR="001A7ADD">
              <w:rPr>
                <w:rFonts w:eastAsiaTheme="minorEastAsia"/>
              </w:rPr>
              <w:t xml:space="preserve">that they </w:t>
            </w:r>
            <w:r w:rsidR="00E56D8C">
              <w:rPr>
                <w:rFonts w:eastAsiaTheme="minorEastAsia"/>
              </w:rPr>
              <w:t xml:space="preserve">focus on a </w:t>
            </w:r>
            <w:r w:rsidR="001A7ADD">
              <w:rPr>
                <w:rFonts w:eastAsiaTheme="minorEastAsia"/>
              </w:rPr>
              <w:t xml:space="preserve">just </w:t>
            </w:r>
            <w:r w:rsidR="00E56D8C">
              <w:rPr>
                <w:rFonts w:eastAsiaTheme="minorEastAsia"/>
              </w:rPr>
              <w:t>few that will have the greatest impact on gap-closing for targeted student groups</w:t>
            </w:r>
            <w:r w:rsidR="00AF6826">
              <w:rPr>
                <w:rFonts w:eastAsiaTheme="minorEastAsia"/>
              </w:rPr>
              <w:t xml:space="preserve">.  </w:t>
            </w:r>
            <w:r w:rsidR="00AF6826" w:rsidRPr="00AF6826">
              <w:rPr>
                <w:rFonts w:eastAsiaTheme="minorEastAsia"/>
                <w:i/>
                <w:iCs/>
              </w:rPr>
              <w:t xml:space="preserve">(e.g., a short form </w:t>
            </w:r>
            <w:r w:rsidR="00A85051">
              <w:rPr>
                <w:rFonts w:eastAsiaTheme="minorEastAsia"/>
                <w:i/>
                <w:iCs/>
              </w:rPr>
              <w:t>plan</w:t>
            </w:r>
            <w:r w:rsidR="00AF6826" w:rsidRPr="00AF6826">
              <w:rPr>
                <w:rFonts w:eastAsiaTheme="minorEastAsia"/>
                <w:i/>
                <w:iCs/>
              </w:rPr>
              <w:t xml:space="preserve"> with 9 EBPs</w:t>
            </w:r>
            <w:r w:rsidR="00AF6826">
              <w:rPr>
                <w:rFonts w:eastAsiaTheme="minorEastAsia"/>
                <w:i/>
                <w:iCs/>
              </w:rPr>
              <w:t>)</w:t>
            </w:r>
          </w:p>
        </w:tc>
      </w:tr>
    </w:tbl>
    <w:p w14:paraId="2C4F1BE9" w14:textId="77777777" w:rsidR="00116E25" w:rsidRDefault="00116E25" w:rsidP="0001373F">
      <w:pPr>
        <w:jc w:val="center"/>
        <w:sectPr w:rsidR="00116E25" w:rsidSect="00243EF5">
          <w:pgSz w:w="12240" w:h="15840"/>
          <w:pgMar w:top="1008" w:right="1080" w:bottom="1008" w:left="1080" w:header="720" w:footer="720" w:gutter="0"/>
          <w:cols w:space="720"/>
          <w:docGrid w:linePitch="360"/>
        </w:sectPr>
      </w:pPr>
    </w:p>
    <w:tbl>
      <w:tblPr>
        <w:tblStyle w:val="TableGrid"/>
        <w:tblW w:w="10090" w:type="dxa"/>
        <w:tblLayout w:type="fixed"/>
        <w:tblLook w:val="06A0" w:firstRow="1" w:lastRow="0" w:firstColumn="1" w:lastColumn="0" w:noHBand="1" w:noVBand="1"/>
      </w:tblPr>
      <w:tblGrid>
        <w:gridCol w:w="3145"/>
        <w:gridCol w:w="6945"/>
      </w:tblGrid>
      <w:tr w:rsidR="00B95862" w14:paraId="2AD32006" w14:textId="77777777" w:rsidTr="007C42FE">
        <w:tc>
          <w:tcPr>
            <w:tcW w:w="10090" w:type="dxa"/>
            <w:gridSpan w:val="2"/>
            <w:shd w:val="clear" w:color="auto" w:fill="0070C0"/>
          </w:tcPr>
          <w:p w14:paraId="44E5469F" w14:textId="4CEE29C3" w:rsidR="00B95862" w:rsidRDefault="00726583" w:rsidP="0001373F">
            <w:pPr>
              <w:jc w:val="center"/>
              <w:rPr>
                <w:rFonts w:ascii="Calibri" w:eastAsia="Calibri" w:hAnsi="Calibri" w:cs="Calibri"/>
                <w:b/>
                <w:bCs/>
                <w:color w:val="444444"/>
              </w:rPr>
            </w:pPr>
            <w:r>
              <w:lastRenderedPageBreak/>
              <w:br w:type="page"/>
            </w:r>
            <w:r w:rsidR="00B95862" w:rsidRPr="42FF9608">
              <w:rPr>
                <w:b/>
                <w:bCs/>
                <w:color w:val="FFFFFF" w:themeColor="background1"/>
                <w:sz w:val="24"/>
                <w:szCs w:val="24"/>
              </w:rPr>
              <w:t>Plan Element #</w:t>
            </w:r>
            <w:r w:rsidR="00B95862">
              <w:rPr>
                <w:b/>
                <w:bCs/>
                <w:color w:val="FFFFFF" w:themeColor="background1"/>
                <w:sz w:val="24"/>
                <w:szCs w:val="24"/>
              </w:rPr>
              <w:t>3</w:t>
            </w:r>
            <w:r w:rsidR="00B95862" w:rsidRPr="42FF9608">
              <w:rPr>
                <w:b/>
                <w:bCs/>
                <w:color w:val="FFFFFF" w:themeColor="background1"/>
                <w:sz w:val="24"/>
                <w:szCs w:val="24"/>
              </w:rPr>
              <w:t xml:space="preserve">: </w:t>
            </w:r>
            <w:r w:rsidR="008D2EC3">
              <w:rPr>
                <w:rFonts w:ascii="Calibri" w:eastAsia="Calibri" w:hAnsi="Calibri" w:cs="Calibri"/>
                <w:b/>
                <w:bCs/>
                <w:color w:val="FFFFFF" w:themeColor="background1"/>
              </w:rPr>
              <w:t>Budget</w:t>
            </w:r>
            <w:r w:rsidR="0093112F">
              <w:rPr>
                <w:rFonts w:ascii="Calibri" w:eastAsia="Calibri" w:hAnsi="Calibri" w:cs="Calibri"/>
                <w:b/>
                <w:bCs/>
                <w:color w:val="FFFFFF" w:themeColor="background1"/>
              </w:rPr>
              <w:t>/Resource Allocation</w:t>
            </w:r>
          </w:p>
        </w:tc>
      </w:tr>
      <w:tr w:rsidR="009C6745" w:rsidRPr="00976311" w14:paraId="57A1229D" w14:textId="77777777" w:rsidTr="76EE3E20">
        <w:trPr>
          <w:trHeight w:val="2744"/>
        </w:trPr>
        <w:tc>
          <w:tcPr>
            <w:tcW w:w="3145" w:type="dxa"/>
            <w:vMerge w:val="restart"/>
          </w:tcPr>
          <w:p w14:paraId="00804CFE" w14:textId="6108D494" w:rsidR="009C6745" w:rsidRDefault="009C6745" w:rsidP="0001373F">
            <w:pPr>
              <w:rPr>
                <w:b/>
                <w:bCs/>
              </w:rPr>
            </w:pPr>
            <w:r w:rsidRPr="00143F5C">
              <w:rPr>
                <w:b/>
                <w:bCs/>
              </w:rPr>
              <w:t>Statutory Requirement(s)</w:t>
            </w:r>
          </w:p>
          <w:p w14:paraId="35BD6CAC" w14:textId="2024BF58" w:rsidR="009C6745" w:rsidRDefault="009C6745" w:rsidP="00FE7D1B">
            <w:pPr>
              <w:jc w:val="both"/>
              <w:rPr>
                <w:b/>
                <w:bCs/>
                <w:color w:val="FFFFFF" w:themeColor="background1"/>
                <w:sz w:val="24"/>
                <w:szCs w:val="24"/>
              </w:rPr>
            </w:pPr>
            <w:r w:rsidRPr="005D190B">
              <w:rPr>
                <w:rStyle w:val="normaltextrun"/>
                <w:rFonts w:ascii="Calibri" w:hAnsi="Calibri" w:cs="Calibri"/>
                <w:i/>
                <w:iCs/>
                <w:color w:val="000000"/>
                <w:sz w:val="20"/>
                <w:szCs w:val="20"/>
              </w:rPr>
              <w:t>For each program selected, districts must note the funding budgeted for this program in the upcoming fiscal year and the associated foundation budget category(</w:t>
            </w:r>
            <w:proofErr w:type="spellStart"/>
            <w:r w:rsidRPr="005D190B">
              <w:rPr>
                <w:rStyle w:val="spellingerror"/>
                <w:rFonts w:ascii="Calibri" w:hAnsi="Calibri" w:cs="Calibri"/>
                <w:i/>
                <w:iCs/>
                <w:color w:val="000000"/>
                <w:sz w:val="20"/>
                <w:szCs w:val="20"/>
              </w:rPr>
              <w:t>ies</w:t>
            </w:r>
            <w:proofErr w:type="spellEnd"/>
            <w:r w:rsidRPr="005D190B">
              <w:rPr>
                <w:rStyle w:val="normaltextrun"/>
                <w:rFonts w:ascii="Calibri" w:hAnsi="Calibri" w:cs="Calibri"/>
                <w:i/>
                <w:iCs/>
                <w:color w:val="000000"/>
                <w:sz w:val="20"/>
                <w:szCs w:val="20"/>
              </w:rPr>
              <w:t>). These funds could be across Chapter 70 or other local, state, federal, or grant-based funding sources.</w:t>
            </w:r>
          </w:p>
        </w:tc>
        <w:tc>
          <w:tcPr>
            <w:tcW w:w="6945" w:type="dxa"/>
          </w:tcPr>
          <w:p w14:paraId="098429B7" w14:textId="6B27CEC4" w:rsidR="009C6745" w:rsidRDefault="009C6745" w:rsidP="0001373F">
            <w:pPr>
              <w:rPr>
                <w:b/>
                <w:bCs/>
              </w:rPr>
            </w:pPr>
            <w:r w:rsidRPr="42FF9608">
              <w:rPr>
                <w:b/>
                <w:bCs/>
              </w:rPr>
              <w:t xml:space="preserve">Needs additional information in order to meet </w:t>
            </w:r>
            <w:r>
              <w:rPr>
                <w:b/>
                <w:bCs/>
              </w:rPr>
              <w:t xml:space="preserve">statutory requirements </w:t>
            </w:r>
          </w:p>
          <w:p w14:paraId="24C13A23" w14:textId="1992AE83" w:rsidR="009C6745" w:rsidRDefault="009C6745" w:rsidP="00306367">
            <w:pPr>
              <w:pStyle w:val="ListParagraph"/>
              <w:numPr>
                <w:ilvl w:val="0"/>
                <w:numId w:val="13"/>
              </w:numPr>
              <w:rPr>
                <w:rFonts w:eastAsiaTheme="minorEastAsia"/>
              </w:rPr>
            </w:pPr>
            <w:r>
              <w:rPr>
                <w:rFonts w:eastAsiaTheme="minorEastAsia"/>
              </w:rPr>
              <w:t>Missing or incomplete budget information is needed in order to complete the review of the FY22 SOA Plan amendment</w:t>
            </w:r>
          </w:p>
          <w:p w14:paraId="7CF3B928" w14:textId="77777777" w:rsidR="009C6745" w:rsidRPr="00F448D4" w:rsidRDefault="009C6745" w:rsidP="00306367">
            <w:pPr>
              <w:pStyle w:val="ListParagraph"/>
              <w:numPr>
                <w:ilvl w:val="0"/>
                <w:numId w:val="13"/>
              </w:numPr>
            </w:pPr>
            <w:r>
              <w:rPr>
                <w:rFonts w:eastAsiaTheme="minorEastAsia"/>
              </w:rPr>
              <w:t>District will be asked to provide additional information if</w:t>
            </w:r>
            <w:r w:rsidRPr="001F0C7F">
              <w:rPr>
                <w:rFonts w:eastAsiaTheme="minorEastAsia"/>
              </w:rPr>
              <w:t xml:space="preserve"> the budget</w:t>
            </w:r>
            <w:r>
              <w:rPr>
                <w:rFonts w:eastAsiaTheme="minorEastAsia"/>
              </w:rPr>
              <w:t>:</w:t>
            </w:r>
            <w:r w:rsidRPr="001F0C7F">
              <w:rPr>
                <w:rFonts w:eastAsiaTheme="minorEastAsia"/>
              </w:rPr>
              <w:t xml:space="preserve"> </w:t>
            </w:r>
          </w:p>
          <w:p w14:paraId="2B580FF6" w14:textId="3B58538F" w:rsidR="009C6745" w:rsidRPr="001F0C7F" w:rsidRDefault="009C6745" w:rsidP="00F448D4">
            <w:pPr>
              <w:pStyle w:val="ListParagraph"/>
              <w:numPr>
                <w:ilvl w:val="1"/>
                <w:numId w:val="13"/>
              </w:numPr>
            </w:pPr>
            <w:r w:rsidRPr="001F0C7F">
              <w:rPr>
                <w:rFonts w:eastAsiaTheme="minorEastAsia"/>
              </w:rPr>
              <w:t xml:space="preserve">only addresses how additional FY22 Chapter 70 funds are being utilized </w:t>
            </w:r>
          </w:p>
          <w:p w14:paraId="03BB2FEC" w14:textId="4F3DAD4B" w:rsidR="009C6745" w:rsidRPr="00510452" w:rsidRDefault="009C6745" w:rsidP="002D2783">
            <w:pPr>
              <w:pStyle w:val="ListParagraph"/>
              <w:numPr>
                <w:ilvl w:val="1"/>
                <w:numId w:val="13"/>
              </w:numPr>
            </w:pPr>
            <w:r>
              <w:rPr>
                <w:rFonts w:eastAsiaTheme="minorEastAsia"/>
              </w:rPr>
              <w:t>includes o</w:t>
            </w:r>
            <w:r w:rsidRPr="002D2783">
              <w:rPr>
                <w:rFonts w:eastAsiaTheme="minorEastAsia"/>
              </w:rPr>
              <w:t>ne or more large expenditures listed as ‘Other’ with no</w:t>
            </w:r>
            <w:r>
              <w:rPr>
                <w:rFonts w:eastAsiaTheme="minorEastAsia"/>
              </w:rPr>
              <w:t xml:space="preserve"> additional detail or </w:t>
            </w:r>
            <w:r w:rsidRPr="002D2783">
              <w:rPr>
                <w:rFonts w:eastAsiaTheme="minorEastAsia"/>
              </w:rPr>
              <w:t xml:space="preserve">inadequate </w:t>
            </w:r>
            <w:r>
              <w:rPr>
                <w:rFonts w:eastAsiaTheme="minorEastAsia"/>
              </w:rPr>
              <w:t>detail</w:t>
            </w:r>
          </w:p>
          <w:p w14:paraId="21C68320" w14:textId="5AEB659D" w:rsidR="009C6745" w:rsidRPr="00976311" w:rsidRDefault="009C6745" w:rsidP="3F0ED35A">
            <w:pPr>
              <w:pStyle w:val="ListParagraph"/>
              <w:numPr>
                <w:ilvl w:val="1"/>
                <w:numId w:val="13"/>
              </w:numPr>
              <w:rPr>
                <w:rFonts w:eastAsiaTheme="minorEastAsia"/>
                <w:b/>
                <w:bCs/>
              </w:rPr>
            </w:pPr>
            <w:r w:rsidRPr="3F0ED35A">
              <w:rPr>
                <w:rFonts w:eastAsiaTheme="minorEastAsia"/>
              </w:rPr>
              <w:t>represents a small proportion of additional FY22 Chapter 70 and ESSER allocation the district is receiving</w:t>
            </w:r>
          </w:p>
        </w:tc>
      </w:tr>
      <w:tr w:rsidR="009C6745" w:rsidRPr="00976311" w14:paraId="30E74985" w14:textId="77777777" w:rsidTr="76EE3E20">
        <w:trPr>
          <w:trHeight w:val="1079"/>
        </w:trPr>
        <w:tc>
          <w:tcPr>
            <w:tcW w:w="3145" w:type="dxa"/>
            <w:vMerge/>
          </w:tcPr>
          <w:p w14:paraId="295B4F87" w14:textId="77777777" w:rsidR="009C6745" w:rsidRDefault="009C6745" w:rsidP="0001373F"/>
        </w:tc>
        <w:tc>
          <w:tcPr>
            <w:tcW w:w="6945" w:type="dxa"/>
          </w:tcPr>
          <w:p w14:paraId="36D92258" w14:textId="77777777" w:rsidR="00AE6DDE" w:rsidRPr="00AE6DDE" w:rsidRDefault="49A92398" w:rsidP="00AE6DDE">
            <w:pPr>
              <w:rPr>
                <w:b/>
                <w:bCs/>
              </w:rPr>
            </w:pPr>
            <w:r w:rsidRPr="00AE6DDE">
              <w:rPr>
                <w:b/>
                <w:bCs/>
              </w:rPr>
              <w:t>Meets expectations, with recommendations for strengthening</w:t>
            </w:r>
          </w:p>
          <w:p w14:paraId="2F06BF57" w14:textId="1DADFD3F" w:rsidR="006C3DC3" w:rsidRPr="42FF9608" w:rsidRDefault="2EBF06C1" w:rsidP="00662077">
            <w:pPr>
              <w:pStyle w:val="ListParagraph"/>
              <w:numPr>
                <w:ilvl w:val="0"/>
                <w:numId w:val="13"/>
              </w:numPr>
              <w:rPr>
                <w:b/>
                <w:bCs/>
              </w:rPr>
            </w:pPr>
            <w:r w:rsidRPr="76EE3E20">
              <w:rPr>
                <w:rFonts w:eastAsiaTheme="minorEastAsia"/>
              </w:rPr>
              <w:t>C</w:t>
            </w:r>
            <w:r w:rsidR="49A92398" w:rsidRPr="76EE3E20">
              <w:rPr>
                <w:rFonts w:eastAsiaTheme="minorEastAsia"/>
              </w:rPr>
              <w:t>onsider adding additional evidence-based program areas where the total budget represents a small proportion of additional FY22 Chapter 70 and ESSER allocation that the district is receiving</w:t>
            </w:r>
          </w:p>
        </w:tc>
      </w:tr>
    </w:tbl>
    <w:p w14:paraId="3624E5C2" w14:textId="1E85C4ED" w:rsidR="42FF9608" w:rsidRDefault="42FF9608" w:rsidP="42FF9608"/>
    <w:tbl>
      <w:tblPr>
        <w:tblStyle w:val="TableGrid"/>
        <w:tblW w:w="10120" w:type="dxa"/>
        <w:tblLayout w:type="fixed"/>
        <w:tblLook w:val="06A0" w:firstRow="1" w:lastRow="0" w:firstColumn="1" w:lastColumn="0" w:noHBand="1" w:noVBand="1"/>
      </w:tblPr>
      <w:tblGrid>
        <w:gridCol w:w="3145"/>
        <w:gridCol w:w="6975"/>
      </w:tblGrid>
      <w:tr w:rsidR="00D4072B" w14:paraId="1B689864" w14:textId="77777777" w:rsidTr="007C42FE">
        <w:tc>
          <w:tcPr>
            <w:tcW w:w="10120" w:type="dxa"/>
            <w:gridSpan w:val="2"/>
            <w:shd w:val="clear" w:color="auto" w:fill="0070C0"/>
          </w:tcPr>
          <w:p w14:paraId="05A1633C" w14:textId="577D812A" w:rsidR="00D4072B" w:rsidRDefault="00D4072B" w:rsidP="0001373F">
            <w:pPr>
              <w:jc w:val="center"/>
              <w:rPr>
                <w:rFonts w:ascii="Calibri" w:eastAsia="Calibri" w:hAnsi="Calibri" w:cs="Calibri"/>
                <w:b/>
                <w:bCs/>
                <w:color w:val="444444"/>
              </w:rPr>
            </w:pPr>
            <w:r w:rsidRPr="42FF9608">
              <w:rPr>
                <w:b/>
                <w:bCs/>
                <w:color w:val="FFFFFF" w:themeColor="background1"/>
                <w:sz w:val="24"/>
                <w:szCs w:val="24"/>
              </w:rPr>
              <w:t>Plan Element #</w:t>
            </w:r>
            <w:r w:rsidR="008A0ADC">
              <w:rPr>
                <w:b/>
                <w:bCs/>
                <w:color w:val="FFFFFF" w:themeColor="background1"/>
                <w:sz w:val="24"/>
                <w:szCs w:val="24"/>
              </w:rPr>
              <w:t>4</w:t>
            </w:r>
            <w:r w:rsidRPr="42FF9608">
              <w:rPr>
                <w:b/>
                <w:bCs/>
                <w:color w:val="FFFFFF" w:themeColor="background1"/>
                <w:sz w:val="24"/>
                <w:szCs w:val="24"/>
              </w:rPr>
              <w:t xml:space="preserve">: </w:t>
            </w:r>
            <w:r w:rsidR="008A0ADC">
              <w:rPr>
                <w:b/>
                <w:bCs/>
                <w:color w:val="FFFFFF" w:themeColor="background1"/>
                <w:sz w:val="24"/>
                <w:szCs w:val="24"/>
              </w:rPr>
              <w:t>Engaging all Families</w:t>
            </w:r>
          </w:p>
        </w:tc>
      </w:tr>
      <w:tr w:rsidR="00D4072B" w:rsidRPr="00976311" w14:paraId="28F33657" w14:textId="77777777" w:rsidTr="76EE3E20">
        <w:trPr>
          <w:trHeight w:val="735"/>
        </w:trPr>
        <w:tc>
          <w:tcPr>
            <w:tcW w:w="3145" w:type="dxa"/>
            <w:vMerge w:val="restart"/>
          </w:tcPr>
          <w:p w14:paraId="16AAF285" w14:textId="0D5F4832" w:rsidR="00D4072B" w:rsidRDefault="007E6D68" w:rsidP="0001373F">
            <w:pPr>
              <w:rPr>
                <w:b/>
                <w:bCs/>
              </w:rPr>
            </w:pPr>
            <w:r w:rsidRPr="00143F5C">
              <w:rPr>
                <w:b/>
                <w:bCs/>
              </w:rPr>
              <w:t>Statutory Requirement</w:t>
            </w:r>
            <w:r w:rsidR="009A2967" w:rsidRPr="00143F5C">
              <w:rPr>
                <w:b/>
                <w:bCs/>
              </w:rPr>
              <w:t>(</w:t>
            </w:r>
            <w:r w:rsidRPr="00143F5C">
              <w:rPr>
                <w:b/>
                <w:bCs/>
              </w:rPr>
              <w:t>s</w:t>
            </w:r>
            <w:r w:rsidR="009A2967" w:rsidRPr="00143F5C">
              <w:rPr>
                <w:b/>
                <w:bCs/>
              </w:rPr>
              <w:t>)</w:t>
            </w:r>
          </w:p>
          <w:p w14:paraId="3726A904" w14:textId="68C0BEB4" w:rsidR="00D4072B" w:rsidRDefault="008A0ADC" w:rsidP="008A0ADC">
            <w:pPr>
              <w:rPr>
                <w:b/>
                <w:bCs/>
                <w:color w:val="FFFFFF" w:themeColor="background1"/>
                <w:sz w:val="24"/>
                <w:szCs w:val="24"/>
              </w:rPr>
            </w:pPr>
            <w:r>
              <w:rPr>
                <w:rStyle w:val="normaltextrun"/>
                <w:rFonts w:ascii="Calibri" w:hAnsi="Calibri" w:cs="Calibri"/>
                <w:i/>
                <w:iCs/>
                <w:color w:val="000000"/>
                <w:sz w:val="20"/>
                <w:szCs w:val="20"/>
                <w:bdr w:val="none" w:sz="0" w:space="0" w:color="auto" w:frame="1"/>
              </w:rPr>
              <w:t>Districts must provide a description of how the district will effectuate and measure increased parent engagement and include specific plans targeted to parents/guardians of low-income students, English learners, and students with disabilities.</w:t>
            </w:r>
          </w:p>
        </w:tc>
        <w:tc>
          <w:tcPr>
            <w:tcW w:w="6975" w:type="dxa"/>
          </w:tcPr>
          <w:p w14:paraId="10483297" w14:textId="22578726" w:rsidR="005E5828" w:rsidRDefault="00D4072B" w:rsidP="0001373F">
            <w:pPr>
              <w:rPr>
                <w:b/>
                <w:bCs/>
              </w:rPr>
            </w:pPr>
            <w:r w:rsidRPr="42FF9608">
              <w:rPr>
                <w:b/>
                <w:bCs/>
              </w:rPr>
              <w:t xml:space="preserve">Needs additional information in order to meet </w:t>
            </w:r>
            <w:r>
              <w:rPr>
                <w:b/>
                <w:bCs/>
              </w:rPr>
              <w:t xml:space="preserve">statutory requirements </w:t>
            </w:r>
          </w:p>
          <w:p w14:paraId="4A0F7CD6" w14:textId="0C2DF2A3" w:rsidR="00D4072B" w:rsidRDefault="002A660F" w:rsidP="0001373F">
            <w:pPr>
              <w:pStyle w:val="ListParagraph"/>
              <w:numPr>
                <w:ilvl w:val="0"/>
                <w:numId w:val="13"/>
              </w:numPr>
              <w:rPr>
                <w:rFonts w:eastAsiaTheme="minorEastAsia"/>
              </w:rPr>
            </w:pPr>
            <w:r w:rsidRPr="002A660F">
              <w:rPr>
                <w:rFonts w:eastAsiaTheme="minorEastAsia"/>
              </w:rPr>
              <w:t xml:space="preserve">Plan needs </w:t>
            </w:r>
            <w:r w:rsidR="006D5E29">
              <w:rPr>
                <w:rFonts w:eastAsiaTheme="minorEastAsia"/>
              </w:rPr>
              <w:t xml:space="preserve">additional information detailing </w:t>
            </w:r>
            <w:r w:rsidRPr="002A660F">
              <w:rPr>
                <w:rFonts w:eastAsiaTheme="minorEastAsia"/>
              </w:rPr>
              <w:t xml:space="preserve">specific approaches </w:t>
            </w:r>
            <w:r w:rsidR="00860FE2">
              <w:rPr>
                <w:rFonts w:eastAsiaTheme="minorEastAsia"/>
              </w:rPr>
              <w:t>for engaging</w:t>
            </w:r>
            <w:r w:rsidRPr="002A660F">
              <w:rPr>
                <w:rFonts w:eastAsiaTheme="minorEastAsia"/>
              </w:rPr>
              <w:t xml:space="preserve"> parents/</w:t>
            </w:r>
            <w:r w:rsidR="00860FE2">
              <w:rPr>
                <w:rFonts w:eastAsiaTheme="minorEastAsia"/>
              </w:rPr>
              <w:t>caregivers</w:t>
            </w:r>
            <w:r w:rsidRPr="002A660F">
              <w:rPr>
                <w:rFonts w:eastAsiaTheme="minorEastAsia"/>
              </w:rPr>
              <w:t xml:space="preserve"> of low-income students, English learners, and students with disabilities</w:t>
            </w:r>
          </w:p>
          <w:p w14:paraId="49B7BDA5" w14:textId="70CF8F17" w:rsidR="00AE1B46" w:rsidRPr="002A660F" w:rsidRDefault="00AE1B46" w:rsidP="0001373F">
            <w:pPr>
              <w:pStyle w:val="ListParagraph"/>
              <w:numPr>
                <w:ilvl w:val="0"/>
                <w:numId w:val="13"/>
              </w:numPr>
              <w:rPr>
                <w:rFonts w:eastAsiaTheme="minorEastAsia"/>
              </w:rPr>
            </w:pPr>
            <w:r>
              <w:rPr>
                <w:rFonts w:eastAsiaTheme="minorEastAsia"/>
              </w:rPr>
              <w:t>Plan needs to include a metric that will be used to measure increased family/caregiver engagement over time</w:t>
            </w:r>
          </w:p>
        </w:tc>
      </w:tr>
      <w:tr w:rsidR="00D4072B" w:rsidRPr="00B95862" w14:paraId="6F550C3E" w14:textId="77777777" w:rsidTr="76EE3E20">
        <w:tc>
          <w:tcPr>
            <w:tcW w:w="3145" w:type="dxa"/>
            <w:vMerge/>
          </w:tcPr>
          <w:p w14:paraId="15786174" w14:textId="77777777" w:rsidR="00D4072B" w:rsidRDefault="00D4072B" w:rsidP="0001373F"/>
        </w:tc>
        <w:tc>
          <w:tcPr>
            <w:tcW w:w="6975" w:type="dxa"/>
          </w:tcPr>
          <w:p w14:paraId="1C812C34" w14:textId="55034DCB" w:rsidR="005E5828" w:rsidRDefault="00D4072B" w:rsidP="0001373F">
            <w:pPr>
              <w:rPr>
                <w:b/>
                <w:bCs/>
              </w:rPr>
            </w:pPr>
            <w:r w:rsidRPr="42FF9608">
              <w:rPr>
                <w:b/>
                <w:bCs/>
              </w:rPr>
              <w:t>Meets expectation</w:t>
            </w:r>
            <w:r>
              <w:rPr>
                <w:b/>
                <w:bCs/>
              </w:rPr>
              <w:t>s</w:t>
            </w:r>
            <w:r w:rsidRPr="42FF9608">
              <w:rPr>
                <w:b/>
                <w:bCs/>
              </w:rPr>
              <w:t>, with recommendations for strengthening feedback</w:t>
            </w:r>
          </w:p>
          <w:p w14:paraId="079EBA12" w14:textId="2B7618B1" w:rsidR="00D4072B" w:rsidRPr="00B95862" w:rsidRDefault="35259D25" w:rsidP="76EE3E20">
            <w:pPr>
              <w:pStyle w:val="ListParagraph"/>
              <w:numPr>
                <w:ilvl w:val="0"/>
                <w:numId w:val="14"/>
              </w:numPr>
              <w:rPr>
                <w:rFonts w:eastAsiaTheme="minorEastAsia"/>
              </w:rPr>
            </w:pPr>
            <w:r w:rsidRPr="76EE3E20">
              <w:rPr>
                <w:rFonts w:eastAsiaTheme="minorEastAsia"/>
              </w:rPr>
              <w:t>Where c</w:t>
            </w:r>
            <w:r w:rsidR="76192317" w:rsidRPr="76EE3E20">
              <w:rPr>
                <w:rFonts w:eastAsiaTheme="minorEastAsia"/>
              </w:rPr>
              <w:t xml:space="preserve">aregiver metrics </w:t>
            </w:r>
            <w:r w:rsidR="692B74DD" w:rsidRPr="76EE3E20">
              <w:rPr>
                <w:rFonts w:eastAsiaTheme="minorEastAsia"/>
              </w:rPr>
              <w:t>are vague</w:t>
            </w:r>
            <w:r w:rsidRPr="76EE3E20">
              <w:rPr>
                <w:rFonts w:eastAsiaTheme="minorEastAsia"/>
              </w:rPr>
              <w:t xml:space="preserve">, </w:t>
            </w:r>
            <w:r w:rsidR="1FFC6EC0" w:rsidRPr="76EE3E20">
              <w:rPr>
                <w:rFonts w:eastAsiaTheme="minorEastAsia"/>
              </w:rPr>
              <w:t xml:space="preserve">recommend revising </w:t>
            </w:r>
            <w:r w:rsidRPr="76EE3E20">
              <w:rPr>
                <w:rFonts w:eastAsiaTheme="minorEastAsia"/>
              </w:rPr>
              <w:t>them</w:t>
            </w:r>
            <w:r w:rsidR="1FFC6EC0" w:rsidRPr="76EE3E20">
              <w:rPr>
                <w:rFonts w:eastAsiaTheme="minorEastAsia"/>
              </w:rPr>
              <w:t xml:space="preserve"> so that it is clear what is being measured and how it will be measured</w:t>
            </w:r>
          </w:p>
        </w:tc>
      </w:tr>
    </w:tbl>
    <w:p w14:paraId="67E5EA7E" w14:textId="77777777" w:rsidR="00D4072B" w:rsidRDefault="00D4072B" w:rsidP="00D4072B"/>
    <w:tbl>
      <w:tblPr>
        <w:tblStyle w:val="TableGrid"/>
        <w:tblW w:w="10195" w:type="dxa"/>
        <w:tblLayout w:type="fixed"/>
        <w:tblLook w:val="06A0" w:firstRow="1" w:lastRow="0" w:firstColumn="1" w:lastColumn="0" w:noHBand="1" w:noVBand="1"/>
      </w:tblPr>
      <w:tblGrid>
        <w:gridCol w:w="3145"/>
        <w:gridCol w:w="7050"/>
      </w:tblGrid>
      <w:tr w:rsidR="00D4072B" w14:paraId="149F8B98" w14:textId="77777777" w:rsidTr="007C42FE">
        <w:tc>
          <w:tcPr>
            <w:tcW w:w="10195" w:type="dxa"/>
            <w:gridSpan w:val="2"/>
            <w:shd w:val="clear" w:color="auto" w:fill="0070C0"/>
          </w:tcPr>
          <w:p w14:paraId="7A61CA6C" w14:textId="78C7EA94" w:rsidR="00D4072B" w:rsidRDefault="00D4072B" w:rsidP="0001373F">
            <w:pPr>
              <w:jc w:val="center"/>
              <w:rPr>
                <w:rFonts w:ascii="Calibri" w:eastAsia="Calibri" w:hAnsi="Calibri" w:cs="Calibri"/>
                <w:b/>
                <w:bCs/>
                <w:color w:val="444444"/>
              </w:rPr>
            </w:pPr>
            <w:r w:rsidRPr="7764E51C">
              <w:rPr>
                <w:b/>
                <w:bCs/>
                <w:color w:val="FFFFFF" w:themeColor="background1"/>
                <w:sz w:val="24"/>
                <w:szCs w:val="24"/>
              </w:rPr>
              <w:t xml:space="preserve">Plan Element #5: </w:t>
            </w:r>
            <w:r w:rsidRPr="7764E51C">
              <w:rPr>
                <w:rFonts w:ascii="Calibri" w:eastAsia="Calibri" w:hAnsi="Calibri" w:cs="Calibri"/>
                <w:b/>
                <w:bCs/>
                <w:color w:val="FFFFFF" w:themeColor="background1"/>
              </w:rPr>
              <w:t>Stakeholder Engagement in SOA Plan Development</w:t>
            </w:r>
          </w:p>
        </w:tc>
      </w:tr>
      <w:tr w:rsidR="00D4072B" w:rsidRPr="00976311" w14:paraId="5B203CCD" w14:textId="77777777" w:rsidTr="00800E29">
        <w:trPr>
          <w:trHeight w:val="735"/>
        </w:trPr>
        <w:tc>
          <w:tcPr>
            <w:tcW w:w="3145" w:type="dxa"/>
            <w:vMerge w:val="restart"/>
            <w:tcBorders>
              <w:top w:val="single" w:sz="4" w:space="0" w:color="auto"/>
              <w:left w:val="single" w:sz="4" w:space="0" w:color="auto"/>
              <w:bottom w:val="single" w:sz="4" w:space="0" w:color="auto"/>
              <w:right w:val="single" w:sz="4" w:space="0" w:color="auto"/>
            </w:tcBorders>
          </w:tcPr>
          <w:p w14:paraId="2EE6916B" w14:textId="013FD42D" w:rsidR="009A2967" w:rsidRDefault="009A2967" w:rsidP="009A2967">
            <w:pPr>
              <w:rPr>
                <w:b/>
                <w:bCs/>
              </w:rPr>
            </w:pPr>
            <w:r w:rsidRPr="00143F5C">
              <w:rPr>
                <w:b/>
                <w:bCs/>
              </w:rPr>
              <w:t>Statutory Requirement(s)</w:t>
            </w:r>
          </w:p>
          <w:p w14:paraId="6E9C0A35" w14:textId="66ABC6E5" w:rsidR="00D4072B" w:rsidRDefault="00A54EAD" w:rsidP="00A54EAD">
            <w:pPr>
              <w:rPr>
                <w:b/>
                <w:bCs/>
                <w:color w:val="FFFFFF" w:themeColor="background1"/>
                <w:sz w:val="24"/>
                <w:szCs w:val="24"/>
              </w:rPr>
            </w:pPr>
            <w:r w:rsidRPr="00A54EAD">
              <w:rPr>
                <w:rStyle w:val="normaltextrun"/>
                <w:rFonts w:ascii="Calibri" w:hAnsi="Calibri" w:cs="Calibri"/>
                <w:i/>
                <w:iCs/>
                <w:color w:val="000000"/>
                <w:sz w:val="20"/>
                <w:szCs w:val="20"/>
              </w:rPr>
              <w:t>Each district’s plan must be developed by the superintendent in consultation with the school committee and shall consider input and recommendations from parents and other relevant community stakeholders, including special education and English learner parent advisory councils, school improvement councils, and educators in the school district.</w:t>
            </w:r>
          </w:p>
        </w:tc>
        <w:tc>
          <w:tcPr>
            <w:tcW w:w="7050" w:type="dxa"/>
            <w:tcBorders>
              <w:left w:val="single" w:sz="4" w:space="0" w:color="auto"/>
            </w:tcBorders>
          </w:tcPr>
          <w:p w14:paraId="53CF2038" w14:textId="2BC087F0" w:rsidR="005E5828" w:rsidRDefault="56009673" w:rsidP="0001373F">
            <w:pPr>
              <w:rPr>
                <w:b/>
                <w:bCs/>
              </w:rPr>
            </w:pPr>
            <w:r w:rsidRPr="6FD1E333">
              <w:rPr>
                <w:b/>
                <w:bCs/>
              </w:rPr>
              <w:t xml:space="preserve">Needs additional information in order to meet statutory requirements </w:t>
            </w:r>
          </w:p>
          <w:p w14:paraId="657F2E4D" w14:textId="2F2CC62A" w:rsidR="008465F6" w:rsidRPr="00DC06EE" w:rsidRDefault="00567613" w:rsidP="080E1025">
            <w:pPr>
              <w:pStyle w:val="ListParagraph"/>
              <w:numPr>
                <w:ilvl w:val="0"/>
                <w:numId w:val="13"/>
              </w:numPr>
              <w:rPr>
                <w:rFonts w:eastAsiaTheme="minorEastAsia"/>
              </w:rPr>
            </w:pPr>
            <w:r>
              <w:rPr>
                <w:rFonts w:eastAsiaTheme="minorEastAsia"/>
              </w:rPr>
              <w:t>DESE records do not reflect that the district’s original SOA plan was approved by its Sc</w:t>
            </w:r>
            <w:r w:rsidR="22335126" w:rsidRPr="080E1025">
              <w:rPr>
                <w:rFonts w:eastAsiaTheme="minorEastAsia"/>
              </w:rPr>
              <w:t>hool Committee</w:t>
            </w:r>
          </w:p>
        </w:tc>
      </w:tr>
      <w:tr w:rsidR="00D4072B" w:rsidRPr="00B95862" w14:paraId="2954F2D5" w14:textId="77777777" w:rsidTr="00800E29">
        <w:tc>
          <w:tcPr>
            <w:tcW w:w="3145" w:type="dxa"/>
            <w:vMerge/>
            <w:tcBorders>
              <w:left w:val="single" w:sz="4" w:space="0" w:color="auto"/>
              <w:bottom w:val="single" w:sz="4" w:space="0" w:color="auto"/>
              <w:right w:val="single" w:sz="4" w:space="0" w:color="auto"/>
            </w:tcBorders>
          </w:tcPr>
          <w:p w14:paraId="7EC975D6" w14:textId="77777777" w:rsidR="00D4072B" w:rsidRDefault="00D4072B" w:rsidP="0001373F"/>
        </w:tc>
        <w:tc>
          <w:tcPr>
            <w:tcW w:w="7050" w:type="dxa"/>
            <w:tcBorders>
              <w:left w:val="single" w:sz="4" w:space="0" w:color="auto"/>
            </w:tcBorders>
          </w:tcPr>
          <w:p w14:paraId="470E8563" w14:textId="431BC89B" w:rsidR="005E5828" w:rsidRDefault="00D4072B" w:rsidP="0001373F">
            <w:pPr>
              <w:rPr>
                <w:b/>
                <w:bCs/>
              </w:rPr>
            </w:pPr>
            <w:r w:rsidRPr="42FF9608">
              <w:rPr>
                <w:b/>
                <w:bCs/>
              </w:rPr>
              <w:t>Meets expectation</w:t>
            </w:r>
            <w:r>
              <w:rPr>
                <w:b/>
                <w:bCs/>
              </w:rPr>
              <w:t>s</w:t>
            </w:r>
            <w:r w:rsidRPr="42FF9608">
              <w:rPr>
                <w:b/>
                <w:bCs/>
              </w:rPr>
              <w:t>, with recommendations for strengthening feedback</w:t>
            </w:r>
          </w:p>
          <w:p w14:paraId="2759C4F3" w14:textId="727065C7" w:rsidR="002B3B8D" w:rsidRPr="002B3B8D" w:rsidRDefault="004338A0" w:rsidP="00403455">
            <w:pPr>
              <w:pStyle w:val="ListParagraph"/>
              <w:numPr>
                <w:ilvl w:val="0"/>
                <w:numId w:val="14"/>
              </w:numPr>
              <w:rPr>
                <w:rFonts w:asciiTheme="minorEastAsia" w:eastAsiaTheme="minorEastAsia" w:hAnsiTheme="minorEastAsia" w:cstheme="minorEastAsia"/>
              </w:rPr>
            </w:pPr>
            <w:r>
              <w:rPr>
                <w:rFonts w:eastAsiaTheme="minorEastAsia"/>
              </w:rPr>
              <w:t>Where s</w:t>
            </w:r>
            <w:r w:rsidR="00403455" w:rsidRPr="080E1025">
              <w:rPr>
                <w:rFonts w:eastAsiaTheme="minorEastAsia"/>
              </w:rPr>
              <w:t xml:space="preserve">takeholder engagement is limited to </w:t>
            </w:r>
            <w:r w:rsidR="00A91BC0">
              <w:rPr>
                <w:rFonts w:eastAsiaTheme="minorEastAsia"/>
              </w:rPr>
              <w:t xml:space="preserve">the </w:t>
            </w:r>
            <w:r w:rsidR="00403455" w:rsidRPr="080E1025">
              <w:rPr>
                <w:rFonts w:eastAsiaTheme="minorEastAsia"/>
              </w:rPr>
              <w:t xml:space="preserve">education community, </w:t>
            </w:r>
            <w:r w:rsidR="00A6430A">
              <w:rPr>
                <w:rFonts w:eastAsiaTheme="minorEastAsia"/>
              </w:rPr>
              <w:t xml:space="preserve">recommend </w:t>
            </w:r>
            <w:r w:rsidR="002B3B8D">
              <w:rPr>
                <w:rFonts w:eastAsiaTheme="minorEastAsia"/>
              </w:rPr>
              <w:t xml:space="preserve">that </w:t>
            </w:r>
            <w:r w:rsidR="008A42BB">
              <w:rPr>
                <w:rFonts w:eastAsiaTheme="minorEastAsia"/>
              </w:rPr>
              <w:t xml:space="preserve">as they collect ongoing feedback on </w:t>
            </w:r>
            <w:r w:rsidR="00C2471C">
              <w:rPr>
                <w:rFonts w:eastAsiaTheme="minorEastAsia"/>
              </w:rPr>
              <w:t xml:space="preserve">SOA </w:t>
            </w:r>
            <w:r w:rsidR="008A42BB">
              <w:rPr>
                <w:rFonts w:eastAsiaTheme="minorEastAsia"/>
              </w:rPr>
              <w:t xml:space="preserve">plan implementation, the </w:t>
            </w:r>
            <w:r w:rsidR="00897C67">
              <w:rPr>
                <w:rFonts w:eastAsiaTheme="minorEastAsia"/>
              </w:rPr>
              <w:t xml:space="preserve">district </w:t>
            </w:r>
            <w:r w:rsidR="008D7050" w:rsidRPr="008D7050">
              <w:rPr>
                <w:rFonts w:eastAsiaTheme="minorEastAsia"/>
              </w:rPr>
              <w:t xml:space="preserve">broaden the set of stakeholders </w:t>
            </w:r>
            <w:r w:rsidR="00A91BC0">
              <w:rPr>
                <w:rFonts w:eastAsiaTheme="minorEastAsia"/>
              </w:rPr>
              <w:t xml:space="preserve">it consults with </w:t>
            </w:r>
            <w:r w:rsidR="008D7050" w:rsidRPr="008D7050">
              <w:rPr>
                <w:rFonts w:eastAsiaTheme="minorEastAsia"/>
              </w:rPr>
              <w:t>to include parents and caregivers, students, and community organizations</w:t>
            </w:r>
          </w:p>
          <w:p w14:paraId="1AEE6EAF" w14:textId="77777777" w:rsidR="00F113D9" w:rsidRPr="00F113D9" w:rsidRDefault="00064A97" w:rsidP="00DD53A8">
            <w:pPr>
              <w:pStyle w:val="ListParagraph"/>
              <w:numPr>
                <w:ilvl w:val="0"/>
                <w:numId w:val="14"/>
              </w:numPr>
              <w:rPr>
                <w:rFonts w:asciiTheme="minorEastAsia" w:eastAsiaTheme="minorEastAsia" w:hAnsiTheme="minorEastAsia" w:cstheme="minorEastAsia"/>
              </w:rPr>
            </w:pPr>
            <w:r>
              <w:rPr>
                <w:rFonts w:eastAsiaTheme="minorEastAsia"/>
              </w:rPr>
              <w:t xml:space="preserve">Recommend </w:t>
            </w:r>
            <w:r w:rsidR="00DD53A8">
              <w:rPr>
                <w:rFonts w:eastAsiaTheme="minorEastAsia"/>
              </w:rPr>
              <w:t xml:space="preserve">providing </w:t>
            </w:r>
            <w:r>
              <w:rPr>
                <w:rFonts w:eastAsiaTheme="minorEastAsia"/>
              </w:rPr>
              <w:t>updat</w:t>
            </w:r>
            <w:r w:rsidR="00F113D9">
              <w:rPr>
                <w:rFonts w:eastAsiaTheme="minorEastAsia"/>
              </w:rPr>
              <w:t>ed</w:t>
            </w:r>
            <w:r>
              <w:rPr>
                <w:rFonts w:eastAsiaTheme="minorEastAsia"/>
              </w:rPr>
              <w:t xml:space="preserve"> information on</w:t>
            </w:r>
            <w:r w:rsidR="00F113D9">
              <w:rPr>
                <w:rFonts w:eastAsiaTheme="minorEastAsia"/>
              </w:rPr>
              <w:t>:</w:t>
            </w:r>
          </w:p>
          <w:p w14:paraId="728C3D58" w14:textId="6D3F7E29" w:rsidR="00D4072B" w:rsidRPr="00E6668E" w:rsidRDefault="00064790" w:rsidP="00F113D9">
            <w:pPr>
              <w:pStyle w:val="ListParagraph"/>
              <w:numPr>
                <w:ilvl w:val="1"/>
                <w:numId w:val="14"/>
              </w:numPr>
              <w:rPr>
                <w:rFonts w:asciiTheme="minorEastAsia" w:eastAsiaTheme="minorEastAsia" w:hAnsiTheme="minorEastAsia" w:cstheme="minorEastAsia"/>
              </w:rPr>
            </w:pPr>
            <w:r>
              <w:rPr>
                <w:rFonts w:eastAsiaTheme="minorEastAsia"/>
              </w:rPr>
              <w:t xml:space="preserve">the </w:t>
            </w:r>
            <w:r w:rsidR="00362A61">
              <w:rPr>
                <w:rFonts w:eastAsiaTheme="minorEastAsia"/>
              </w:rPr>
              <w:t xml:space="preserve">types of </w:t>
            </w:r>
            <w:r>
              <w:rPr>
                <w:rFonts w:eastAsiaTheme="minorEastAsia"/>
              </w:rPr>
              <w:t xml:space="preserve">opportunities </w:t>
            </w:r>
            <w:r w:rsidR="00F4728C">
              <w:rPr>
                <w:rFonts w:eastAsiaTheme="minorEastAsia"/>
              </w:rPr>
              <w:t xml:space="preserve">different </w:t>
            </w:r>
            <w:r w:rsidR="00064A97">
              <w:rPr>
                <w:rFonts w:eastAsiaTheme="minorEastAsia"/>
              </w:rPr>
              <w:t>stakeholder</w:t>
            </w:r>
            <w:r w:rsidR="00F4728C">
              <w:rPr>
                <w:rFonts w:eastAsiaTheme="minorEastAsia"/>
              </w:rPr>
              <w:t xml:space="preserve"> groups, particularly those </w:t>
            </w:r>
            <w:r w:rsidR="000B3AA2">
              <w:rPr>
                <w:rFonts w:eastAsiaTheme="minorEastAsia"/>
              </w:rPr>
              <w:t xml:space="preserve">representing student groups targeted in the SOA plan, </w:t>
            </w:r>
            <w:r w:rsidR="00E6668E">
              <w:rPr>
                <w:rFonts w:eastAsiaTheme="minorEastAsia"/>
              </w:rPr>
              <w:t xml:space="preserve">are provided </w:t>
            </w:r>
            <w:r>
              <w:rPr>
                <w:rFonts w:eastAsiaTheme="minorEastAsia"/>
              </w:rPr>
              <w:t xml:space="preserve">to </w:t>
            </w:r>
            <w:r w:rsidR="00B8421D">
              <w:rPr>
                <w:rFonts w:eastAsiaTheme="minorEastAsia"/>
              </w:rPr>
              <w:t xml:space="preserve">offer feedback </w:t>
            </w:r>
            <w:r w:rsidR="00E6668E">
              <w:rPr>
                <w:rFonts w:eastAsiaTheme="minorEastAsia"/>
              </w:rPr>
              <w:t xml:space="preserve">on </w:t>
            </w:r>
            <w:r w:rsidR="006F31BF">
              <w:rPr>
                <w:rFonts w:eastAsiaTheme="minorEastAsia"/>
              </w:rPr>
              <w:t xml:space="preserve">SOA plan implementation </w:t>
            </w:r>
            <w:r w:rsidR="00B75E80">
              <w:rPr>
                <w:rFonts w:eastAsiaTheme="minorEastAsia"/>
              </w:rPr>
              <w:t xml:space="preserve">and </w:t>
            </w:r>
            <w:r w:rsidR="00B8421D">
              <w:rPr>
                <w:rFonts w:eastAsiaTheme="minorEastAsia"/>
              </w:rPr>
              <w:t>the FY22 SOA Plan Amendment</w:t>
            </w:r>
            <w:r w:rsidR="00DD53A8">
              <w:rPr>
                <w:rFonts w:eastAsiaTheme="minorEastAsia"/>
              </w:rPr>
              <w:t xml:space="preserve">.  </w:t>
            </w:r>
          </w:p>
          <w:p w14:paraId="3C9E8B5B" w14:textId="6DF3C3C5" w:rsidR="00DD53A8" w:rsidRPr="00DD53A8" w:rsidRDefault="00F669B8" w:rsidP="00F669B8">
            <w:pPr>
              <w:pStyle w:val="ListParagraph"/>
              <w:numPr>
                <w:ilvl w:val="1"/>
                <w:numId w:val="14"/>
              </w:numPr>
              <w:rPr>
                <w:rFonts w:asciiTheme="minorEastAsia" w:eastAsiaTheme="minorEastAsia" w:hAnsiTheme="minorEastAsia" w:cstheme="minorEastAsia"/>
              </w:rPr>
            </w:pPr>
            <w:r>
              <w:rPr>
                <w:rFonts w:eastAsiaTheme="minorEastAsia"/>
              </w:rPr>
              <w:t>w</w:t>
            </w:r>
            <w:r w:rsidR="00E6668E">
              <w:rPr>
                <w:rFonts w:eastAsiaTheme="minorEastAsia"/>
              </w:rPr>
              <w:t xml:space="preserve">hat </w:t>
            </w:r>
            <w:r>
              <w:rPr>
                <w:rFonts w:eastAsiaTheme="minorEastAsia"/>
              </w:rPr>
              <w:t>the district has learned from stakeholder groups and how that is reflected in the FY22 SOA Plan Amendment</w:t>
            </w:r>
          </w:p>
        </w:tc>
      </w:tr>
    </w:tbl>
    <w:p w14:paraId="0CE089FF" w14:textId="77777777" w:rsidR="00D4072B" w:rsidRDefault="00D4072B" w:rsidP="42FF9608"/>
    <w:sectPr w:rsidR="00D4072B" w:rsidSect="00243EF5">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WordHash hashCode="6OVxhyOfr9q+L5" id="VVQ94PCg"/>
  </int:Manifest>
  <int:Observations>
    <int:Content id="VVQ94PC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83448"/>
    <w:multiLevelType w:val="hybridMultilevel"/>
    <w:tmpl w:val="EC4CB3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EA3339"/>
    <w:multiLevelType w:val="hybridMultilevel"/>
    <w:tmpl w:val="7EDEA630"/>
    <w:lvl w:ilvl="0" w:tplc="135027FC">
      <w:start w:val="1"/>
      <w:numFmt w:val="bullet"/>
      <w:lvlText w:val=""/>
      <w:lvlJc w:val="left"/>
      <w:pPr>
        <w:ind w:left="720" w:hanging="360"/>
      </w:pPr>
      <w:rPr>
        <w:rFonts w:ascii="Symbol" w:hAnsi="Symbol" w:hint="default"/>
      </w:rPr>
    </w:lvl>
    <w:lvl w:ilvl="1" w:tplc="626AE75C">
      <w:start w:val="1"/>
      <w:numFmt w:val="bullet"/>
      <w:lvlText w:val="o"/>
      <w:lvlJc w:val="left"/>
      <w:pPr>
        <w:ind w:left="1440" w:hanging="360"/>
      </w:pPr>
      <w:rPr>
        <w:rFonts w:ascii="Courier New" w:hAnsi="Courier New" w:hint="default"/>
      </w:rPr>
    </w:lvl>
    <w:lvl w:ilvl="2" w:tplc="3D8C72E0">
      <w:start w:val="1"/>
      <w:numFmt w:val="bullet"/>
      <w:lvlText w:val=""/>
      <w:lvlJc w:val="left"/>
      <w:pPr>
        <w:ind w:left="2160" w:hanging="360"/>
      </w:pPr>
      <w:rPr>
        <w:rFonts w:ascii="Wingdings" w:hAnsi="Wingdings" w:hint="default"/>
      </w:rPr>
    </w:lvl>
    <w:lvl w:ilvl="3" w:tplc="802A32BC">
      <w:start w:val="1"/>
      <w:numFmt w:val="bullet"/>
      <w:lvlText w:val=""/>
      <w:lvlJc w:val="left"/>
      <w:pPr>
        <w:ind w:left="2880" w:hanging="360"/>
      </w:pPr>
      <w:rPr>
        <w:rFonts w:ascii="Symbol" w:hAnsi="Symbol" w:hint="default"/>
      </w:rPr>
    </w:lvl>
    <w:lvl w:ilvl="4" w:tplc="D19CF806">
      <w:start w:val="1"/>
      <w:numFmt w:val="bullet"/>
      <w:lvlText w:val="o"/>
      <w:lvlJc w:val="left"/>
      <w:pPr>
        <w:ind w:left="3600" w:hanging="360"/>
      </w:pPr>
      <w:rPr>
        <w:rFonts w:ascii="Courier New" w:hAnsi="Courier New" w:hint="default"/>
      </w:rPr>
    </w:lvl>
    <w:lvl w:ilvl="5" w:tplc="BCD83EF6">
      <w:start w:val="1"/>
      <w:numFmt w:val="bullet"/>
      <w:lvlText w:val=""/>
      <w:lvlJc w:val="left"/>
      <w:pPr>
        <w:ind w:left="4320" w:hanging="360"/>
      </w:pPr>
      <w:rPr>
        <w:rFonts w:ascii="Wingdings" w:hAnsi="Wingdings" w:hint="default"/>
      </w:rPr>
    </w:lvl>
    <w:lvl w:ilvl="6" w:tplc="F6D25BFA">
      <w:start w:val="1"/>
      <w:numFmt w:val="bullet"/>
      <w:lvlText w:val=""/>
      <w:lvlJc w:val="left"/>
      <w:pPr>
        <w:ind w:left="5040" w:hanging="360"/>
      </w:pPr>
      <w:rPr>
        <w:rFonts w:ascii="Symbol" w:hAnsi="Symbol" w:hint="default"/>
      </w:rPr>
    </w:lvl>
    <w:lvl w:ilvl="7" w:tplc="E488F0A0">
      <w:start w:val="1"/>
      <w:numFmt w:val="bullet"/>
      <w:lvlText w:val="o"/>
      <w:lvlJc w:val="left"/>
      <w:pPr>
        <w:ind w:left="5760" w:hanging="360"/>
      </w:pPr>
      <w:rPr>
        <w:rFonts w:ascii="Courier New" w:hAnsi="Courier New" w:hint="default"/>
      </w:rPr>
    </w:lvl>
    <w:lvl w:ilvl="8" w:tplc="B808A314">
      <w:start w:val="1"/>
      <w:numFmt w:val="bullet"/>
      <w:lvlText w:val=""/>
      <w:lvlJc w:val="left"/>
      <w:pPr>
        <w:ind w:left="6480" w:hanging="360"/>
      </w:pPr>
      <w:rPr>
        <w:rFonts w:ascii="Wingdings" w:hAnsi="Wingdings" w:hint="default"/>
      </w:rPr>
    </w:lvl>
  </w:abstractNum>
  <w:abstractNum w:abstractNumId="2" w15:restartNumberingAfterBreak="0">
    <w:nsid w:val="2D945047"/>
    <w:multiLevelType w:val="hybridMultilevel"/>
    <w:tmpl w:val="E6F0063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AC420A"/>
    <w:multiLevelType w:val="hybridMultilevel"/>
    <w:tmpl w:val="9B6E61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A24F98"/>
    <w:multiLevelType w:val="hybridMultilevel"/>
    <w:tmpl w:val="7D4658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33A23"/>
    <w:multiLevelType w:val="hybridMultilevel"/>
    <w:tmpl w:val="416E84D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D77A6C"/>
    <w:multiLevelType w:val="hybridMultilevel"/>
    <w:tmpl w:val="9306B8AA"/>
    <w:lvl w:ilvl="0" w:tplc="0409000D">
      <w:start w:val="1"/>
      <w:numFmt w:val="bullet"/>
      <w:lvlText w:val=""/>
      <w:lvlJc w:val="left"/>
      <w:pPr>
        <w:ind w:left="360" w:hanging="360"/>
      </w:pPr>
      <w:rPr>
        <w:rFonts w:ascii="Wingdings" w:hAnsi="Wingdings" w:hint="default"/>
      </w:rPr>
    </w:lvl>
    <w:lvl w:ilvl="1" w:tplc="41F4A88C">
      <w:start w:val="1"/>
      <w:numFmt w:val="bullet"/>
      <w:lvlText w:val="o"/>
      <w:lvlJc w:val="left"/>
      <w:pPr>
        <w:ind w:left="1080" w:hanging="360"/>
      </w:pPr>
      <w:rPr>
        <w:rFonts w:ascii="Courier New" w:hAnsi="Courier New" w:hint="default"/>
      </w:rPr>
    </w:lvl>
    <w:lvl w:ilvl="2" w:tplc="8AD2049A">
      <w:start w:val="1"/>
      <w:numFmt w:val="bullet"/>
      <w:lvlText w:val=""/>
      <w:lvlJc w:val="left"/>
      <w:pPr>
        <w:ind w:left="1800" w:hanging="360"/>
      </w:pPr>
      <w:rPr>
        <w:rFonts w:ascii="Wingdings" w:hAnsi="Wingdings" w:hint="default"/>
      </w:rPr>
    </w:lvl>
    <w:lvl w:ilvl="3" w:tplc="FE0CD61A">
      <w:start w:val="1"/>
      <w:numFmt w:val="bullet"/>
      <w:lvlText w:val=""/>
      <w:lvlJc w:val="left"/>
      <w:pPr>
        <w:ind w:left="2520" w:hanging="360"/>
      </w:pPr>
      <w:rPr>
        <w:rFonts w:ascii="Symbol" w:hAnsi="Symbol" w:hint="default"/>
      </w:rPr>
    </w:lvl>
    <w:lvl w:ilvl="4" w:tplc="3572B9CC">
      <w:start w:val="1"/>
      <w:numFmt w:val="bullet"/>
      <w:lvlText w:val="o"/>
      <w:lvlJc w:val="left"/>
      <w:pPr>
        <w:ind w:left="3240" w:hanging="360"/>
      </w:pPr>
      <w:rPr>
        <w:rFonts w:ascii="Courier New" w:hAnsi="Courier New" w:hint="default"/>
      </w:rPr>
    </w:lvl>
    <w:lvl w:ilvl="5" w:tplc="5A2818BC">
      <w:start w:val="1"/>
      <w:numFmt w:val="bullet"/>
      <w:lvlText w:val=""/>
      <w:lvlJc w:val="left"/>
      <w:pPr>
        <w:ind w:left="3960" w:hanging="360"/>
      </w:pPr>
      <w:rPr>
        <w:rFonts w:ascii="Wingdings" w:hAnsi="Wingdings" w:hint="default"/>
      </w:rPr>
    </w:lvl>
    <w:lvl w:ilvl="6" w:tplc="62DAC240">
      <w:start w:val="1"/>
      <w:numFmt w:val="bullet"/>
      <w:lvlText w:val=""/>
      <w:lvlJc w:val="left"/>
      <w:pPr>
        <w:ind w:left="4680" w:hanging="360"/>
      </w:pPr>
      <w:rPr>
        <w:rFonts w:ascii="Symbol" w:hAnsi="Symbol" w:hint="default"/>
      </w:rPr>
    </w:lvl>
    <w:lvl w:ilvl="7" w:tplc="BB46F070">
      <w:start w:val="1"/>
      <w:numFmt w:val="bullet"/>
      <w:lvlText w:val="o"/>
      <w:lvlJc w:val="left"/>
      <w:pPr>
        <w:ind w:left="5400" w:hanging="360"/>
      </w:pPr>
      <w:rPr>
        <w:rFonts w:ascii="Courier New" w:hAnsi="Courier New" w:hint="default"/>
      </w:rPr>
    </w:lvl>
    <w:lvl w:ilvl="8" w:tplc="AEA6B4D4">
      <w:start w:val="1"/>
      <w:numFmt w:val="bullet"/>
      <w:lvlText w:val=""/>
      <w:lvlJc w:val="left"/>
      <w:pPr>
        <w:ind w:left="6120" w:hanging="360"/>
      </w:pPr>
      <w:rPr>
        <w:rFonts w:ascii="Wingdings" w:hAnsi="Wingdings" w:hint="default"/>
      </w:rPr>
    </w:lvl>
  </w:abstractNum>
  <w:abstractNum w:abstractNumId="7" w15:restartNumberingAfterBreak="0">
    <w:nsid w:val="4D660DD4"/>
    <w:multiLevelType w:val="hybridMultilevel"/>
    <w:tmpl w:val="58287C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904BCD"/>
    <w:multiLevelType w:val="hybridMultilevel"/>
    <w:tmpl w:val="FFFFFFFF"/>
    <w:lvl w:ilvl="0" w:tplc="7BA28650">
      <w:start w:val="1"/>
      <w:numFmt w:val="bullet"/>
      <w:lvlText w:val=""/>
      <w:lvlJc w:val="left"/>
      <w:pPr>
        <w:ind w:left="360" w:hanging="360"/>
      </w:pPr>
      <w:rPr>
        <w:rFonts w:ascii="Wingdings" w:hAnsi="Wingdings" w:hint="default"/>
      </w:rPr>
    </w:lvl>
    <w:lvl w:ilvl="1" w:tplc="2DCEA988">
      <w:start w:val="1"/>
      <w:numFmt w:val="bullet"/>
      <w:lvlText w:val="o"/>
      <w:lvlJc w:val="left"/>
      <w:pPr>
        <w:ind w:left="1080" w:hanging="360"/>
      </w:pPr>
      <w:rPr>
        <w:rFonts w:ascii="Courier New" w:hAnsi="Courier New" w:hint="default"/>
      </w:rPr>
    </w:lvl>
    <w:lvl w:ilvl="2" w:tplc="79CADC0E">
      <w:start w:val="1"/>
      <w:numFmt w:val="bullet"/>
      <w:lvlText w:val=""/>
      <w:lvlJc w:val="left"/>
      <w:pPr>
        <w:ind w:left="1800" w:hanging="360"/>
      </w:pPr>
      <w:rPr>
        <w:rFonts w:ascii="Wingdings" w:hAnsi="Wingdings" w:hint="default"/>
      </w:rPr>
    </w:lvl>
    <w:lvl w:ilvl="3" w:tplc="9B9EA2D0">
      <w:start w:val="1"/>
      <w:numFmt w:val="bullet"/>
      <w:lvlText w:val=""/>
      <w:lvlJc w:val="left"/>
      <w:pPr>
        <w:ind w:left="2520" w:hanging="360"/>
      </w:pPr>
      <w:rPr>
        <w:rFonts w:ascii="Symbol" w:hAnsi="Symbol" w:hint="default"/>
      </w:rPr>
    </w:lvl>
    <w:lvl w:ilvl="4" w:tplc="887697E2">
      <w:start w:val="1"/>
      <w:numFmt w:val="bullet"/>
      <w:lvlText w:val="o"/>
      <w:lvlJc w:val="left"/>
      <w:pPr>
        <w:ind w:left="3240" w:hanging="360"/>
      </w:pPr>
      <w:rPr>
        <w:rFonts w:ascii="Courier New" w:hAnsi="Courier New" w:hint="default"/>
      </w:rPr>
    </w:lvl>
    <w:lvl w:ilvl="5" w:tplc="3D58DE88">
      <w:start w:val="1"/>
      <w:numFmt w:val="bullet"/>
      <w:lvlText w:val=""/>
      <w:lvlJc w:val="left"/>
      <w:pPr>
        <w:ind w:left="3960" w:hanging="360"/>
      </w:pPr>
      <w:rPr>
        <w:rFonts w:ascii="Wingdings" w:hAnsi="Wingdings" w:hint="default"/>
      </w:rPr>
    </w:lvl>
    <w:lvl w:ilvl="6" w:tplc="C7382BC2">
      <w:start w:val="1"/>
      <w:numFmt w:val="bullet"/>
      <w:lvlText w:val=""/>
      <w:lvlJc w:val="left"/>
      <w:pPr>
        <w:ind w:left="4680" w:hanging="360"/>
      </w:pPr>
      <w:rPr>
        <w:rFonts w:ascii="Symbol" w:hAnsi="Symbol" w:hint="default"/>
      </w:rPr>
    </w:lvl>
    <w:lvl w:ilvl="7" w:tplc="37262544">
      <w:start w:val="1"/>
      <w:numFmt w:val="bullet"/>
      <w:lvlText w:val="o"/>
      <w:lvlJc w:val="left"/>
      <w:pPr>
        <w:ind w:left="5400" w:hanging="360"/>
      </w:pPr>
      <w:rPr>
        <w:rFonts w:ascii="Courier New" w:hAnsi="Courier New" w:hint="default"/>
      </w:rPr>
    </w:lvl>
    <w:lvl w:ilvl="8" w:tplc="FCD41ADA">
      <w:start w:val="1"/>
      <w:numFmt w:val="bullet"/>
      <w:lvlText w:val=""/>
      <w:lvlJc w:val="left"/>
      <w:pPr>
        <w:ind w:left="6120" w:hanging="360"/>
      </w:pPr>
      <w:rPr>
        <w:rFonts w:ascii="Wingdings" w:hAnsi="Wingdings" w:hint="default"/>
      </w:rPr>
    </w:lvl>
  </w:abstractNum>
  <w:abstractNum w:abstractNumId="9" w15:restartNumberingAfterBreak="0">
    <w:nsid w:val="54796D78"/>
    <w:multiLevelType w:val="hybridMultilevel"/>
    <w:tmpl w:val="EEF8463C"/>
    <w:lvl w:ilvl="0" w:tplc="0409000D">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E452CB"/>
    <w:multiLevelType w:val="hybridMultilevel"/>
    <w:tmpl w:val="96D03ED0"/>
    <w:lvl w:ilvl="0" w:tplc="0409000D">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7457EB"/>
    <w:multiLevelType w:val="hybridMultilevel"/>
    <w:tmpl w:val="2A8CB39A"/>
    <w:lvl w:ilvl="0" w:tplc="BEB49636">
      <w:start w:val="1"/>
      <w:numFmt w:val="bullet"/>
      <w:lvlText w:val=""/>
      <w:lvlJc w:val="left"/>
      <w:pPr>
        <w:ind w:left="720" w:hanging="360"/>
      </w:pPr>
      <w:rPr>
        <w:rFonts w:ascii="Wingdings" w:hAnsi="Wingdings" w:hint="default"/>
      </w:rPr>
    </w:lvl>
    <w:lvl w:ilvl="1" w:tplc="17CEAF8C">
      <w:start w:val="1"/>
      <w:numFmt w:val="bullet"/>
      <w:lvlText w:val="o"/>
      <w:lvlJc w:val="left"/>
      <w:pPr>
        <w:ind w:left="1440" w:hanging="360"/>
      </w:pPr>
      <w:rPr>
        <w:rFonts w:ascii="Courier New" w:hAnsi="Courier New" w:hint="default"/>
      </w:rPr>
    </w:lvl>
    <w:lvl w:ilvl="2" w:tplc="17789A88">
      <w:start w:val="1"/>
      <w:numFmt w:val="bullet"/>
      <w:lvlText w:val=""/>
      <w:lvlJc w:val="left"/>
      <w:pPr>
        <w:ind w:left="2160" w:hanging="360"/>
      </w:pPr>
      <w:rPr>
        <w:rFonts w:ascii="Wingdings" w:hAnsi="Wingdings" w:hint="default"/>
      </w:rPr>
    </w:lvl>
    <w:lvl w:ilvl="3" w:tplc="EA5E96D6">
      <w:start w:val="1"/>
      <w:numFmt w:val="bullet"/>
      <w:lvlText w:val=""/>
      <w:lvlJc w:val="left"/>
      <w:pPr>
        <w:ind w:left="2880" w:hanging="360"/>
      </w:pPr>
      <w:rPr>
        <w:rFonts w:ascii="Symbol" w:hAnsi="Symbol" w:hint="default"/>
      </w:rPr>
    </w:lvl>
    <w:lvl w:ilvl="4" w:tplc="0FE0721C">
      <w:start w:val="1"/>
      <w:numFmt w:val="bullet"/>
      <w:lvlText w:val="o"/>
      <w:lvlJc w:val="left"/>
      <w:pPr>
        <w:ind w:left="3600" w:hanging="360"/>
      </w:pPr>
      <w:rPr>
        <w:rFonts w:ascii="Courier New" w:hAnsi="Courier New" w:hint="default"/>
      </w:rPr>
    </w:lvl>
    <w:lvl w:ilvl="5" w:tplc="3848889E">
      <w:start w:val="1"/>
      <w:numFmt w:val="bullet"/>
      <w:lvlText w:val=""/>
      <w:lvlJc w:val="left"/>
      <w:pPr>
        <w:ind w:left="4320" w:hanging="360"/>
      </w:pPr>
      <w:rPr>
        <w:rFonts w:ascii="Wingdings" w:hAnsi="Wingdings" w:hint="default"/>
      </w:rPr>
    </w:lvl>
    <w:lvl w:ilvl="6" w:tplc="BB0C435A">
      <w:start w:val="1"/>
      <w:numFmt w:val="bullet"/>
      <w:lvlText w:val=""/>
      <w:lvlJc w:val="left"/>
      <w:pPr>
        <w:ind w:left="5040" w:hanging="360"/>
      </w:pPr>
      <w:rPr>
        <w:rFonts w:ascii="Symbol" w:hAnsi="Symbol" w:hint="default"/>
      </w:rPr>
    </w:lvl>
    <w:lvl w:ilvl="7" w:tplc="573E4AA2">
      <w:start w:val="1"/>
      <w:numFmt w:val="bullet"/>
      <w:lvlText w:val="o"/>
      <w:lvlJc w:val="left"/>
      <w:pPr>
        <w:ind w:left="5760" w:hanging="360"/>
      </w:pPr>
      <w:rPr>
        <w:rFonts w:ascii="Courier New" w:hAnsi="Courier New" w:hint="default"/>
      </w:rPr>
    </w:lvl>
    <w:lvl w:ilvl="8" w:tplc="865E36A6">
      <w:start w:val="1"/>
      <w:numFmt w:val="bullet"/>
      <w:lvlText w:val=""/>
      <w:lvlJc w:val="left"/>
      <w:pPr>
        <w:ind w:left="6480" w:hanging="360"/>
      </w:pPr>
      <w:rPr>
        <w:rFonts w:ascii="Wingdings" w:hAnsi="Wingdings" w:hint="default"/>
      </w:rPr>
    </w:lvl>
  </w:abstractNum>
  <w:abstractNum w:abstractNumId="12" w15:restartNumberingAfterBreak="0">
    <w:nsid w:val="5E6F0261"/>
    <w:multiLevelType w:val="hybridMultilevel"/>
    <w:tmpl w:val="CE58C16C"/>
    <w:lvl w:ilvl="0" w:tplc="D4C64C62">
      <w:start w:val="1"/>
      <w:numFmt w:val="bullet"/>
      <w:lvlText w:val=""/>
      <w:lvlJc w:val="left"/>
      <w:pPr>
        <w:ind w:left="720" w:hanging="360"/>
      </w:pPr>
      <w:rPr>
        <w:rFonts w:ascii="Symbol" w:hAnsi="Symbol" w:hint="default"/>
      </w:rPr>
    </w:lvl>
    <w:lvl w:ilvl="1" w:tplc="9D2645BC">
      <w:start w:val="1"/>
      <w:numFmt w:val="bullet"/>
      <w:lvlText w:val="o"/>
      <w:lvlJc w:val="left"/>
      <w:pPr>
        <w:ind w:left="1440" w:hanging="360"/>
      </w:pPr>
      <w:rPr>
        <w:rFonts w:ascii="Courier New" w:hAnsi="Courier New" w:hint="default"/>
      </w:rPr>
    </w:lvl>
    <w:lvl w:ilvl="2" w:tplc="AF76ED4C">
      <w:start w:val="1"/>
      <w:numFmt w:val="bullet"/>
      <w:lvlText w:val=""/>
      <w:lvlJc w:val="left"/>
      <w:pPr>
        <w:ind w:left="2160" w:hanging="360"/>
      </w:pPr>
      <w:rPr>
        <w:rFonts w:ascii="Wingdings" w:hAnsi="Wingdings" w:hint="default"/>
      </w:rPr>
    </w:lvl>
    <w:lvl w:ilvl="3" w:tplc="3A9CC9FE">
      <w:start w:val="1"/>
      <w:numFmt w:val="bullet"/>
      <w:lvlText w:val=""/>
      <w:lvlJc w:val="left"/>
      <w:pPr>
        <w:ind w:left="2880" w:hanging="360"/>
      </w:pPr>
      <w:rPr>
        <w:rFonts w:ascii="Symbol" w:hAnsi="Symbol" w:hint="default"/>
      </w:rPr>
    </w:lvl>
    <w:lvl w:ilvl="4" w:tplc="A5B0DF30">
      <w:start w:val="1"/>
      <w:numFmt w:val="bullet"/>
      <w:lvlText w:val="o"/>
      <w:lvlJc w:val="left"/>
      <w:pPr>
        <w:ind w:left="3600" w:hanging="360"/>
      </w:pPr>
      <w:rPr>
        <w:rFonts w:ascii="Courier New" w:hAnsi="Courier New" w:hint="default"/>
      </w:rPr>
    </w:lvl>
    <w:lvl w:ilvl="5" w:tplc="CA5A78B4">
      <w:start w:val="1"/>
      <w:numFmt w:val="bullet"/>
      <w:lvlText w:val=""/>
      <w:lvlJc w:val="left"/>
      <w:pPr>
        <w:ind w:left="4320" w:hanging="360"/>
      </w:pPr>
      <w:rPr>
        <w:rFonts w:ascii="Wingdings" w:hAnsi="Wingdings" w:hint="default"/>
      </w:rPr>
    </w:lvl>
    <w:lvl w:ilvl="6" w:tplc="F81CF2A6">
      <w:start w:val="1"/>
      <w:numFmt w:val="bullet"/>
      <w:lvlText w:val=""/>
      <w:lvlJc w:val="left"/>
      <w:pPr>
        <w:ind w:left="5040" w:hanging="360"/>
      </w:pPr>
      <w:rPr>
        <w:rFonts w:ascii="Symbol" w:hAnsi="Symbol" w:hint="default"/>
      </w:rPr>
    </w:lvl>
    <w:lvl w:ilvl="7" w:tplc="8A30BEA4">
      <w:start w:val="1"/>
      <w:numFmt w:val="bullet"/>
      <w:lvlText w:val="o"/>
      <w:lvlJc w:val="left"/>
      <w:pPr>
        <w:ind w:left="5760" w:hanging="360"/>
      </w:pPr>
      <w:rPr>
        <w:rFonts w:ascii="Courier New" w:hAnsi="Courier New" w:hint="default"/>
      </w:rPr>
    </w:lvl>
    <w:lvl w:ilvl="8" w:tplc="1D8E5500">
      <w:start w:val="1"/>
      <w:numFmt w:val="bullet"/>
      <w:lvlText w:val=""/>
      <w:lvlJc w:val="left"/>
      <w:pPr>
        <w:ind w:left="6480" w:hanging="360"/>
      </w:pPr>
      <w:rPr>
        <w:rFonts w:ascii="Wingdings" w:hAnsi="Wingdings" w:hint="default"/>
      </w:rPr>
    </w:lvl>
  </w:abstractNum>
  <w:abstractNum w:abstractNumId="13" w15:restartNumberingAfterBreak="0">
    <w:nsid w:val="69122736"/>
    <w:multiLevelType w:val="hybridMultilevel"/>
    <w:tmpl w:val="2EF623EC"/>
    <w:lvl w:ilvl="0" w:tplc="0409000D">
      <w:start w:val="1"/>
      <w:numFmt w:val="bullet"/>
      <w:lvlText w:val=""/>
      <w:lvlJc w:val="left"/>
      <w:pPr>
        <w:ind w:left="360" w:hanging="360"/>
      </w:pPr>
      <w:rPr>
        <w:rFonts w:ascii="Wingdings" w:hAnsi="Wingdings" w:hint="default"/>
      </w:rPr>
    </w:lvl>
    <w:lvl w:ilvl="1" w:tplc="E7BE1D8C">
      <w:start w:val="1"/>
      <w:numFmt w:val="bullet"/>
      <w:lvlText w:val="o"/>
      <w:lvlJc w:val="left"/>
      <w:pPr>
        <w:ind w:left="1080" w:hanging="360"/>
      </w:pPr>
      <w:rPr>
        <w:rFonts w:ascii="Courier New" w:hAnsi="Courier New" w:hint="default"/>
      </w:rPr>
    </w:lvl>
    <w:lvl w:ilvl="2" w:tplc="0A92D47E">
      <w:start w:val="1"/>
      <w:numFmt w:val="bullet"/>
      <w:lvlText w:val=""/>
      <w:lvlJc w:val="left"/>
      <w:pPr>
        <w:ind w:left="1800" w:hanging="360"/>
      </w:pPr>
      <w:rPr>
        <w:rFonts w:ascii="Wingdings" w:hAnsi="Wingdings" w:hint="default"/>
      </w:rPr>
    </w:lvl>
    <w:lvl w:ilvl="3" w:tplc="630E7A1E">
      <w:start w:val="1"/>
      <w:numFmt w:val="bullet"/>
      <w:lvlText w:val=""/>
      <w:lvlJc w:val="left"/>
      <w:pPr>
        <w:ind w:left="2520" w:hanging="360"/>
      </w:pPr>
      <w:rPr>
        <w:rFonts w:ascii="Symbol" w:hAnsi="Symbol" w:hint="default"/>
      </w:rPr>
    </w:lvl>
    <w:lvl w:ilvl="4" w:tplc="7280FED4">
      <w:start w:val="1"/>
      <w:numFmt w:val="bullet"/>
      <w:lvlText w:val="o"/>
      <w:lvlJc w:val="left"/>
      <w:pPr>
        <w:ind w:left="3240" w:hanging="360"/>
      </w:pPr>
      <w:rPr>
        <w:rFonts w:ascii="Courier New" w:hAnsi="Courier New" w:hint="default"/>
      </w:rPr>
    </w:lvl>
    <w:lvl w:ilvl="5" w:tplc="9426FC84">
      <w:start w:val="1"/>
      <w:numFmt w:val="bullet"/>
      <w:lvlText w:val=""/>
      <w:lvlJc w:val="left"/>
      <w:pPr>
        <w:ind w:left="3960" w:hanging="360"/>
      </w:pPr>
      <w:rPr>
        <w:rFonts w:ascii="Wingdings" w:hAnsi="Wingdings" w:hint="default"/>
      </w:rPr>
    </w:lvl>
    <w:lvl w:ilvl="6" w:tplc="1D76B8EE">
      <w:start w:val="1"/>
      <w:numFmt w:val="bullet"/>
      <w:lvlText w:val=""/>
      <w:lvlJc w:val="left"/>
      <w:pPr>
        <w:ind w:left="4680" w:hanging="360"/>
      </w:pPr>
      <w:rPr>
        <w:rFonts w:ascii="Symbol" w:hAnsi="Symbol" w:hint="default"/>
      </w:rPr>
    </w:lvl>
    <w:lvl w:ilvl="7" w:tplc="032AE5CE">
      <w:start w:val="1"/>
      <w:numFmt w:val="bullet"/>
      <w:lvlText w:val="o"/>
      <w:lvlJc w:val="left"/>
      <w:pPr>
        <w:ind w:left="5400" w:hanging="360"/>
      </w:pPr>
      <w:rPr>
        <w:rFonts w:ascii="Courier New" w:hAnsi="Courier New" w:hint="default"/>
      </w:rPr>
    </w:lvl>
    <w:lvl w:ilvl="8" w:tplc="90127DF6">
      <w:start w:val="1"/>
      <w:numFmt w:val="bullet"/>
      <w:lvlText w:val=""/>
      <w:lvlJc w:val="left"/>
      <w:pPr>
        <w:ind w:left="6120" w:hanging="360"/>
      </w:pPr>
      <w:rPr>
        <w:rFonts w:ascii="Wingdings" w:hAnsi="Wingdings" w:hint="default"/>
      </w:rPr>
    </w:lvl>
  </w:abstractNum>
  <w:abstractNum w:abstractNumId="14" w15:restartNumberingAfterBreak="0">
    <w:nsid w:val="720751AC"/>
    <w:multiLevelType w:val="hybridMultilevel"/>
    <w:tmpl w:val="EE04A8A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1"/>
  </w:num>
  <w:num w:numId="4">
    <w:abstractNumId w:val="6"/>
  </w:num>
  <w:num w:numId="5">
    <w:abstractNumId w:val="13"/>
  </w:num>
  <w:num w:numId="6">
    <w:abstractNumId w:val="8"/>
  </w:num>
  <w:num w:numId="7">
    <w:abstractNumId w:val="4"/>
  </w:num>
  <w:num w:numId="8">
    <w:abstractNumId w:val="2"/>
  </w:num>
  <w:num w:numId="9">
    <w:abstractNumId w:val="0"/>
  </w:num>
  <w:num w:numId="10">
    <w:abstractNumId w:val="7"/>
  </w:num>
  <w:num w:numId="11">
    <w:abstractNumId w:val="3"/>
  </w:num>
  <w:num w:numId="12">
    <w:abstractNumId w:val="14"/>
  </w:num>
  <w:num w:numId="13">
    <w:abstractNumId w:val="9"/>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E0D9DC"/>
    <w:rsid w:val="0001373F"/>
    <w:rsid w:val="000256A7"/>
    <w:rsid w:val="00043B5D"/>
    <w:rsid w:val="00050367"/>
    <w:rsid w:val="00054E35"/>
    <w:rsid w:val="00063BDC"/>
    <w:rsid w:val="00063F15"/>
    <w:rsid w:val="00064790"/>
    <w:rsid w:val="00064A97"/>
    <w:rsid w:val="00075CF1"/>
    <w:rsid w:val="0008184D"/>
    <w:rsid w:val="000931C3"/>
    <w:rsid w:val="000A3647"/>
    <w:rsid w:val="000B0943"/>
    <w:rsid w:val="000B3AA2"/>
    <w:rsid w:val="000D1232"/>
    <w:rsid w:val="000D4849"/>
    <w:rsid w:val="000D4DE4"/>
    <w:rsid w:val="000E06A5"/>
    <w:rsid w:val="000E36A9"/>
    <w:rsid w:val="000E4427"/>
    <w:rsid w:val="000E478C"/>
    <w:rsid w:val="000E4EA8"/>
    <w:rsid w:val="000E6C74"/>
    <w:rsid w:val="00116E25"/>
    <w:rsid w:val="001207D7"/>
    <w:rsid w:val="001261FF"/>
    <w:rsid w:val="00130C8F"/>
    <w:rsid w:val="001329E5"/>
    <w:rsid w:val="00143F5C"/>
    <w:rsid w:val="00162D4C"/>
    <w:rsid w:val="00180635"/>
    <w:rsid w:val="00184058"/>
    <w:rsid w:val="001A7ADD"/>
    <w:rsid w:val="001B21E1"/>
    <w:rsid w:val="001F0C7F"/>
    <w:rsid w:val="001F759C"/>
    <w:rsid w:val="002105F4"/>
    <w:rsid w:val="00214E93"/>
    <w:rsid w:val="00232DF6"/>
    <w:rsid w:val="002350F9"/>
    <w:rsid w:val="0023626E"/>
    <w:rsid w:val="00236ECB"/>
    <w:rsid w:val="00243EF5"/>
    <w:rsid w:val="0027147C"/>
    <w:rsid w:val="002762D0"/>
    <w:rsid w:val="00285F05"/>
    <w:rsid w:val="00290749"/>
    <w:rsid w:val="002A0CFA"/>
    <w:rsid w:val="002A660F"/>
    <w:rsid w:val="002B3B8D"/>
    <w:rsid w:val="002B62C2"/>
    <w:rsid w:val="002C2662"/>
    <w:rsid w:val="002D2783"/>
    <w:rsid w:val="002D2FED"/>
    <w:rsid w:val="00305B05"/>
    <w:rsid w:val="00306367"/>
    <w:rsid w:val="00311943"/>
    <w:rsid w:val="003133F0"/>
    <w:rsid w:val="00314F03"/>
    <w:rsid w:val="00316032"/>
    <w:rsid w:val="00320158"/>
    <w:rsid w:val="00331BA1"/>
    <w:rsid w:val="00340DB6"/>
    <w:rsid w:val="00351CD0"/>
    <w:rsid w:val="003546AA"/>
    <w:rsid w:val="00356336"/>
    <w:rsid w:val="00362A61"/>
    <w:rsid w:val="00375877"/>
    <w:rsid w:val="00381118"/>
    <w:rsid w:val="00384AAD"/>
    <w:rsid w:val="00386DF9"/>
    <w:rsid w:val="0039476B"/>
    <w:rsid w:val="00397026"/>
    <w:rsid w:val="003A1CAE"/>
    <w:rsid w:val="003C1967"/>
    <w:rsid w:val="003D7E4A"/>
    <w:rsid w:val="003E675F"/>
    <w:rsid w:val="00403455"/>
    <w:rsid w:val="0040786A"/>
    <w:rsid w:val="00410C50"/>
    <w:rsid w:val="00427F18"/>
    <w:rsid w:val="004304CA"/>
    <w:rsid w:val="004325D7"/>
    <w:rsid w:val="004338A0"/>
    <w:rsid w:val="00433C79"/>
    <w:rsid w:val="00443883"/>
    <w:rsid w:val="004511D3"/>
    <w:rsid w:val="0046755E"/>
    <w:rsid w:val="00496C2F"/>
    <w:rsid w:val="004A1582"/>
    <w:rsid w:val="004C63F7"/>
    <w:rsid w:val="004D2D16"/>
    <w:rsid w:val="004E67A7"/>
    <w:rsid w:val="004E6D22"/>
    <w:rsid w:val="004F102C"/>
    <w:rsid w:val="00504D56"/>
    <w:rsid w:val="00510452"/>
    <w:rsid w:val="00536EFE"/>
    <w:rsid w:val="00546D58"/>
    <w:rsid w:val="005474FF"/>
    <w:rsid w:val="00562FEF"/>
    <w:rsid w:val="00567613"/>
    <w:rsid w:val="00571BD3"/>
    <w:rsid w:val="00577A8C"/>
    <w:rsid w:val="00590903"/>
    <w:rsid w:val="005D190B"/>
    <w:rsid w:val="005D277D"/>
    <w:rsid w:val="005E1CD1"/>
    <w:rsid w:val="005E5828"/>
    <w:rsid w:val="005F0A04"/>
    <w:rsid w:val="005F40C1"/>
    <w:rsid w:val="00621193"/>
    <w:rsid w:val="006376EE"/>
    <w:rsid w:val="00640E2E"/>
    <w:rsid w:val="00646A54"/>
    <w:rsid w:val="00661FDA"/>
    <w:rsid w:val="00662077"/>
    <w:rsid w:val="006701CB"/>
    <w:rsid w:val="00686B70"/>
    <w:rsid w:val="006B2C3B"/>
    <w:rsid w:val="006C149F"/>
    <w:rsid w:val="006C1702"/>
    <w:rsid w:val="006C1EE0"/>
    <w:rsid w:val="006C3DC3"/>
    <w:rsid w:val="006C4EC2"/>
    <w:rsid w:val="006C6BAD"/>
    <w:rsid w:val="006D5E29"/>
    <w:rsid w:val="006E50C7"/>
    <w:rsid w:val="006E6FFE"/>
    <w:rsid w:val="006F31BF"/>
    <w:rsid w:val="00726583"/>
    <w:rsid w:val="00731E12"/>
    <w:rsid w:val="00760CF0"/>
    <w:rsid w:val="00763175"/>
    <w:rsid w:val="00776F56"/>
    <w:rsid w:val="007835FD"/>
    <w:rsid w:val="007A7A26"/>
    <w:rsid w:val="007B2CBE"/>
    <w:rsid w:val="007C42FE"/>
    <w:rsid w:val="007C6C75"/>
    <w:rsid w:val="007E2340"/>
    <w:rsid w:val="007E6D68"/>
    <w:rsid w:val="007E7295"/>
    <w:rsid w:val="007F4609"/>
    <w:rsid w:val="00800E29"/>
    <w:rsid w:val="00801313"/>
    <w:rsid w:val="0082174E"/>
    <w:rsid w:val="00832715"/>
    <w:rsid w:val="00833AE7"/>
    <w:rsid w:val="008465F6"/>
    <w:rsid w:val="0086013C"/>
    <w:rsid w:val="00860FE2"/>
    <w:rsid w:val="00865B58"/>
    <w:rsid w:val="0087278A"/>
    <w:rsid w:val="008746BD"/>
    <w:rsid w:val="00875CDC"/>
    <w:rsid w:val="008808D6"/>
    <w:rsid w:val="00885AA9"/>
    <w:rsid w:val="00897625"/>
    <w:rsid w:val="00897C67"/>
    <w:rsid w:val="008A0ADC"/>
    <w:rsid w:val="008A27E7"/>
    <w:rsid w:val="008A42BB"/>
    <w:rsid w:val="008B082F"/>
    <w:rsid w:val="008B5FF6"/>
    <w:rsid w:val="008D2EC3"/>
    <w:rsid w:val="008D6BC6"/>
    <w:rsid w:val="008D7050"/>
    <w:rsid w:val="00907D43"/>
    <w:rsid w:val="00914611"/>
    <w:rsid w:val="00915966"/>
    <w:rsid w:val="0093112F"/>
    <w:rsid w:val="00933405"/>
    <w:rsid w:val="00944ECB"/>
    <w:rsid w:val="00957C35"/>
    <w:rsid w:val="00966201"/>
    <w:rsid w:val="00976311"/>
    <w:rsid w:val="0098343E"/>
    <w:rsid w:val="009A1874"/>
    <w:rsid w:val="009A2967"/>
    <w:rsid w:val="009C03FA"/>
    <w:rsid w:val="009C6745"/>
    <w:rsid w:val="009C7F56"/>
    <w:rsid w:val="009E4832"/>
    <w:rsid w:val="009F0A76"/>
    <w:rsid w:val="00A07D1C"/>
    <w:rsid w:val="00A115AD"/>
    <w:rsid w:val="00A43A3A"/>
    <w:rsid w:val="00A54EAD"/>
    <w:rsid w:val="00A55222"/>
    <w:rsid w:val="00A6430A"/>
    <w:rsid w:val="00A6444E"/>
    <w:rsid w:val="00A71BEC"/>
    <w:rsid w:val="00A85051"/>
    <w:rsid w:val="00A91BC0"/>
    <w:rsid w:val="00AA0004"/>
    <w:rsid w:val="00AA08B2"/>
    <w:rsid w:val="00AC12BB"/>
    <w:rsid w:val="00AC5EEE"/>
    <w:rsid w:val="00AC7E39"/>
    <w:rsid w:val="00AD715E"/>
    <w:rsid w:val="00AE1B46"/>
    <w:rsid w:val="00AE5E78"/>
    <w:rsid w:val="00AE6DDE"/>
    <w:rsid w:val="00AF6826"/>
    <w:rsid w:val="00B104B1"/>
    <w:rsid w:val="00B23513"/>
    <w:rsid w:val="00B241B5"/>
    <w:rsid w:val="00B262F1"/>
    <w:rsid w:val="00B55030"/>
    <w:rsid w:val="00B75E80"/>
    <w:rsid w:val="00B7612D"/>
    <w:rsid w:val="00B80DAD"/>
    <w:rsid w:val="00B8421D"/>
    <w:rsid w:val="00B90F57"/>
    <w:rsid w:val="00B93A19"/>
    <w:rsid w:val="00B95862"/>
    <w:rsid w:val="00B96694"/>
    <w:rsid w:val="00B97F57"/>
    <w:rsid w:val="00BD56D1"/>
    <w:rsid w:val="00BF1AD0"/>
    <w:rsid w:val="00C17A75"/>
    <w:rsid w:val="00C20B3A"/>
    <w:rsid w:val="00C2471C"/>
    <w:rsid w:val="00C32B06"/>
    <w:rsid w:val="00C42591"/>
    <w:rsid w:val="00C46543"/>
    <w:rsid w:val="00C63B35"/>
    <w:rsid w:val="00C752A3"/>
    <w:rsid w:val="00C80378"/>
    <w:rsid w:val="00C82C73"/>
    <w:rsid w:val="00CB055E"/>
    <w:rsid w:val="00CB6590"/>
    <w:rsid w:val="00CB6BD3"/>
    <w:rsid w:val="00CC1041"/>
    <w:rsid w:val="00CC2A47"/>
    <w:rsid w:val="00CE0D3E"/>
    <w:rsid w:val="00CF4AE2"/>
    <w:rsid w:val="00CF6261"/>
    <w:rsid w:val="00D0026E"/>
    <w:rsid w:val="00D027BB"/>
    <w:rsid w:val="00D0591F"/>
    <w:rsid w:val="00D05F80"/>
    <w:rsid w:val="00D07E51"/>
    <w:rsid w:val="00D136F3"/>
    <w:rsid w:val="00D339F0"/>
    <w:rsid w:val="00D4072B"/>
    <w:rsid w:val="00D44DF7"/>
    <w:rsid w:val="00D55DE2"/>
    <w:rsid w:val="00D76301"/>
    <w:rsid w:val="00D766CB"/>
    <w:rsid w:val="00D7766D"/>
    <w:rsid w:val="00D84B0E"/>
    <w:rsid w:val="00D96F95"/>
    <w:rsid w:val="00DA5298"/>
    <w:rsid w:val="00DA6C40"/>
    <w:rsid w:val="00DC06EE"/>
    <w:rsid w:val="00DC389C"/>
    <w:rsid w:val="00DD0CDA"/>
    <w:rsid w:val="00DD484F"/>
    <w:rsid w:val="00DD5211"/>
    <w:rsid w:val="00DD53A8"/>
    <w:rsid w:val="00DE018C"/>
    <w:rsid w:val="00DE0EE0"/>
    <w:rsid w:val="00DE2E9A"/>
    <w:rsid w:val="00DF3A06"/>
    <w:rsid w:val="00E04A5A"/>
    <w:rsid w:val="00E23801"/>
    <w:rsid w:val="00E2698A"/>
    <w:rsid w:val="00E466B4"/>
    <w:rsid w:val="00E51D33"/>
    <w:rsid w:val="00E56BBA"/>
    <w:rsid w:val="00E56D8C"/>
    <w:rsid w:val="00E61247"/>
    <w:rsid w:val="00E6668E"/>
    <w:rsid w:val="00EC3458"/>
    <w:rsid w:val="00EC4119"/>
    <w:rsid w:val="00EC678D"/>
    <w:rsid w:val="00ED5BEC"/>
    <w:rsid w:val="00EE70BE"/>
    <w:rsid w:val="00EF24F5"/>
    <w:rsid w:val="00EF648D"/>
    <w:rsid w:val="00EF6D6A"/>
    <w:rsid w:val="00F0228B"/>
    <w:rsid w:val="00F10465"/>
    <w:rsid w:val="00F113D9"/>
    <w:rsid w:val="00F15167"/>
    <w:rsid w:val="00F4163D"/>
    <w:rsid w:val="00F43E35"/>
    <w:rsid w:val="00F448D4"/>
    <w:rsid w:val="00F4728C"/>
    <w:rsid w:val="00F669B8"/>
    <w:rsid w:val="00F72DBC"/>
    <w:rsid w:val="00F72FA7"/>
    <w:rsid w:val="00F9630F"/>
    <w:rsid w:val="00FA288F"/>
    <w:rsid w:val="00FA693B"/>
    <w:rsid w:val="00FA6A25"/>
    <w:rsid w:val="00FB0062"/>
    <w:rsid w:val="00FC68D6"/>
    <w:rsid w:val="00FC6A82"/>
    <w:rsid w:val="00FE7D1B"/>
    <w:rsid w:val="00FF145F"/>
    <w:rsid w:val="0182641B"/>
    <w:rsid w:val="02290D2F"/>
    <w:rsid w:val="04319C7C"/>
    <w:rsid w:val="04464C9E"/>
    <w:rsid w:val="0477CBFC"/>
    <w:rsid w:val="0563C944"/>
    <w:rsid w:val="0569FFD1"/>
    <w:rsid w:val="059D0E73"/>
    <w:rsid w:val="05E0D9DC"/>
    <w:rsid w:val="0610B7CD"/>
    <w:rsid w:val="06D83154"/>
    <w:rsid w:val="07922A8F"/>
    <w:rsid w:val="07A7D7E7"/>
    <w:rsid w:val="080E1025"/>
    <w:rsid w:val="0B2D4772"/>
    <w:rsid w:val="0B932DF4"/>
    <w:rsid w:val="0BD824E3"/>
    <w:rsid w:val="0BF84996"/>
    <w:rsid w:val="0D71C1B8"/>
    <w:rsid w:val="0DB7D907"/>
    <w:rsid w:val="0E288710"/>
    <w:rsid w:val="0E558D03"/>
    <w:rsid w:val="10EF79C9"/>
    <w:rsid w:val="117CD4D4"/>
    <w:rsid w:val="11A8EDD9"/>
    <w:rsid w:val="128B4A2A"/>
    <w:rsid w:val="1414D92C"/>
    <w:rsid w:val="1457853A"/>
    <w:rsid w:val="14FEBAED"/>
    <w:rsid w:val="15D24DED"/>
    <w:rsid w:val="17A5028E"/>
    <w:rsid w:val="1833E79F"/>
    <w:rsid w:val="19563273"/>
    <w:rsid w:val="19E30E74"/>
    <w:rsid w:val="1C64167A"/>
    <w:rsid w:val="1D3594A6"/>
    <w:rsid w:val="1D69C1BE"/>
    <w:rsid w:val="1D777C76"/>
    <w:rsid w:val="1DB22255"/>
    <w:rsid w:val="1E182DC9"/>
    <w:rsid w:val="1F1F69B9"/>
    <w:rsid w:val="1F7E1E0B"/>
    <w:rsid w:val="1FF7F191"/>
    <w:rsid w:val="1FFC6EC0"/>
    <w:rsid w:val="2071DDCE"/>
    <w:rsid w:val="20E2A347"/>
    <w:rsid w:val="21496592"/>
    <w:rsid w:val="22335126"/>
    <w:rsid w:val="233FC078"/>
    <w:rsid w:val="24538F2B"/>
    <w:rsid w:val="24C7462A"/>
    <w:rsid w:val="25649D28"/>
    <w:rsid w:val="263559BF"/>
    <w:rsid w:val="266A7777"/>
    <w:rsid w:val="27381901"/>
    <w:rsid w:val="2763A440"/>
    <w:rsid w:val="27A1FDFB"/>
    <w:rsid w:val="281B0D6A"/>
    <w:rsid w:val="2AE2D64C"/>
    <w:rsid w:val="2BF2FECF"/>
    <w:rsid w:val="2C724334"/>
    <w:rsid w:val="2D6241A5"/>
    <w:rsid w:val="2EBF06C1"/>
    <w:rsid w:val="2F2A3AEA"/>
    <w:rsid w:val="3036A585"/>
    <w:rsid w:val="30A6EEA1"/>
    <w:rsid w:val="30BF1ADF"/>
    <w:rsid w:val="325CA176"/>
    <w:rsid w:val="329D0D79"/>
    <w:rsid w:val="347AAE15"/>
    <w:rsid w:val="34AF6F19"/>
    <w:rsid w:val="35259D25"/>
    <w:rsid w:val="3526318C"/>
    <w:rsid w:val="360A2BDD"/>
    <w:rsid w:val="3640D9B1"/>
    <w:rsid w:val="368D8707"/>
    <w:rsid w:val="37101457"/>
    <w:rsid w:val="37A5FC3E"/>
    <w:rsid w:val="37C45F4B"/>
    <w:rsid w:val="37D5DCAE"/>
    <w:rsid w:val="37F14BEA"/>
    <w:rsid w:val="3839ADDF"/>
    <w:rsid w:val="38E3A032"/>
    <w:rsid w:val="3ABC0DF5"/>
    <w:rsid w:val="3AF530CB"/>
    <w:rsid w:val="3D662D7E"/>
    <w:rsid w:val="3DD9C6F5"/>
    <w:rsid w:val="3E2CD18D"/>
    <w:rsid w:val="3EBDCF44"/>
    <w:rsid w:val="3EDC4DAF"/>
    <w:rsid w:val="3F0ED35A"/>
    <w:rsid w:val="42885728"/>
    <w:rsid w:val="42D03412"/>
    <w:rsid w:val="42FF9608"/>
    <w:rsid w:val="449887D8"/>
    <w:rsid w:val="44A40097"/>
    <w:rsid w:val="44B4961B"/>
    <w:rsid w:val="44CDA41A"/>
    <w:rsid w:val="4532E5A8"/>
    <w:rsid w:val="45BC7BA8"/>
    <w:rsid w:val="46089695"/>
    <w:rsid w:val="46351BF4"/>
    <w:rsid w:val="463FD0F8"/>
    <w:rsid w:val="4654F7F4"/>
    <w:rsid w:val="479CF1EF"/>
    <w:rsid w:val="49A1153D"/>
    <w:rsid w:val="49A92398"/>
    <w:rsid w:val="49CD0AEF"/>
    <w:rsid w:val="49F9C9DF"/>
    <w:rsid w:val="4A634727"/>
    <w:rsid w:val="4BC4759C"/>
    <w:rsid w:val="4C622142"/>
    <w:rsid w:val="4C92FE58"/>
    <w:rsid w:val="4DEEF32F"/>
    <w:rsid w:val="4EB84E5F"/>
    <w:rsid w:val="506219F6"/>
    <w:rsid w:val="5067D672"/>
    <w:rsid w:val="50A8E9E0"/>
    <w:rsid w:val="51C64B9E"/>
    <w:rsid w:val="52F244C2"/>
    <w:rsid w:val="543452F9"/>
    <w:rsid w:val="55734439"/>
    <w:rsid w:val="56009673"/>
    <w:rsid w:val="56A3FD91"/>
    <w:rsid w:val="5806AD74"/>
    <w:rsid w:val="5878DF0B"/>
    <w:rsid w:val="58D9F1FC"/>
    <w:rsid w:val="59058EB8"/>
    <w:rsid w:val="5AE010E1"/>
    <w:rsid w:val="5BFD5B9E"/>
    <w:rsid w:val="5C93E63A"/>
    <w:rsid w:val="5E7848F9"/>
    <w:rsid w:val="618E0B73"/>
    <w:rsid w:val="61FB79EB"/>
    <w:rsid w:val="62A5945F"/>
    <w:rsid w:val="6307D8CC"/>
    <w:rsid w:val="631B4F6D"/>
    <w:rsid w:val="63564D8B"/>
    <w:rsid w:val="653E39B6"/>
    <w:rsid w:val="65E93C7C"/>
    <w:rsid w:val="692B74DD"/>
    <w:rsid w:val="6989A1B9"/>
    <w:rsid w:val="69A9E096"/>
    <w:rsid w:val="69DA17B1"/>
    <w:rsid w:val="6B45D5A0"/>
    <w:rsid w:val="6C3F8610"/>
    <w:rsid w:val="6D62EA0E"/>
    <w:rsid w:val="6E7E5846"/>
    <w:rsid w:val="6E855EC4"/>
    <w:rsid w:val="6FD1E333"/>
    <w:rsid w:val="733C65AC"/>
    <w:rsid w:val="73AF9925"/>
    <w:rsid w:val="76192317"/>
    <w:rsid w:val="767BA06D"/>
    <w:rsid w:val="76B9E213"/>
    <w:rsid w:val="76EE3E20"/>
    <w:rsid w:val="7764E51C"/>
    <w:rsid w:val="78DF7EF0"/>
    <w:rsid w:val="79AEA583"/>
    <w:rsid w:val="7BA18720"/>
    <w:rsid w:val="7CC8D333"/>
    <w:rsid w:val="7CEC4C04"/>
    <w:rsid w:val="7D4E348E"/>
    <w:rsid w:val="7E4AD5D6"/>
    <w:rsid w:val="7F9DE9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D9DC"/>
  <w15:chartTrackingRefBased/>
  <w15:docId w15:val="{9791CDFF-C4F2-4A68-8CB8-ABFEF976C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C20B3A"/>
  </w:style>
  <w:style w:type="character" w:customStyle="1" w:styleId="eop">
    <w:name w:val="eop"/>
    <w:basedOn w:val="DefaultParagraphFont"/>
    <w:rsid w:val="0027147C"/>
  </w:style>
  <w:style w:type="character" w:customStyle="1" w:styleId="spellingerror">
    <w:name w:val="spellingerror"/>
    <w:basedOn w:val="DefaultParagraphFont"/>
    <w:rsid w:val="008D6BC6"/>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0A3647"/>
    <w:rPr>
      <w:color w:val="0563C1" w:themeColor="hyperlink"/>
      <w:u w:val="single"/>
    </w:rPr>
  </w:style>
  <w:style w:type="character" w:styleId="UnresolvedMention">
    <w:name w:val="Unresolved Mention"/>
    <w:basedOn w:val="DefaultParagraphFont"/>
    <w:uiPriority w:val="99"/>
    <w:semiHidden/>
    <w:unhideWhenUsed/>
    <w:rsid w:val="000A3647"/>
    <w:rPr>
      <w:color w:val="605E5C"/>
      <w:shd w:val="clear" w:color="auto" w:fill="E1DFDD"/>
    </w:rPr>
  </w:style>
  <w:style w:type="character" w:styleId="FollowedHyperlink">
    <w:name w:val="FollowedHyperlink"/>
    <w:basedOn w:val="DefaultParagraphFont"/>
    <w:uiPriority w:val="99"/>
    <w:semiHidden/>
    <w:unhideWhenUsed/>
    <w:rsid w:val="007E2340"/>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75CDC"/>
    <w:rPr>
      <w:b/>
      <w:bCs/>
    </w:rPr>
  </w:style>
  <w:style w:type="character" w:customStyle="1" w:styleId="CommentSubjectChar">
    <w:name w:val="Comment Subject Char"/>
    <w:basedOn w:val="CommentTextChar"/>
    <w:link w:val="CommentSubject"/>
    <w:uiPriority w:val="99"/>
    <w:semiHidden/>
    <w:rsid w:val="00875CDC"/>
    <w:rPr>
      <w:b/>
      <w:bCs/>
      <w:sz w:val="20"/>
      <w:szCs w:val="20"/>
    </w:rPr>
  </w:style>
  <w:style w:type="paragraph" w:styleId="Title">
    <w:name w:val="Title"/>
    <w:basedOn w:val="Normal"/>
    <w:next w:val="Normal"/>
    <w:link w:val="TitleChar"/>
    <w:uiPriority w:val="10"/>
    <w:qFormat/>
    <w:rsid w:val="005D27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77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e83c519ed6f74995"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01a474498c6c959952f858e88f9d23c5">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74c1705558ef3582aae4b8aed6332d75"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B308B-B61C-47F6-B24F-3711BC04DEFF}">
  <ds:schemaRefs>
    <ds:schemaRef ds:uri="http://schemas.microsoft.com/sharepoint/v3/contenttype/forms"/>
  </ds:schemaRefs>
</ds:datastoreItem>
</file>

<file path=customXml/itemProps2.xml><?xml version="1.0" encoding="utf-8"?>
<ds:datastoreItem xmlns:ds="http://schemas.openxmlformats.org/officeDocument/2006/customXml" ds:itemID="{775625EE-F057-4405-BDA6-37F9FDAF1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65476-0D93-42E6-A08E-787A75DCC2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FY2022 SOA Additional Detail Review Criteria</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SOA Additional Detail Review Criteria</dc:title>
  <dc:subject/>
  <dc:creator>DESE</dc:creator>
  <cp:keywords/>
  <dc:description/>
  <cp:lastModifiedBy>Zou, Dong (EOE)</cp:lastModifiedBy>
  <cp:revision>246</cp:revision>
  <dcterms:created xsi:type="dcterms:W3CDTF">2022-04-12T17:28:00Z</dcterms:created>
  <dcterms:modified xsi:type="dcterms:W3CDTF">2022-06-10T14:30:00Z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10 2022</vt:lpwstr>
  </property>
</Properties>
</file>