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88BF" w14:textId="5EBC2B66" w:rsidR="000471EC" w:rsidRPr="001F45D6" w:rsidRDefault="00E855A2" w:rsidP="005831CF">
      <w:pPr>
        <w:contextualSpacing/>
        <w:rPr>
          <w:color w:val="1F4E79" w:themeColor="accent1" w:themeShade="80"/>
        </w:rPr>
      </w:pPr>
      <w:r w:rsidRPr="00A81A4B">
        <w:rPr>
          <w:noProof/>
          <w:color w:val="44546A" w:themeColor="text2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CC916E7" wp14:editId="7D0D2852">
            <wp:simplePos x="0" y="0"/>
            <wp:positionH relativeFrom="margin">
              <wp:posOffset>-104775</wp:posOffset>
            </wp:positionH>
            <wp:positionV relativeFrom="paragraph">
              <wp:posOffset>-170815</wp:posOffset>
            </wp:positionV>
            <wp:extent cx="1552575" cy="927618"/>
            <wp:effectExtent l="0" t="0" r="0" b="6350"/>
            <wp:wrapNone/>
            <wp:docPr id="3" name="Picture 3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2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678" w:rsidRPr="001F45D6">
        <w:rPr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AA8F06A" wp14:editId="73D9DFA3">
            <wp:simplePos x="0" y="0"/>
            <wp:positionH relativeFrom="column">
              <wp:posOffset>-119706</wp:posOffset>
            </wp:positionH>
            <wp:positionV relativeFrom="paragraph">
              <wp:posOffset>515</wp:posOffset>
            </wp:positionV>
            <wp:extent cx="1397000" cy="677545"/>
            <wp:effectExtent l="0" t="0" r="0" b="0"/>
            <wp:wrapNone/>
            <wp:docPr id="2" name="Picture 2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E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450997" w14:textId="6FE629C1" w:rsidR="00800678" w:rsidRPr="001F45D6" w:rsidRDefault="00800678" w:rsidP="007A74BE">
      <w:pPr>
        <w:pStyle w:val="Heading2"/>
        <w:jc w:val="center"/>
        <w:rPr>
          <w:rFonts w:asciiTheme="minorHAnsi" w:hAnsiTheme="minorHAnsi" w:cstheme="minorHAnsi"/>
          <w:color w:val="1F4E79" w:themeColor="accent1" w:themeShade="80"/>
          <w:sz w:val="36"/>
          <w:szCs w:val="36"/>
        </w:rPr>
      </w:pPr>
      <w:r w:rsidRPr="001F45D6"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Significant Disproportionality </w:t>
      </w:r>
      <w:r w:rsidR="00C0546C"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 xml:space="preserve">Fiscal </w:t>
      </w:r>
      <w:r w:rsidR="00C0546C"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br/>
        <w:t xml:space="preserve">Requirements </w:t>
      </w:r>
      <w:r w:rsidRPr="001F45D6">
        <w:rPr>
          <w:rFonts w:asciiTheme="minorHAnsi" w:hAnsiTheme="minorHAnsi" w:cstheme="minorHAnsi"/>
          <w:color w:val="1F4E79" w:themeColor="accent1" w:themeShade="80"/>
          <w:sz w:val="36"/>
          <w:szCs w:val="36"/>
        </w:rPr>
        <w:t>Quick Reference Guide</w:t>
      </w:r>
    </w:p>
    <w:p w14:paraId="410D2064" w14:textId="036CF35F" w:rsidR="006B5A27" w:rsidRPr="00191374" w:rsidRDefault="006B5A27" w:rsidP="005B4912">
      <w:pPr>
        <w:pStyle w:val="Heading2"/>
        <w:spacing w:after="0" w:line="240" w:lineRule="auto"/>
        <w:contextualSpacing/>
        <w:rPr>
          <w:rFonts w:asciiTheme="minorHAnsi" w:hAnsiTheme="minorHAnsi" w:cstheme="minorHAnsi"/>
          <w:color w:val="CE4C11"/>
          <w:sz w:val="24"/>
          <w:szCs w:val="24"/>
        </w:rPr>
      </w:pPr>
      <w:r w:rsidRPr="00191374">
        <w:rPr>
          <w:rFonts w:asciiTheme="minorHAnsi" w:hAnsiTheme="minorHAnsi" w:cstheme="minorHAnsi"/>
          <w:color w:val="CE4C11"/>
          <w:sz w:val="24"/>
          <w:szCs w:val="24"/>
        </w:rPr>
        <w:t xml:space="preserve">What are the fiscal requirements for </w:t>
      </w:r>
      <w:r w:rsidR="007266EA" w:rsidRPr="00191374">
        <w:rPr>
          <w:rFonts w:asciiTheme="minorHAnsi" w:hAnsiTheme="minorHAnsi" w:cstheme="minorHAnsi"/>
          <w:color w:val="CE4C11"/>
          <w:sz w:val="24"/>
          <w:szCs w:val="24"/>
        </w:rPr>
        <w:t xml:space="preserve">school </w:t>
      </w:r>
      <w:r w:rsidRPr="00191374">
        <w:rPr>
          <w:rFonts w:asciiTheme="minorHAnsi" w:hAnsiTheme="minorHAnsi" w:cstheme="minorHAnsi"/>
          <w:color w:val="CE4C11"/>
          <w:sz w:val="24"/>
          <w:szCs w:val="24"/>
        </w:rPr>
        <w:t>districts identified with significant disproportionality?</w:t>
      </w:r>
    </w:p>
    <w:p w14:paraId="1BAE233F" w14:textId="04774E75" w:rsidR="006B5A27" w:rsidRPr="00CD7F05" w:rsidRDefault="007266EA" w:rsidP="005B4912">
      <w:pPr>
        <w:spacing w:after="0" w:line="240" w:lineRule="auto"/>
        <w:contextualSpacing/>
      </w:pPr>
      <w:r>
        <w:t>School districts, or l</w:t>
      </w:r>
      <w:r w:rsidR="008B51F7" w:rsidRPr="00CD7F05">
        <w:t>ocal education agencies (LEAs)</w:t>
      </w:r>
      <w:r>
        <w:t>,</w:t>
      </w:r>
      <w:r w:rsidR="008B51F7" w:rsidRPr="00CD7F05">
        <w:t xml:space="preserve"> </w:t>
      </w:r>
      <w:r w:rsidR="006B5A27" w:rsidRPr="00CD7F05">
        <w:t xml:space="preserve">identified with significant disproportionality are required to </w:t>
      </w:r>
      <w:r w:rsidR="006B5A27" w:rsidRPr="00CD7F05">
        <w:rPr>
          <w:b/>
          <w:bCs/>
        </w:rPr>
        <w:t>reserve 15 percent of their total IDEA Part B funds (Fund Code</w:t>
      </w:r>
      <w:r w:rsidR="00FC7EE4">
        <w:rPr>
          <w:b/>
          <w:bCs/>
        </w:rPr>
        <w:t>s</w:t>
      </w:r>
      <w:r w:rsidR="006B5A27" w:rsidRPr="00CD7F05">
        <w:rPr>
          <w:b/>
          <w:bCs/>
        </w:rPr>
        <w:t xml:space="preserve"> </w:t>
      </w:r>
      <w:r w:rsidR="00787E8D">
        <w:rPr>
          <w:b/>
          <w:bCs/>
        </w:rPr>
        <w:t>0</w:t>
      </w:r>
      <w:r w:rsidR="006B5A27" w:rsidRPr="00CD7F05">
        <w:rPr>
          <w:b/>
          <w:bCs/>
        </w:rPr>
        <w:t xml:space="preserve">240 </w:t>
      </w:r>
      <w:r w:rsidR="00FC7EE4">
        <w:rPr>
          <w:b/>
          <w:bCs/>
        </w:rPr>
        <w:t xml:space="preserve">and </w:t>
      </w:r>
      <w:r w:rsidR="00787E8D">
        <w:rPr>
          <w:b/>
          <w:bCs/>
        </w:rPr>
        <w:t>0</w:t>
      </w:r>
      <w:r w:rsidR="006B5A27" w:rsidRPr="00CD7F05">
        <w:rPr>
          <w:b/>
          <w:bCs/>
        </w:rPr>
        <w:t>262)</w:t>
      </w:r>
      <w:r w:rsidR="006B5A27" w:rsidRPr="00CD7F05">
        <w:t xml:space="preserve"> to provide for comprehensive coordinated early intervening services (</w:t>
      </w:r>
      <w:r>
        <w:t>also known as “</w:t>
      </w:r>
      <w:r w:rsidR="006B5A27" w:rsidRPr="00CD7F05">
        <w:t>comprehensive CEIS</w:t>
      </w:r>
      <w:r>
        <w:t>”</w:t>
      </w:r>
      <w:r w:rsidR="00F64D02">
        <w:t xml:space="preserve"> or </w:t>
      </w:r>
      <w:r>
        <w:t>“</w:t>
      </w:r>
      <w:r w:rsidR="00F64D02">
        <w:t>CCEIS</w:t>
      </w:r>
      <w:r>
        <w:t>”</w:t>
      </w:r>
      <w:r w:rsidR="006B5A27" w:rsidRPr="00CD7F05">
        <w:t xml:space="preserve">). </w:t>
      </w:r>
      <w:r w:rsidR="00901C07">
        <w:t>CCEIS</w:t>
      </w:r>
      <w:r w:rsidR="006B5A27" w:rsidRPr="00CD7F05">
        <w:t xml:space="preserve"> must address factors contributing to the significant disproportionality</w:t>
      </w:r>
      <w:r w:rsidR="002225C7">
        <w:t>.</w:t>
      </w:r>
      <w:r w:rsidR="002225C7">
        <w:rPr>
          <w:rStyle w:val="FootnoteReference"/>
        </w:rPr>
        <w:footnoteReference w:id="2"/>
      </w:r>
    </w:p>
    <w:p w14:paraId="0C22EAD6" w14:textId="77777777" w:rsidR="005B4912" w:rsidRPr="009D11ED" w:rsidRDefault="005B4912" w:rsidP="005B4912">
      <w:pPr>
        <w:spacing w:after="0" w:line="240" w:lineRule="auto"/>
        <w:contextualSpacing/>
        <w:rPr>
          <w:sz w:val="18"/>
          <w:szCs w:val="18"/>
        </w:rPr>
      </w:pPr>
    </w:p>
    <w:p w14:paraId="58869658" w14:textId="13998A0E" w:rsidR="00683ED0" w:rsidRPr="00191374" w:rsidRDefault="00683ED0" w:rsidP="005B4912">
      <w:pPr>
        <w:pStyle w:val="Heading2"/>
        <w:spacing w:after="0" w:line="240" w:lineRule="auto"/>
        <w:contextualSpacing/>
        <w:rPr>
          <w:rFonts w:asciiTheme="minorHAnsi" w:hAnsiTheme="minorHAnsi" w:cstheme="minorHAnsi"/>
          <w:color w:val="CE4C11"/>
          <w:sz w:val="24"/>
          <w:szCs w:val="24"/>
        </w:rPr>
      </w:pPr>
      <w:r w:rsidRPr="00191374">
        <w:rPr>
          <w:rFonts w:asciiTheme="minorHAnsi" w:hAnsiTheme="minorHAnsi" w:cstheme="minorHAnsi"/>
          <w:color w:val="CE4C11"/>
          <w:sz w:val="24"/>
          <w:szCs w:val="24"/>
        </w:rPr>
        <w:t xml:space="preserve">What </w:t>
      </w:r>
      <w:r w:rsidR="00F64D02" w:rsidRPr="00191374">
        <w:rPr>
          <w:rFonts w:asciiTheme="minorHAnsi" w:hAnsiTheme="minorHAnsi" w:cstheme="minorHAnsi"/>
          <w:color w:val="CE4C11"/>
          <w:sz w:val="24"/>
          <w:szCs w:val="24"/>
        </w:rPr>
        <w:t xml:space="preserve">are </w:t>
      </w:r>
      <w:r w:rsidR="006B5A27" w:rsidRPr="00191374">
        <w:rPr>
          <w:rFonts w:asciiTheme="minorHAnsi" w:hAnsiTheme="minorHAnsi" w:cstheme="minorHAnsi"/>
          <w:color w:val="CE4C11"/>
          <w:sz w:val="24"/>
          <w:szCs w:val="24"/>
        </w:rPr>
        <w:t>comprehensive coordinated early intervening services</w:t>
      </w:r>
      <w:r w:rsidR="008B51F7" w:rsidRPr="00191374">
        <w:rPr>
          <w:rFonts w:asciiTheme="minorHAnsi" w:hAnsiTheme="minorHAnsi" w:cstheme="minorHAnsi"/>
          <w:color w:val="CE4C11"/>
          <w:sz w:val="24"/>
          <w:szCs w:val="24"/>
        </w:rPr>
        <w:t xml:space="preserve"> (CCEIS)</w:t>
      </w:r>
      <w:r w:rsidRPr="00191374">
        <w:rPr>
          <w:rFonts w:asciiTheme="minorHAnsi" w:hAnsiTheme="minorHAnsi" w:cstheme="minorHAnsi"/>
          <w:color w:val="CE4C11"/>
          <w:sz w:val="24"/>
          <w:szCs w:val="24"/>
        </w:rPr>
        <w:t xml:space="preserve">? </w:t>
      </w:r>
    </w:p>
    <w:p w14:paraId="02DAD2F2" w14:textId="325C8F0E" w:rsidR="00E32E9A" w:rsidRPr="00CD7F05" w:rsidRDefault="00901C07" w:rsidP="005B4912">
      <w:pPr>
        <w:spacing w:after="0" w:line="240" w:lineRule="auto"/>
        <w:contextualSpacing/>
        <w:rPr>
          <w:szCs w:val="24"/>
        </w:rPr>
      </w:pPr>
      <w:r>
        <w:rPr>
          <w:szCs w:val="24"/>
        </w:rPr>
        <w:t>CCEIS</w:t>
      </w:r>
      <w:r w:rsidR="00E32E9A" w:rsidRPr="00CD7F05">
        <w:rPr>
          <w:szCs w:val="24"/>
        </w:rPr>
        <w:t xml:space="preserve"> </w:t>
      </w:r>
      <w:r w:rsidR="00F64D02">
        <w:rPr>
          <w:szCs w:val="24"/>
        </w:rPr>
        <w:t xml:space="preserve">are a broad range of services focused on addressing the factors that contributed to the identification of </w:t>
      </w:r>
      <w:r w:rsidR="00E32E9A" w:rsidRPr="00CD7F05">
        <w:rPr>
          <w:szCs w:val="24"/>
        </w:rPr>
        <w:t>significant disproportionality.</w:t>
      </w:r>
      <w:r w:rsidR="00F077EF">
        <w:rPr>
          <w:szCs w:val="24"/>
        </w:rPr>
        <w:t xml:space="preserve"> </w:t>
      </w:r>
      <w:r w:rsidR="00E32E9A" w:rsidRPr="00CD7F05">
        <w:rPr>
          <w:szCs w:val="24"/>
        </w:rPr>
        <w:t xml:space="preserve">These factors </w:t>
      </w:r>
      <w:r w:rsidR="00F64D02">
        <w:rPr>
          <w:szCs w:val="24"/>
        </w:rPr>
        <w:t xml:space="preserve">may </w:t>
      </w:r>
      <w:r w:rsidR="00E32E9A" w:rsidRPr="00CD7F05">
        <w:rPr>
          <w:szCs w:val="24"/>
        </w:rPr>
        <w:t>include, but are not limited to:</w:t>
      </w:r>
    </w:p>
    <w:p w14:paraId="1FDB4896" w14:textId="452BCAD5" w:rsidR="00E32E9A" w:rsidRPr="00CD7F05" w:rsidRDefault="00E32E9A" w:rsidP="00CD7F05">
      <w:pPr>
        <w:numPr>
          <w:ilvl w:val="0"/>
          <w:numId w:val="13"/>
        </w:numPr>
        <w:spacing w:after="0" w:line="240" w:lineRule="auto"/>
        <w:contextualSpacing/>
        <w:rPr>
          <w:szCs w:val="24"/>
        </w:rPr>
      </w:pPr>
      <w:r w:rsidRPr="00CD7F05">
        <w:rPr>
          <w:szCs w:val="24"/>
        </w:rPr>
        <w:t>a lack of access to scientifically</w:t>
      </w:r>
      <w:r w:rsidR="00714AF8">
        <w:rPr>
          <w:szCs w:val="24"/>
        </w:rPr>
        <w:t xml:space="preserve"> </w:t>
      </w:r>
      <w:r w:rsidRPr="00CD7F05">
        <w:rPr>
          <w:szCs w:val="24"/>
        </w:rPr>
        <w:t xml:space="preserve">based instruction; </w:t>
      </w:r>
    </w:p>
    <w:p w14:paraId="3A7C5E96" w14:textId="77777777" w:rsidR="00E32E9A" w:rsidRPr="00CD7F05" w:rsidRDefault="00E32E9A" w:rsidP="00CD7F05">
      <w:pPr>
        <w:numPr>
          <w:ilvl w:val="0"/>
          <w:numId w:val="13"/>
        </w:numPr>
        <w:spacing w:after="0" w:line="240" w:lineRule="auto"/>
        <w:contextualSpacing/>
        <w:rPr>
          <w:szCs w:val="24"/>
        </w:rPr>
      </w:pPr>
      <w:r w:rsidRPr="00CD7F05">
        <w:rPr>
          <w:szCs w:val="24"/>
        </w:rPr>
        <w:t xml:space="preserve">economic, cultural, or linguistic barriers to appropriate identification or placement in particular educational settings; </w:t>
      </w:r>
    </w:p>
    <w:p w14:paraId="504584E5" w14:textId="77777777" w:rsidR="00E32E9A" w:rsidRPr="00CD7F05" w:rsidRDefault="00E32E9A" w:rsidP="00CD7F05">
      <w:pPr>
        <w:numPr>
          <w:ilvl w:val="0"/>
          <w:numId w:val="13"/>
        </w:numPr>
        <w:spacing w:after="0" w:line="240" w:lineRule="auto"/>
        <w:contextualSpacing/>
        <w:rPr>
          <w:szCs w:val="24"/>
        </w:rPr>
      </w:pPr>
      <w:r w:rsidRPr="00CD7F05">
        <w:rPr>
          <w:szCs w:val="24"/>
        </w:rPr>
        <w:t xml:space="preserve">inappropriate use of disciplinary removals; </w:t>
      </w:r>
    </w:p>
    <w:p w14:paraId="16082E52" w14:textId="77777777" w:rsidR="00E32E9A" w:rsidRPr="00CD7F05" w:rsidRDefault="00E32E9A" w:rsidP="00CD7F05">
      <w:pPr>
        <w:numPr>
          <w:ilvl w:val="0"/>
          <w:numId w:val="13"/>
        </w:numPr>
        <w:spacing w:after="0" w:line="240" w:lineRule="auto"/>
        <w:contextualSpacing/>
        <w:rPr>
          <w:szCs w:val="24"/>
        </w:rPr>
      </w:pPr>
      <w:r w:rsidRPr="00CD7F05">
        <w:rPr>
          <w:szCs w:val="24"/>
        </w:rPr>
        <w:t>lack of access to appropriate diagnostic screenings; and</w:t>
      </w:r>
    </w:p>
    <w:p w14:paraId="52E5AD32" w14:textId="646CD23D" w:rsidR="00E32E9A" w:rsidRPr="00CD7F05" w:rsidRDefault="00E32E9A" w:rsidP="00CD7F05">
      <w:pPr>
        <w:numPr>
          <w:ilvl w:val="0"/>
          <w:numId w:val="13"/>
        </w:numPr>
        <w:spacing w:after="0" w:line="240" w:lineRule="auto"/>
        <w:contextualSpacing/>
        <w:rPr>
          <w:szCs w:val="24"/>
        </w:rPr>
      </w:pPr>
      <w:r w:rsidRPr="00CD7F05">
        <w:rPr>
          <w:szCs w:val="24"/>
        </w:rPr>
        <w:t>differences in academic achievement levels.</w:t>
      </w:r>
      <w:r w:rsidR="0039288E">
        <w:rPr>
          <w:rStyle w:val="FootnoteReference"/>
          <w:szCs w:val="24"/>
        </w:rPr>
        <w:footnoteReference w:id="3"/>
      </w:r>
    </w:p>
    <w:p w14:paraId="503233DA" w14:textId="77777777" w:rsidR="00E32E9A" w:rsidRPr="009D11ED" w:rsidRDefault="00E32E9A" w:rsidP="005B4912">
      <w:pPr>
        <w:spacing w:after="0" w:line="240" w:lineRule="auto"/>
        <w:contextualSpacing/>
        <w:rPr>
          <w:sz w:val="6"/>
          <w:szCs w:val="6"/>
        </w:rPr>
      </w:pPr>
    </w:p>
    <w:p w14:paraId="1FA91D60" w14:textId="7AC306FC" w:rsidR="00487403" w:rsidRDefault="00487403" w:rsidP="005B4912">
      <w:pPr>
        <w:spacing w:after="0" w:line="240" w:lineRule="auto"/>
        <w:contextualSpacing/>
        <w:rPr>
          <w:b/>
          <w:sz w:val="18"/>
          <w:szCs w:val="18"/>
        </w:rPr>
      </w:pPr>
    </w:p>
    <w:p w14:paraId="26EFDAF9" w14:textId="2BAAAE4F" w:rsidR="002E2E5D" w:rsidRDefault="002E2E5D" w:rsidP="005B4912">
      <w:pPr>
        <w:spacing w:after="0" w:line="240" w:lineRule="auto"/>
        <w:contextualSpacing/>
        <w:rPr>
          <w:rFonts w:eastAsia="Calibri" w:cstheme="minorHAnsi"/>
          <w:b/>
          <w:color w:val="CE4C11"/>
          <w:sz w:val="24"/>
          <w:szCs w:val="24"/>
        </w:rPr>
      </w:pPr>
      <w:r w:rsidRPr="009F6D5C">
        <w:rPr>
          <w:rFonts w:eastAsia="Calibri" w:cstheme="minorHAnsi"/>
          <w:b/>
          <w:color w:val="CE4C11"/>
          <w:sz w:val="24"/>
          <w:szCs w:val="24"/>
        </w:rPr>
        <w:t>What group</w:t>
      </w:r>
      <w:r>
        <w:rPr>
          <w:rFonts w:eastAsia="Calibri" w:cstheme="minorHAnsi"/>
          <w:b/>
          <w:color w:val="CE4C11"/>
          <w:sz w:val="24"/>
          <w:szCs w:val="24"/>
        </w:rPr>
        <w:t>s</w:t>
      </w:r>
      <w:r w:rsidRPr="009F6D5C">
        <w:rPr>
          <w:rFonts w:eastAsia="Calibri" w:cstheme="minorHAnsi"/>
          <w:b/>
          <w:color w:val="CE4C11"/>
          <w:sz w:val="24"/>
          <w:szCs w:val="24"/>
        </w:rPr>
        <w:t xml:space="preserve"> should be served using CCEIS funds?</w:t>
      </w:r>
    </w:p>
    <w:p w14:paraId="07011437" w14:textId="45B75D78" w:rsidR="002E2E5D" w:rsidRPr="00560261" w:rsidRDefault="00DE18EC" w:rsidP="00560261">
      <w:pPr>
        <w:spacing w:after="0"/>
        <w:rPr>
          <w:szCs w:val="24"/>
        </w:rPr>
      </w:pPr>
      <w:r w:rsidRPr="00CB3601">
        <w:rPr>
          <w:szCs w:val="24"/>
        </w:rPr>
        <w:t>CCEIS funds may be used primarily, but not exclusively, to support currently eligible students</w:t>
      </w:r>
      <w:r w:rsidRPr="00560261">
        <w:rPr>
          <w:szCs w:val="24"/>
        </w:rPr>
        <w:t>.</w:t>
      </w:r>
      <w:r w:rsidRPr="003D3D2B">
        <w:rPr>
          <w:vertAlign w:val="superscript"/>
        </w:rPr>
        <w:footnoteReference w:id="4"/>
      </w:r>
      <w:r w:rsidRPr="00560261">
        <w:rPr>
          <w:szCs w:val="24"/>
        </w:rPr>
        <w:t xml:space="preserve"> </w:t>
      </w:r>
      <w:r w:rsidR="00CB3601" w:rsidRPr="00560261">
        <w:rPr>
          <w:szCs w:val="24"/>
        </w:rPr>
        <w:t xml:space="preserve">LEAs </w:t>
      </w:r>
      <w:r w:rsidR="00560261" w:rsidRPr="00560261">
        <w:rPr>
          <w:szCs w:val="24"/>
        </w:rPr>
        <w:t>may</w:t>
      </w:r>
      <w:r w:rsidR="00CB3601" w:rsidRPr="00560261">
        <w:rPr>
          <w:szCs w:val="24"/>
        </w:rPr>
        <w:t xml:space="preserve"> serve students that</w:t>
      </w:r>
      <w:r w:rsidR="00560261" w:rsidRPr="00560261">
        <w:rPr>
          <w:szCs w:val="24"/>
        </w:rPr>
        <w:t xml:space="preserve"> are</w:t>
      </w:r>
      <w:r w:rsidR="004C0D17" w:rsidRPr="00560261">
        <w:rPr>
          <w:szCs w:val="24"/>
        </w:rPr>
        <w:t>:</w:t>
      </w:r>
    </w:p>
    <w:p w14:paraId="47CB9C44" w14:textId="070E2003" w:rsidR="002E2E5D" w:rsidRPr="00CD7F05" w:rsidRDefault="002E2E5D" w:rsidP="002E2E5D">
      <w:pPr>
        <w:pStyle w:val="ListParagraph"/>
        <w:numPr>
          <w:ilvl w:val="0"/>
          <w:numId w:val="14"/>
        </w:numPr>
        <w:spacing w:after="0" w:line="240" w:lineRule="auto"/>
        <w:rPr>
          <w:szCs w:val="24"/>
        </w:rPr>
      </w:pPr>
      <w:r w:rsidRPr="00CD7F05">
        <w:rPr>
          <w:szCs w:val="24"/>
        </w:rPr>
        <w:t xml:space="preserve">from age three through grade </w:t>
      </w:r>
      <w:r w:rsidR="009F6D5C" w:rsidRPr="00CD7F05">
        <w:rPr>
          <w:szCs w:val="24"/>
        </w:rPr>
        <w:t>12</w:t>
      </w:r>
    </w:p>
    <w:p w14:paraId="6936C29A" w14:textId="43EED148" w:rsidR="002E2E5D" w:rsidRPr="00CD7F05" w:rsidRDefault="002E2E5D" w:rsidP="002E2E5D">
      <w:pPr>
        <w:pStyle w:val="ListParagraph"/>
        <w:numPr>
          <w:ilvl w:val="0"/>
          <w:numId w:val="14"/>
        </w:numPr>
        <w:rPr>
          <w:szCs w:val="24"/>
        </w:rPr>
      </w:pPr>
      <w:r w:rsidRPr="00CD7F05">
        <w:rPr>
          <w:szCs w:val="24"/>
        </w:rPr>
        <w:t>particularly, but not exclusively, in the group(s) that was significantly over-</w:t>
      </w:r>
      <w:r w:rsidR="009F6D5C" w:rsidRPr="00CD7F05">
        <w:rPr>
          <w:szCs w:val="24"/>
        </w:rPr>
        <w:t>identified</w:t>
      </w:r>
    </w:p>
    <w:p w14:paraId="74D48F58" w14:textId="3BDF87DB" w:rsidR="002E2E5D" w:rsidRPr="00CD7F05" w:rsidRDefault="002E2E5D" w:rsidP="002E2E5D">
      <w:pPr>
        <w:pStyle w:val="ListParagraph"/>
        <w:numPr>
          <w:ilvl w:val="0"/>
          <w:numId w:val="14"/>
        </w:numPr>
        <w:spacing w:after="0"/>
        <w:rPr>
          <w:szCs w:val="24"/>
        </w:rPr>
      </w:pPr>
      <w:r w:rsidRPr="00CD7F05">
        <w:rPr>
          <w:szCs w:val="24"/>
        </w:rPr>
        <w:t>are not currently identified as needing special education or related services but who need additional academic and behavioral supports to succeed in a general education environment</w:t>
      </w:r>
      <w:r>
        <w:rPr>
          <w:szCs w:val="24"/>
        </w:rPr>
        <w:t>,</w:t>
      </w:r>
      <w:r w:rsidRPr="00CD7F05">
        <w:rPr>
          <w:szCs w:val="24"/>
        </w:rPr>
        <w:t xml:space="preserve"> </w:t>
      </w:r>
      <w:r w:rsidRPr="00CD7F05">
        <w:rPr>
          <w:i/>
          <w:iCs/>
          <w:szCs w:val="24"/>
        </w:rPr>
        <w:t>and</w:t>
      </w:r>
      <w:r w:rsidRPr="00CD7F05">
        <w:rPr>
          <w:szCs w:val="24"/>
        </w:rPr>
        <w:t xml:space="preserve"> children currently identified as needing special education or related services.</w:t>
      </w:r>
      <w:r>
        <w:rPr>
          <w:rStyle w:val="FootnoteReference"/>
          <w:szCs w:val="24"/>
        </w:rPr>
        <w:footnoteReference w:id="5"/>
      </w:r>
    </w:p>
    <w:p w14:paraId="014EE6FC" w14:textId="77777777" w:rsidR="002E2E5D" w:rsidRPr="009D11ED" w:rsidRDefault="002E2E5D" w:rsidP="005B4912">
      <w:pPr>
        <w:spacing w:after="0" w:line="240" w:lineRule="auto"/>
        <w:contextualSpacing/>
        <w:rPr>
          <w:b/>
          <w:sz w:val="18"/>
          <w:szCs w:val="18"/>
        </w:rPr>
      </w:pPr>
    </w:p>
    <w:p w14:paraId="1F0E8792" w14:textId="3DC0D849" w:rsidR="00351D39" w:rsidRPr="00191374" w:rsidRDefault="00F64D02" w:rsidP="005B4912">
      <w:pPr>
        <w:pStyle w:val="Heading2"/>
        <w:spacing w:after="0" w:line="240" w:lineRule="auto"/>
        <w:contextualSpacing/>
        <w:rPr>
          <w:rFonts w:asciiTheme="minorHAnsi" w:hAnsiTheme="minorHAnsi" w:cstheme="minorHAnsi"/>
          <w:color w:val="CE4C11"/>
          <w:sz w:val="24"/>
          <w:szCs w:val="24"/>
        </w:rPr>
      </w:pPr>
      <w:r w:rsidRPr="00191374">
        <w:rPr>
          <w:rFonts w:asciiTheme="minorHAnsi" w:hAnsiTheme="minorHAnsi" w:cstheme="minorHAnsi"/>
          <w:color w:val="CE4C11"/>
          <w:sz w:val="24"/>
          <w:szCs w:val="24"/>
        </w:rPr>
        <w:t xml:space="preserve">How </w:t>
      </w:r>
      <w:r w:rsidR="002E2E5D">
        <w:rPr>
          <w:rFonts w:asciiTheme="minorHAnsi" w:hAnsiTheme="minorHAnsi" w:cstheme="minorHAnsi"/>
          <w:color w:val="CE4C11"/>
          <w:sz w:val="24"/>
          <w:szCs w:val="24"/>
        </w:rPr>
        <w:t>must</w:t>
      </w:r>
      <w:r w:rsidR="002E2E5D" w:rsidRPr="00191374">
        <w:rPr>
          <w:rFonts w:asciiTheme="minorHAnsi" w:hAnsiTheme="minorHAnsi" w:cstheme="minorHAnsi"/>
          <w:color w:val="CE4C11"/>
          <w:sz w:val="24"/>
          <w:szCs w:val="24"/>
        </w:rPr>
        <w:t xml:space="preserve"> </w:t>
      </w:r>
      <w:r w:rsidR="00CC6FB8" w:rsidRPr="00191374">
        <w:rPr>
          <w:rFonts w:asciiTheme="minorHAnsi" w:hAnsiTheme="minorHAnsi" w:cstheme="minorHAnsi"/>
          <w:color w:val="CE4C11"/>
          <w:sz w:val="24"/>
          <w:szCs w:val="24"/>
        </w:rPr>
        <w:t>an LEA use funds reserved for</w:t>
      </w:r>
      <w:r w:rsidR="008446AB" w:rsidRPr="00191374">
        <w:rPr>
          <w:rFonts w:asciiTheme="minorHAnsi" w:hAnsiTheme="minorHAnsi" w:cstheme="minorHAnsi"/>
          <w:color w:val="CE4C11"/>
          <w:sz w:val="24"/>
          <w:szCs w:val="24"/>
        </w:rPr>
        <w:t xml:space="preserve"> </w:t>
      </w:r>
      <w:r w:rsidRPr="00191374">
        <w:rPr>
          <w:rFonts w:asciiTheme="minorHAnsi" w:hAnsiTheme="minorHAnsi" w:cstheme="minorHAnsi"/>
          <w:color w:val="CE4C11"/>
          <w:sz w:val="24"/>
          <w:szCs w:val="24"/>
        </w:rPr>
        <w:t>CCEIS</w:t>
      </w:r>
      <w:r w:rsidR="008446AB" w:rsidRPr="00191374">
        <w:rPr>
          <w:rFonts w:asciiTheme="minorHAnsi" w:hAnsiTheme="minorHAnsi" w:cstheme="minorHAnsi"/>
          <w:color w:val="CE4C11"/>
          <w:sz w:val="24"/>
          <w:szCs w:val="24"/>
        </w:rPr>
        <w:t>?</w:t>
      </w:r>
    </w:p>
    <w:p w14:paraId="4A3EBC75" w14:textId="6F2D50C9" w:rsidR="009F6D5C" w:rsidRDefault="00CC6FB8" w:rsidP="005B4912">
      <w:pPr>
        <w:spacing w:after="0" w:line="240" w:lineRule="auto"/>
        <w:contextualSpacing/>
        <w:rPr>
          <w:szCs w:val="24"/>
        </w:rPr>
      </w:pPr>
      <w:r>
        <w:rPr>
          <w:szCs w:val="24"/>
        </w:rPr>
        <w:t>An LEA must use</w:t>
      </w:r>
      <w:r w:rsidR="002E2E5D">
        <w:rPr>
          <w:szCs w:val="24"/>
        </w:rPr>
        <w:t xml:space="preserve"> 15% of their total IDEA Part B funds (Fund codes 240 and 262)</w:t>
      </w:r>
      <w:r>
        <w:rPr>
          <w:szCs w:val="24"/>
        </w:rPr>
        <w:t xml:space="preserve"> </w:t>
      </w:r>
      <w:r w:rsidR="00CB3601">
        <w:rPr>
          <w:szCs w:val="24"/>
        </w:rPr>
        <w:t xml:space="preserve">to identify and address the factors that contributed to the identified significant disproportionality. This includes examination of an amendment to </w:t>
      </w:r>
      <w:r w:rsidR="00CB3601" w:rsidRPr="00CD7F05">
        <w:rPr>
          <w:szCs w:val="24"/>
        </w:rPr>
        <w:t>polic</w:t>
      </w:r>
      <w:r w:rsidR="00CB3601">
        <w:rPr>
          <w:szCs w:val="24"/>
        </w:rPr>
        <w:t>ies</w:t>
      </w:r>
      <w:r w:rsidR="00CB3601" w:rsidRPr="00CD7F05">
        <w:rPr>
          <w:szCs w:val="24"/>
        </w:rPr>
        <w:t>, practice</w:t>
      </w:r>
      <w:r w:rsidR="00CB3601">
        <w:rPr>
          <w:szCs w:val="24"/>
        </w:rPr>
        <w:t>s</w:t>
      </w:r>
      <w:r w:rsidR="00CB3601" w:rsidRPr="00CD7F05">
        <w:rPr>
          <w:szCs w:val="24"/>
        </w:rPr>
        <w:t>, or procedures (PPP</w:t>
      </w:r>
      <w:r w:rsidR="00CB3601">
        <w:rPr>
          <w:szCs w:val="24"/>
        </w:rPr>
        <w:t>s</w:t>
      </w:r>
      <w:r w:rsidR="00CB3601" w:rsidRPr="00CD7F05">
        <w:rPr>
          <w:szCs w:val="24"/>
        </w:rPr>
        <w:t xml:space="preserve">) </w:t>
      </w:r>
      <w:r w:rsidR="00CB3601">
        <w:rPr>
          <w:szCs w:val="24"/>
        </w:rPr>
        <w:t xml:space="preserve">the LEA </w:t>
      </w:r>
      <w:r w:rsidR="00CB3601" w:rsidRPr="00CD7F05">
        <w:rPr>
          <w:szCs w:val="24"/>
        </w:rPr>
        <w:t>identifie</w:t>
      </w:r>
      <w:r w:rsidR="00CB3601">
        <w:rPr>
          <w:szCs w:val="24"/>
        </w:rPr>
        <w:t>s</w:t>
      </w:r>
      <w:r w:rsidR="00CB3601" w:rsidRPr="00CD7F05">
        <w:rPr>
          <w:szCs w:val="24"/>
        </w:rPr>
        <w:t xml:space="preserve"> as contributing to the significant disproportionality, including PPP</w:t>
      </w:r>
      <w:r w:rsidR="00CB3601">
        <w:rPr>
          <w:szCs w:val="24"/>
        </w:rPr>
        <w:t>s</w:t>
      </w:r>
      <w:r w:rsidR="00CB3601" w:rsidRPr="00CD7F05">
        <w:rPr>
          <w:szCs w:val="24"/>
        </w:rPr>
        <w:t xml:space="preserve"> that result in a failure to identify, or inappropriately identify, </w:t>
      </w:r>
      <w:r w:rsidR="00CB3601">
        <w:rPr>
          <w:szCs w:val="24"/>
        </w:rPr>
        <w:t xml:space="preserve">students from </w:t>
      </w:r>
      <w:r w:rsidR="00CB3601" w:rsidRPr="00CD7F05">
        <w:rPr>
          <w:szCs w:val="24"/>
        </w:rPr>
        <w:t>a racial or ethnic group(s).</w:t>
      </w:r>
      <w:r w:rsidR="00CB3601">
        <w:rPr>
          <w:rStyle w:val="FootnoteReference"/>
          <w:szCs w:val="24"/>
        </w:rPr>
        <w:footnoteReference w:id="6"/>
      </w:r>
      <w:r>
        <w:rPr>
          <w:szCs w:val="24"/>
        </w:rPr>
        <w:t xml:space="preserve"> </w:t>
      </w:r>
      <w:r w:rsidR="009F6D5C">
        <w:rPr>
          <w:szCs w:val="24"/>
        </w:rPr>
        <w:t>Allowable activities include:</w:t>
      </w:r>
    </w:p>
    <w:p w14:paraId="60F5EBDF" w14:textId="77777777" w:rsidR="009F6D5C" w:rsidRDefault="009F6D5C" w:rsidP="009F6D5C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Professional development </w:t>
      </w:r>
    </w:p>
    <w:p w14:paraId="34086900" w14:textId="02BA0886" w:rsidR="009F6D5C" w:rsidRDefault="009F6D5C" w:rsidP="009F6D5C">
      <w:pPr>
        <w:pStyle w:val="ListParagraph"/>
        <w:numPr>
          <w:ilvl w:val="0"/>
          <w:numId w:val="15"/>
        </w:numPr>
        <w:spacing w:after="0" w:line="240" w:lineRule="auto"/>
      </w:pPr>
      <w:r>
        <w:t>Educational supports and</w:t>
      </w:r>
    </w:p>
    <w:p w14:paraId="5CA286D8" w14:textId="77777777" w:rsidR="009F6D5C" w:rsidRDefault="009F6D5C" w:rsidP="009F6D5C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Behavioral evaluations, services, and supports. </w:t>
      </w:r>
    </w:p>
    <w:p w14:paraId="730721FD" w14:textId="36449770" w:rsidR="008446AB" w:rsidRDefault="008446AB" w:rsidP="005B4912">
      <w:pPr>
        <w:spacing w:after="0" w:line="240" w:lineRule="auto"/>
        <w:contextualSpacing/>
        <w:rPr>
          <w:szCs w:val="24"/>
        </w:rPr>
      </w:pPr>
    </w:p>
    <w:p w14:paraId="00728121" w14:textId="43D06F82" w:rsidR="00427A36" w:rsidRDefault="00427A36" w:rsidP="005B4912">
      <w:pPr>
        <w:spacing w:after="0" w:line="240" w:lineRule="auto"/>
        <w:contextualSpacing/>
        <w:rPr>
          <w:szCs w:val="24"/>
        </w:rPr>
      </w:pPr>
    </w:p>
    <w:p w14:paraId="2E52A1A0" w14:textId="330F3C6F" w:rsidR="00427A36" w:rsidRDefault="00427A36" w:rsidP="005B4912">
      <w:pPr>
        <w:spacing w:after="0" w:line="240" w:lineRule="auto"/>
        <w:contextualSpacing/>
        <w:rPr>
          <w:szCs w:val="24"/>
        </w:rPr>
      </w:pPr>
    </w:p>
    <w:p w14:paraId="6A8E48D6" w14:textId="77777777" w:rsidR="00427A36" w:rsidRPr="00CD7F05" w:rsidRDefault="00427A36" w:rsidP="005B4912">
      <w:pPr>
        <w:spacing w:after="0" w:line="240" w:lineRule="auto"/>
        <w:contextualSpacing/>
        <w:rPr>
          <w:szCs w:val="24"/>
        </w:rPr>
      </w:pPr>
    </w:p>
    <w:p w14:paraId="062F6516" w14:textId="77777777" w:rsidR="005B4912" w:rsidRPr="009D11ED" w:rsidRDefault="005B4912" w:rsidP="005B4912">
      <w:pPr>
        <w:spacing w:after="0" w:line="240" w:lineRule="auto"/>
        <w:contextualSpacing/>
        <w:rPr>
          <w:b/>
          <w:sz w:val="6"/>
          <w:szCs w:val="6"/>
        </w:rPr>
      </w:pPr>
    </w:p>
    <w:p w14:paraId="6084F7A4" w14:textId="77777777" w:rsidR="005B4912" w:rsidRPr="009D11ED" w:rsidRDefault="005B4912" w:rsidP="00CD7F05">
      <w:pPr>
        <w:spacing w:after="0"/>
        <w:rPr>
          <w:sz w:val="18"/>
          <w:szCs w:val="18"/>
        </w:rPr>
      </w:pPr>
    </w:p>
    <w:p w14:paraId="5EFBC24E" w14:textId="202882A1" w:rsidR="005831CF" w:rsidRPr="00191374" w:rsidRDefault="00092CFB" w:rsidP="00092CFB">
      <w:pPr>
        <w:pStyle w:val="Heading2"/>
        <w:spacing w:after="0" w:line="240" w:lineRule="auto"/>
        <w:contextualSpacing/>
        <w:rPr>
          <w:rFonts w:asciiTheme="minorHAnsi" w:hAnsiTheme="minorHAnsi" w:cstheme="minorHAnsi"/>
          <w:color w:val="CE4C11"/>
          <w:sz w:val="24"/>
          <w:szCs w:val="24"/>
        </w:rPr>
      </w:pPr>
      <w:r w:rsidRPr="00191374">
        <w:rPr>
          <w:rFonts w:asciiTheme="minorHAnsi" w:hAnsiTheme="minorHAnsi" w:cstheme="minorHAnsi"/>
          <w:color w:val="CE4C11"/>
          <w:sz w:val="24"/>
          <w:szCs w:val="24"/>
        </w:rPr>
        <w:lastRenderedPageBreak/>
        <w:t xml:space="preserve">When are identified districts required to use CCEIS? </w:t>
      </w:r>
      <w:r w:rsidR="008812B7" w:rsidRPr="00191374">
        <w:rPr>
          <w:rFonts w:asciiTheme="minorHAnsi" w:hAnsiTheme="minorHAnsi" w:cstheme="minorHAnsi"/>
          <w:color w:val="CE4C11"/>
          <w:sz w:val="24"/>
          <w:szCs w:val="24"/>
        </w:rPr>
        <w:t xml:space="preserve"> </w:t>
      </w:r>
    </w:p>
    <w:p w14:paraId="5F578865" w14:textId="14E56A91" w:rsidR="007266EA" w:rsidRDefault="005739B2" w:rsidP="00A97A29">
      <w:pPr>
        <w:spacing w:after="0" w:line="240" w:lineRule="auto"/>
        <w:contextualSpacing/>
        <w:rPr>
          <w:szCs w:val="24"/>
        </w:rPr>
      </w:pPr>
      <w:r>
        <w:rPr>
          <w:szCs w:val="24"/>
        </w:rPr>
        <w:t>A</w:t>
      </w:r>
      <w:r w:rsidR="00092CFB" w:rsidRPr="00CD7F05">
        <w:rPr>
          <w:szCs w:val="24"/>
        </w:rPr>
        <w:t xml:space="preserve"> district </w:t>
      </w:r>
      <w:r>
        <w:rPr>
          <w:szCs w:val="24"/>
        </w:rPr>
        <w:t>is required to reserve and spend I</w:t>
      </w:r>
      <w:r w:rsidR="00092CFB" w:rsidRPr="00CD7F05">
        <w:rPr>
          <w:szCs w:val="24"/>
        </w:rPr>
        <w:t xml:space="preserve">DEA Part B funds for </w:t>
      </w:r>
      <w:r w:rsidR="001D260E">
        <w:rPr>
          <w:szCs w:val="24"/>
        </w:rPr>
        <w:t>CCEIS</w:t>
      </w:r>
      <w:r>
        <w:rPr>
          <w:szCs w:val="24"/>
        </w:rPr>
        <w:t xml:space="preserve"> in either the year in which the significant disproportionality is identified or </w:t>
      </w:r>
      <w:r w:rsidR="00E01047">
        <w:rPr>
          <w:szCs w:val="24"/>
        </w:rPr>
        <w:t xml:space="preserve">the </w:t>
      </w:r>
      <w:r>
        <w:rPr>
          <w:szCs w:val="24"/>
        </w:rPr>
        <w:t>year following identification</w:t>
      </w:r>
      <w:r w:rsidRPr="00213514">
        <w:rPr>
          <w:szCs w:val="24"/>
        </w:rPr>
        <w:t xml:space="preserve">. </w:t>
      </w:r>
      <w:r w:rsidR="00E01047" w:rsidRPr="00213514">
        <w:rPr>
          <w:szCs w:val="24"/>
        </w:rPr>
        <w:t>Per Massachusetts policy, LEAs are required to</w:t>
      </w:r>
      <w:r w:rsidR="009F6D5C" w:rsidRPr="00213514">
        <w:rPr>
          <w:szCs w:val="24"/>
        </w:rPr>
        <w:t xml:space="preserve"> spend funds</w:t>
      </w:r>
      <w:r w:rsidR="00E01047" w:rsidRPr="00213514">
        <w:rPr>
          <w:szCs w:val="24"/>
        </w:rPr>
        <w:t xml:space="preserve"> in the year following the identification of significant disproportionality</w:t>
      </w:r>
      <w:r w:rsidR="00AC57F1">
        <w:rPr>
          <w:szCs w:val="24"/>
        </w:rPr>
        <w:t xml:space="preserve"> and funds </w:t>
      </w:r>
      <w:r w:rsidR="00213514">
        <w:rPr>
          <w:szCs w:val="24"/>
        </w:rPr>
        <w:t xml:space="preserve">must be spent </w:t>
      </w:r>
      <w:r w:rsidR="00F74973">
        <w:rPr>
          <w:szCs w:val="24"/>
        </w:rPr>
        <w:t xml:space="preserve">in </w:t>
      </w:r>
      <w:r w:rsidR="00213514">
        <w:rPr>
          <w:szCs w:val="24"/>
        </w:rPr>
        <w:t xml:space="preserve">that year and </w:t>
      </w:r>
      <w:r w:rsidR="00AC57F1">
        <w:rPr>
          <w:szCs w:val="24"/>
        </w:rPr>
        <w:t>cannot be carried over into the following year</w:t>
      </w:r>
      <w:r w:rsidR="00213514">
        <w:rPr>
          <w:szCs w:val="24"/>
        </w:rPr>
        <w:t xml:space="preserve">. </w:t>
      </w:r>
    </w:p>
    <w:p w14:paraId="711AE0B3" w14:textId="77777777" w:rsidR="009D11ED" w:rsidRPr="009D11ED" w:rsidRDefault="009D11ED" w:rsidP="00A97A29">
      <w:pPr>
        <w:spacing w:after="0" w:line="240" w:lineRule="auto"/>
        <w:contextualSpacing/>
        <w:rPr>
          <w:sz w:val="6"/>
          <w:szCs w:val="8"/>
        </w:rPr>
      </w:pPr>
    </w:p>
    <w:p w14:paraId="548DC1E8" w14:textId="701FC731" w:rsidR="00A97A29" w:rsidRDefault="007266EA" w:rsidP="00A97A29">
      <w:p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For example, an LEA notified in FY 20 that it had significant disproportionality in one or more categories (see </w:t>
      </w:r>
      <w:r w:rsidR="00A15C27" w:rsidRPr="00A15C27">
        <w:rPr>
          <w:i/>
          <w:szCs w:val="24"/>
        </w:rPr>
        <w:t>What is Significant Dispropo</w:t>
      </w:r>
      <w:r w:rsidR="00A15C27">
        <w:rPr>
          <w:i/>
          <w:szCs w:val="24"/>
        </w:rPr>
        <w:t>rtionality Quick Reference Guide</w:t>
      </w:r>
      <w:r>
        <w:rPr>
          <w:szCs w:val="24"/>
        </w:rPr>
        <w:t>) must use 15 percent of its combined IDEA Part B entitlement grants (Fund Codes 240 + 262) in FY 21 to provide CCEIS to address the identified disproportionality</w:t>
      </w:r>
      <w:r w:rsidR="00B02F36">
        <w:rPr>
          <w:szCs w:val="24"/>
        </w:rPr>
        <w:t>.</w:t>
      </w:r>
      <w:r w:rsidR="003C70A9">
        <w:rPr>
          <w:rStyle w:val="FootnoteReference"/>
          <w:szCs w:val="24"/>
        </w:rPr>
        <w:footnoteReference w:id="7"/>
      </w:r>
      <w:r>
        <w:rPr>
          <w:szCs w:val="24"/>
        </w:rPr>
        <w:t xml:space="preserve"> </w:t>
      </w:r>
    </w:p>
    <w:p w14:paraId="66019CAA" w14:textId="77777777" w:rsidR="00AC5266" w:rsidRDefault="00AC5266" w:rsidP="00A97A29">
      <w:pPr>
        <w:spacing w:after="0" w:line="240" w:lineRule="auto"/>
        <w:rPr>
          <w:rFonts w:cstheme="minorHAnsi"/>
        </w:rPr>
      </w:pPr>
    </w:p>
    <w:p w14:paraId="5691FC7A" w14:textId="77777777" w:rsidR="008818A5" w:rsidRPr="00191374" w:rsidRDefault="008818A5" w:rsidP="008818A5">
      <w:pPr>
        <w:pStyle w:val="Heading2"/>
        <w:spacing w:after="0" w:line="240" w:lineRule="auto"/>
        <w:contextualSpacing/>
        <w:rPr>
          <w:rFonts w:asciiTheme="minorHAnsi" w:hAnsiTheme="minorHAnsi" w:cstheme="minorHAnsi"/>
          <w:color w:val="CE4C11"/>
          <w:sz w:val="24"/>
          <w:szCs w:val="24"/>
        </w:rPr>
      </w:pPr>
      <w:r w:rsidRPr="00191374">
        <w:rPr>
          <w:rFonts w:asciiTheme="minorHAnsi" w:hAnsiTheme="minorHAnsi" w:cstheme="minorHAnsi"/>
          <w:color w:val="CE4C11"/>
          <w:sz w:val="24"/>
          <w:szCs w:val="24"/>
        </w:rPr>
        <w:t>DESE Significant Disproportionality Resources</w:t>
      </w:r>
    </w:p>
    <w:p w14:paraId="57B40662" w14:textId="77777777" w:rsidR="008818A5" w:rsidRPr="006B43CF" w:rsidRDefault="00000000" w:rsidP="008818A5">
      <w:pPr>
        <w:pStyle w:val="ListParagraph"/>
        <w:numPr>
          <w:ilvl w:val="1"/>
          <w:numId w:val="12"/>
        </w:numPr>
        <w:spacing w:after="0" w:line="240" w:lineRule="auto"/>
      </w:pPr>
      <w:hyperlink r:id="rId14" w:history="1">
        <w:r w:rsidR="008818A5" w:rsidRPr="006B43CF">
          <w:rPr>
            <w:rStyle w:val="Hyperlink"/>
          </w:rPr>
          <w:t>http://www.doe.mass.edu/sped/idea2004/sig-dispro/resources.html</w:t>
        </w:r>
      </w:hyperlink>
      <w:r w:rsidR="008818A5" w:rsidRPr="006B43CF">
        <w:t xml:space="preserve"> </w:t>
      </w:r>
    </w:p>
    <w:p w14:paraId="3065B199" w14:textId="77777777" w:rsidR="008818A5" w:rsidRPr="006B43CF" w:rsidRDefault="008818A5" w:rsidP="008818A5">
      <w:pPr>
        <w:spacing w:after="0" w:line="240" w:lineRule="auto"/>
        <w:ind w:left="1080"/>
      </w:pPr>
    </w:p>
    <w:p w14:paraId="60C70684" w14:textId="297FF4CA" w:rsidR="00092CFB" w:rsidRDefault="008818A5" w:rsidP="00E855A2">
      <w:pPr>
        <w:spacing w:after="0" w:line="240" w:lineRule="auto"/>
      </w:pPr>
      <w:r w:rsidRPr="006B43CF">
        <w:t>For questions related to</w:t>
      </w:r>
      <w:r w:rsidR="00F74973">
        <w:t>:</w:t>
      </w:r>
      <w:r w:rsidRPr="006B43CF">
        <w:t xml:space="preserve"> Significant Disproportionality, please email </w:t>
      </w:r>
      <w:hyperlink r:id="rId15" w:history="1">
        <w:r w:rsidRPr="006B43CF">
          <w:rPr>
            <w:rStyle w:val="Hyperlink"/>
          </w:rPr>
          <w:t>specialeducation@doe.mass.edu</w:t>
        </w:r>
      </w:hyperlink>
      <w:r w:rsidRPr="006B43CF">
        <w:t>.</w:t>
      </w:r>
    </w:p>
    <w:p w14:paraId="722AE43D" w14:textId="2CDEBE6E" w:rsidR="00F74973" w:rsidRPr="00090D2F" w:rsidRDefault="00F74973" w:rsidP="00E855A2">
      <w:pPr>
        <w:spacing w:after="0" w:line="240" w:lineRule="auto"/>
      </w:pPr>
      <w:r>
        <w:tab/>
      </w:r>
      <w:r>
        <w:tab/>
      </w:r>
      <w:r>
        <w:tab/>
        <w:t xml:space="preserve">  Fiscal Requirements, please email </w:t>
      </w:r>
      <w:hyperlink r:id="rId16" w:history="1">
        <w:r w:rsidRPr="00CA6C71">
          <w:rPr>
            <w:rStyle w:val="Hyperlink"/>
          </w:rPr>
          <w:t>IDEAFiscal@mass.gov</w:t>
        </w:r>
      </w:hyperlink>
      <w:r>
        <w:t xml:space="preserve"> </w:t>
      </w:r>
    </w:p>
    <w:sectPr w:rsidR="00F74973" w:rsidRPr="00090D2F" w:rsidSect="00800678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35AC" w14:textId="77777777" w:rsidR="00AA5724" w:rsidRDefault="00AA5724" w:rsidP="0033575D">
      <w:pPr>
        <w:spacing w:after="0" w:line="240" w:lineRule="auto"/>
      </w:pPr>
      <w:r>
        <w:separator/>
      </w:r>
    </w:p>
  </w:endnote>
  <w:endnote w:type="continuationSeparator" w:id="0">
    <w:p w14:paraId="1F216BBE" w14:textId="77777777" w:rsidR="00AA5724" w:rsidRDefault="00AA5724" w:rsidP="0033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E751" w14:textId="1030A2EE" w:rsidR="0033575D" w:rsidRPr="000D4F47" w:rsidRDefault="000D4F47" w:rsidP="008427F5">
    <w:pPr>
      <w:rPr>
        <w:sz w:val="20"/>
        <w:szCs w:val="20"/>
      </w:rPr>
    </w:pPr>
    <w:r w:rsidRPr="000D4F47">
      <w:rPr>
        <w:sz w:val="4"/>
        <w:szCs w:val="4"/>
      </w:rPr>
      <w:br/>
    </w:r>
    <w:r w:rsidR="004649F3">
      <w:rPr>
        <w:sz w:val="20"/>
        <w:szCs w:val="20"/>
      </w:rPr>
      <w:t>U</w:t>
    </w:r>
    <w:r w:rsidR="0007734F">
      <w:rPr>
        <w:sz w:val="20"/>
        <w:szCs w:val="20"/>
      </w:rPr>
      <w:t>pdated</w:t>
    </w:r>
    <w:r w:rsidR="0033575D" w:rsidRPr="000D4F47">
      <w:rPr>
        <w:sz w:val="20"/>
        <w:szCs w:val="20"/>
      </w:rPr>
      <w:t xml:space="preserve"> </w:t>
    </w:r>
    <w:r w:rsidR="00E855A2" w:rsidRPr="000D4F47">
      <w:rPr>
        <w:sz w:val="20"/>
        <w:szCs w:val="20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FE7C" w14:textId="77777777" w:rsidR="00AA5724" w:rsidRDefault="00AA5724" w:rsidP="0033575D">
      <w:pPr>
        <w:spacing w:after="0" w:line="240" w:lineRule="auto"/>
      </w:pPr>
      <w:r>
        <w:separator/>
      </w:r>
    </w:p>
  </w:footnote>
  <w:footnote w:type="continuationSeparator" w:id="0">
    <w:p w14:paraId="36A5628B" w14:textId="77777777" w:rsidR="00AA5724" w:rsidRDefault="00AA5724" w:rsidP="0033575D">
      <w:pPr>
        <w:spacing w:after="0" w:line="240" w:lineRule="auto"/>
      </w:pPr>
      <w:r>
        <w:continuationSeparator/>
      </w:r>
    </w:p>
  </w:footnote>
  <w:footnote w:type="continuationNotice" w:id="1">
    <w:p w14:paraId="1532D5DC" w14:textId="77777777" w:rsidR="00AA5724" w:rsidRDefault="00AA5724">
      <w:pPr>
        <w:spacing w:after="0" w:line="240" w:lineRule="auto"/>
      </w:pPr>
    </w:p>
  </w:footnote>
  <w:footnote w:id="2">
    <w:p w14:paraId="13AF578E" w14:textId="785E1621" w:rsidR="002225C7" w:rsidRDefault="002225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B4815">
          <w:rPr>
            <w:rStyle w:val="Hyperlink"/>
          </w:rPr>
          <w:t>34 C</w:t>
        </w:r>
        <w:r>
          <w:rPr>
            <w:rStyle w:val="Hyperlink"/>
          </w:rPr>
          <w:t>.</w:t>
        </w:r>
        <w:r w:rsidRPr="006B4815">
          <w:rPr>
            <w:rStyle w:val="Hyperlink"/>
          </w:rPr>
          <w:t>F</w:t>
        </w:r>
        <w:r>
          <w:rPr>
            <w:rStyle w:val="Hyperlink"/>
          </w:rPr>
          <w:t>.</w:t>
        </w:r>
        <w:r w:rsidRPr="006B4815">
          <w:rPr>
            <w:rStyle w:val="Hyperlink"/>
          </w:rPr>
          <w:t>R</w:t>
        </w:r>
        <w:r>
          <w:rPr>
            <w:rStyle w:val="Hyperlink"/>
          </w:rPr>
          <w:t>.</w:t>
        </w:r>
        <w:r w:rsidRPr="006B4815">
          <w:rPr>
            <w:rStyle w:val="Hyperlink"/>
          </w:rPr>
          <w:t xml:space="preserve"> §300.646(d)</w:t>
        </w:r>
      </w:hyperlink>
    </w:p>
  </w:footnote>
  <w:footnote w:id="3">
    <w:p w14:paraId="3DCA6D77" w14:textId="32BB0E61" w:rsidR="0039288E" w:rsidRDefault="003928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9288E">
          <w:rPr>
            <w:rStyle w:val="Hyperlink"/>
          </w:rPr>
          <w:t>34 C.F.R. §300.646(d)(1)(ii)</w:t>
        </w:r>
      </w:hyperlink>
    </w:p>
  </w:footnote>
  <w:footnote w:id="4">
    <w:p w14:paraId="36AFB3BF" w14:textId="77777777" w:rsidR="00DE18EC" w:rsidRDefault="00DE18EC" w:rsidP="00DE18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34 C.F.R. §300.646(d)(3)</w:t>
        </w:r>
      </w:hyperlink>
    </w:p>
  </w:footnote>
  <w:footnote w:id="5">
    <w:p w14:paraId="537E7554" w14:textId="77777777" w:rsidR="002E2E5D" w:rsidRDefault="002E2E5D" w:rsidP="002E2E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34 C.F.R. §300.646(d)(2)</w:t>
        </w:r>
      </w:hyperlink>
    </w:p>
  </w:footnote>
  <w:footnote w:id="6">
    <w:p w14:paraId="17034FE2" w14:textId="77777777" w:rsidR="00CB3601" w:rsidRDefault="00CB3601" w:rsidP="00CB36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34 C.F.R. §300.646(d)(1)(iii)</w:t>
        </w:r>
      </w:hyperlink>
    </w:p>
  </w:footnote>
  <w:footnote w:id="7">
    <w:p w14:paraId="370FC333" w14:textId="491C73D2" w:rsidR="003C70A9" w:rsidRDefault="003C70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6B4815">
          <w:rPr>
            <w:rStyle w:val="Hyperlink"/>
          </w:rPr>
          <w:t>34 C</w:t>
        </w:r>
        <w:r>
          <w:rPr>
            <w:rStyle w:val="Hyperlink"/>
          </w:rPr>
          <w:t>.</w:t>
        </w:r>
        <w:r w:rsidRPr="006B4815">
          <w:rPr>
            <w:rStyle w:val="Hyperlink"/>
          </w:rPr>
          <w:t>F</w:t>
        </w:r>
        <w:r>
          <w:rPr>
            <w:rStyle w:val="Hyperlink"/>
          </w:rPr>
          <w:t>.</w:t>
        </w:r>
        <w:r w:rsidRPr="006B4815">
          <w:rPr>
            <w:rStyle w:val="Hyperlink"/>
          </w:rPr>
          <w:t>R</w:t>
        </w:r>
        <w:r>
          <w:rPr>
            <w:rStyle w:val="Hyperlink"/>
          </w:rPr>
          <w:t>.</w:t>
        </w:r>
        <w:r w:rsidRPr="006B4815">
          <w:rPr>
            <w:rStyle w:val="Hyperlink"/>
          </w:rPr>
          <w:t xml:space="preserve"> §300.646(d)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45A"/>
    <w:multiLevelType w:val="hybridMultilevel"/>
    <w:tmpl w:val="B29C94D8"/>
    <w:lvl w:ilvl="0" w:tplc="77AA2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8A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CA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AD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E0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07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2D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A2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4B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D5B5F"/>
    <w:multiLevelType w:val="hybridMultilevel"/>
    <w:tmpl w:val="4B48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6511"/>
    <w:multiLevelType w:val="hybridMultilevel"/>
    <w:tmpl w:val="121A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501F"/>
    <w:multiLevelType w:val="hybridMultilevel"/>
    <w:tmpl w:val="DEECA60E"/>
    <w:lvl w:ilvl="0" w:tplc="174C1B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4A1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922D36">
      <w:start w:val="2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249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D2023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5469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A904A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48EA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BCA7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4B0A749F"/>
    <w:multiLevelType w:val="hybridMultilevel"/>
    <w:tmpl w:val="49AA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11127"/>
    <w:multiLevelType w:val="hybridMultilevel"/>
    <w:tmpl w:val="94A2A5BA"/>
    <w:lvl w:ilvl="0" w:tplc="9A58AD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E618D"/>
    <w:multiLevelType w:val="hybridMultilevel"/>
    <w:tmpl w:val="6586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C0EC2"/>
    <w:multiLevelType w:val="hybridMultilevel"/>
    <w:tmpl w:val="5B82F710"/>
    <w:lvl w:ilvl="0" w:tplc="9A58AD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73A70"/>
    <w:multiLevelType w:val="hybridMultilevel"/>
    <w:tmpl w:val="2E46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A1816"/>
    <w:multiLevelType w:val="hybridMultilevel"/>
    <w:tmpl w:val="5B82F710"/>
    <w:lvl w:ilvl="0" w:tplc="9A58AD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4D37"/>
    <w:multiLevelType w:val="hybridMultilevel"/>
    <w:tmpl w:val="EFD8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652DC"/>
    <w:multiLevelType w:val="hybridMultilevel"/>
    <w:tmpl w:val="EC04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063BB"/>
    <w:multiLevelType w:val="hybridMultilevel"/>
    <w:tmpl w:val="A79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44E0B"/>
    <w:multiLevelType w:val="hybridMultilevel"/>
    <w:tmpl w:val="A5CAE1A0"/>
    <w:lvl w:ilvl="0" w:tplc="6090D6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40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CE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6A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48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84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0A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89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4D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9A2ACF"/>
    <w:multiLevelType w:val="hybridMultilevel"/>
    <w:tmpl w:val="32182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C4600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EA4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2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E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8F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CC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A8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0674000">
    <w:abstractNumId w:val="8"/>
  </w:num>
  <w:num w:numId="2" w16cid:durableId="1545294732">
    <w:abstractNumId w:val="0"/>
  </w:num>
  <w:num w:numId="3" w16cid:durableId="695279230">
    <w:abstractNumId w:val="13"/>
  </w:num>
  <w:num w:numId="4" w16cid:durableId="1712143573">
    <w:abstractNumId w:val="5"/>
  </w:num>
  <w:num w:numId="5" w16cid:durableId="210727693">
    <w:abstractNumId w:val="3"/>
  </w:num>
  <w:num w:numId="6" w16cid:durableId="1605961950">
    <w:abstractNumId w:val="10"/>
  </w:num>
  <w:num w:numId="7" w16cid:durableId="362950149">
    <w:abstractNumId w:val="9"/>
  </w:num>
  <w:num w:numId="8" w16cid:durableId="2073507287">
    <w:abstractNumId w:val="7"/>
  </w:num>
  <w:num w:numId="9" w16cid:durableId="2034764515">
    <w:abstractNumId w:val="4"/>
  </w:num>
  <w:num w:numId="10" w16cid:durableId="857742009">
    <w:abstractNumId w:val="1"/>
  </w:num>
  <w:num w:numId="11" w16cid:durableId="666254480">
    <w:abstractNumId w:val="11"/>
  </w:num>
  <w:num w:numId="12" w16cid:durableId="437525742">
    <w:abstractNumId w:val="2"/>
  </w:num>
  <w:num w:numId="13" w16cid:durableId="115683515">
    <w:abstractNumId w:val="14"/>
  </w:num>
  <w:num w:numId="14" w16cid:durableId="1823622281">
    <w:abstractNumId w:val="6"/>
  </w:num>
  <w:num w:numId="15" w16cid:durableId="1708138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EC"/>
    <w:rsid w:val="00001E31"/>
    <w:rsid w:val="00006475"/>
    <w:rsid w:val="0001604C"/>
    <w:rsid w:val="000211E0"/>
    <w:rsid w:val="0004195C"/>
    <w:rsid w:val="000460A6"/>
    <w:rsid w:val="000471EC"/>
    <w:rsid w:val="0007734F"/>
    <w:rsid w:val="00077ED6"/>
    <w:rsid w:val="00090D2F"/>
    <w:rsid w:val="00092CFB"/>
    <w:rsid w:val="000D4F47"/>
    <w:rsid w:val="000F5438"/>
    <w:rsid w:val="001014E2"/>
    <w:rsid w:val="00131D0E"/>
    <w:rsid w:val="00133768"/>
    <w:rsid w:val="00142931"/>
    <w:rsid w:val="00191374"/>
    <w:rsid w:val="001B7277"/>
    <w:rsid w:val="001D260E"/>
    <w:rsid w:val="001E75C5"/>
    <w:rsid w:val="001F45D6"/>
    <w:rsid w:val="00200907"/>
    <w:rsid w:val="00213514"/>
    <w:rsid w:val="00214561"/>
    <w:rsid w:val="002225C7"/>
    <w:rsid w:val="00226837"/>
    <w:rsid w:val="0025007D"/>
    <w:rsid w:val="00286DCF"/>
    <w:rsid w:val="002930E4"/>
    <w:rsid w:val="002960A5"/>
    <w:rsid w:val="002A2EE2"/>
    <w:rsid w:val="002C627C"/>
    <w:rsid w:val="002E2616"/>
    <w:rsid w:val="002E2E5D"/>
    <w:rsid w:val="0030686F"/>
    <w:rsid w:val="0033575D"/>
    <w:rsid w:val="0033613E"/>
    <w:rsid w:val="00351D39"/>
    <w:rsid w:val="00366461"/>
    <w:rsid w:val="0039288E"/>
    <w:rsid w:val="00392FC7"/>
    <w:rsid w:val="003B380C"/>
    <w:rsid w:val="003C70A9"/>
    <w:rsid w:val="003D3D2B"/>
    <w:rsid w:val="003E1230"/>
    <w:rsid w:val="003E17FB"/>
    <w:rsid w:val="00427A36"/>
    <w:rsid w:val="00447F5F"/>
    <w:rsid w:val="004649F3"/>
    <w:rsid w:val="00485DB9"/>
    <w:rsid w:val="00487403"/>
    <w:rsid w:val="004941A6"/>
    <w:rsid w:val="004C0D17"/>
    <w:rsid w:val="004E2A4D"/>
    <w:rsid w:val="00510281"/>
    <w:rsid w:val="00534AA1"/>
    <w:rsid w:val="00560261"/>
    <w:rsid w:val="005739B2"/>
    <w:rsid w:val="00574672"/>
    <w:rsid w:val="005831CF"/>
    <w:rsid w:val="00583B5A"/>
    <w:rsid w:val="005856B4"/>
    <w:rsid w:val="005930FD"/>
    <w:rsid w:val="005B35A2"/>
    <w:rsid w:val="005B4912"/>
    <w:rsid w:val="005D056D"/>
    <w:rsid w:val="005F409A"/>
    <w:rsid w:val="006250CC"/>
    <w:rsid w:val="00630434"/>
    <w:rsid w:val="00656BF2"/>
    <w:rsid w:val="00660CD4"/>
    <w:rsid w:val="00683ED0"/>
    <w:rsid w:val="006B5A27"/>
    <w:rsid w:val="006D448B"/>
    <w:rsid w:val="006F0D6E"/>
    <w:rsid w:val="00701C92"/>
    <w:rsid w:val="00714AF8"/>
    <w:rsid w:val="007266EA"/>
    <w:rsid w:val="00737BE6"/>
    <w:rsid w:val="00787E8D"/>
    <w:rsid w:val="00796B0D"/>
    <w:rsid w:val="007A74BE"/>
    <w:rsid w:val="007E1FF5"/>
    <w:rsid w:val="00800678"/>
    <w:rsid w:val="008141CF"/>
    <w:rsid w:val="00820B6F"/>
    <w:rsid w:val="008373A1"/>
    <w:rsid w:val="008427F5"/>
    <w:rsid w:val="008446AB"/>
    <w:rsid w:val="00870E58"/>
    <w:rsid w:val="008812B7"/>
    <w:rsid w:val="008818A5"/>
    <w:rsid w:val="00881CAF"/>
    <w:rsid w:val="008B51F7"/>
    <w:rsid w:val="009015F2"/>
    <w:rsid w:val="00901C07"/>
    <w:rsid w:val="00920E09"/>
    <w:rsid w:val="00922506"/>
    <w:rsid w:val="00943CE5"/>
    <w:rsid w:val="00983944"/>
    <w:rsid w:val="009A3A56"/>
    <w:rsid w:val="009B1205"/>
    <w:rsid w:val="009C0A59"/>
    <w:rsid w:val="009D11ED"/>
    <w:rsid w:val="009D3AA1"/>
    <w:rsid w:val="009F058B"/>
    <w:rsid w:val="009F6D5C"/>
    <w:rsid w:val="00A15C27"/>
    <w:rsid w:val="00A45099"/>
    <w:rsid w:val="00A54C8A"/>
    <w:rsid w:val="00A82578"/>
    <w:rsid w:val="00A97A29"/>
    <w:rsid w:val="00AA2CD1"/>
    <w:rsid w:val="00AA5724"/>
    <w:rsid w:val="00AC5266"/>
    <w:rsid w:val="00AC57F1"/>
    <w:rsid w:val="00AD2BD7"/>
    <w:rsid w:val="00B02F36"/>
    <w:rsid w:val="00B108D9"/>
    <w:rsid w:val="00B83AE5"/>
    <w:rsid w:val="00BA7FB6"/>
    <w:rsid w:val="00BE1BDA"/>
    <w:rsid w:val="00BF6BFA"/>
    <w:rsid w:val="00C0546C"/>
    <w:rsid w:val="00C21326"/>
    <w:rsid w:val="00C216B3"/>
    <w:rsid w:val="00C2785A"/>
    <w:rsid w:val="00C279B5"/>
    <w:rsid w:val="00C501E0"/>
    <w:rsid w:val="00C76271"/>
    <w:rsid w:val="00C866C4"/>
    <w:rsid w:val="00C90C98"/>
    <w:rsid w:val="00CB3601"/>
    <w:rsid w:val="00CC6FB8"/>
    <w:rsid w:val="00CD7F05"/>
    <w:rsid w:val="00D26BAE"/>
    <w:rsid w:val="00D6622B"/>
    <w:rsid w:val="00D74C47"/>
    <w:rsid w:val="00D82EDE"/>
    <w:rsid w:val="00D94D8D"/>
    <w:rsid w:val="00DE18EC"/>
    <w:rsid w:val="00E01047"/>
    <w:rsid w:val="00E10C91"/>
    <w:rsid w:val="00E228DB"/>
    <w:rsid w:val="00E3001E"/>
    <w:rsid w:val="00E32E9A"/>
    <w:rsid w:val="00E66640"/>
    <w:rsid w:val="00E6749C"/>
    <w:rsid w:val="00E855A2"/>
    <w:rsid w:val="00E90CBE"/>
    <w:rsid w:val="00EB47BF"/>
    <w:rsid w:val="00EC3C69"/>
    <w:rsid w:val="00EC7A61"/>
    <w:rsid w:val="00F04FD0"/>
    <w:rsid w:val="00F07217"/>
    <w:rsid w:val="00F077EF"/>
    <w:rsid w:val="00F64D02"/>
    <w:rsid w:val="00F74973"/>
    <w:rsid w:val="00F77357"/>
    <w:rsid w:val="00F97451"/>
    <w:rsid w:val="00FA425F"/>
    <w:rsid w:val="00FC7EE4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8C140"/>
  <w15:chartTrackingRefBased/>
  <w15:docId w15:val="{C952E526-A70C-4E5D-B1B1-9B5B6E45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678"/>
    <w:pPr>
      <w:spacing w:after="120" w:line="276" w:lineRule="auto"/>
      <w:outlineLvl w:val="1"/>
    </w:pPr>
    <w:rPr>
      <w:rFonts w:ascii="Arial" w:eastAsia="Calibri" w:hAnsi="Arial" w:cs="Times New Roman"/>
      <w:b/>
      <w:color w:val="E15D1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5D"/>
  </w:style>
  <w:style w:type="paragraph" w:styleId="Footer">
    <w:name w:val="footer"/>
    <w:basedOn w:val="Normal"/>
    <w:link w:val="FooterChar"/>
    <w:uiPriority w:val="99"/>
    <w:unhideWhenUsed/>
    <w:rsid w:val="003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75D"/>
  </w:style>
  <w:style w:type="character" w:styleId="CommentReference">
    <w:name w:val="annotation reference"/>
    <w:basedOn w:val="DefaultParagraphFont"/>
    <w:uiPriority w:val="99"/>
    <w:semiHidden/>
    <w:unhideWhenUsed/>
    <w:rsid w:val="00C21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3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3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26"/>
    <w:rPr>
      <w:rFonts w:ascii="Segoe UI" w:hAnsi="Segoe UI" w:cs="Segoe UI"/>
      <w:sz w:val="18"/>
      <w:szCs w:val="18"/>
    </w:rPr>
  </w:style>
  <w:style w:type="table" w:styleId="GridTable2-Accent2">
    <w:name w:val="Grid Table 2 Accent 2"/>
    <w:basedOn w:val="TableNormal"/>
    <w:uiPriority w:val="47"/>
    <w:rsid w:val="002E261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">
    <w:name w:val="Grid Table 2"/>
    <w:basedOn w:val="TableNormal"/>
    <w:uiPriority w:val="47"/>
    <w:rsid w:val="002E261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00678"/>
    <w:rPr>
      <w:rFonts w:ascii="Arial" w:eastAsia="Calibri" w:hAnsi="Arial" w:cs="Times New Roman"/>
      <w:b/>
      <w:color w:val="E15D15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5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48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30F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25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5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25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74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42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10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506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21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13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81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44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0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9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3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3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05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70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3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0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40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90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38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82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5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75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53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5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6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5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DEAFiscal@mass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pecialeducation@doe.mass.ed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sped/idea2004/sig-dispro/resources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tes.ed.gov/idea/regs/b/f/300.646/d/3" TargetMode="External"/><Relationship Id="rId2" Type="http://schemas.openxmlformats.org/officeDocument/2006/relationships/hyperlink" Target="https://sites.ed.gov/idea/regs/b/f/300.646/d/1/ii" TargetMode="External"/><Relationship Id="rId1" Type="http://schemas.openxmlformats.org/officeDocument/2006/relationships/hyperlink" Target="https://sites.ed.gov/idea/regs/b/f/300.646/d" TargetMode="External"/><Relationship Id="rId6" Type="http://schemas.openxmlformats.org/officeDocument/2006/relationships/hyperlink" Target="https://sites.ed.gov/idea/regs/b/f/300.646/d" TargetMode="External"/><Relationship Id="rId5" Type="http://schemas.openxmlformats.org/officeDocument/2006/relationships/hyperlink" Target="https://sites.ed.gov/idea/regs/b/f/300.646/d/1/iii" TargetMode="External"/><Relationship Id="rId4" Type="http://schemas.openxmlformats.org/officeDocument/2006/relationships/hyperlink" Target="https://sites.ed.gov/idea/regs/b/f/300.646/d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DESE-231-55895</_dlc_DocId>
    <_dlc_DocIdUrl xmlns="733efe1c-5bbe-4968-87dc-d400e65c879f">
      <Url>https://sharepoint.doemass.org/ese/webteam/cps/_layouts/DocIdRedir.aspx?ID=DESE-231-55895</Url>
      <Description>DESE-231-55895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56C8A3-6EFE-4326-B0A2-77C845C54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7A507-21C2-4593-A8DE-BE2134394D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BF65C37-4E3C-40E5-9819-6E7D0E98A9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1C7873-157F-4D01-BEB6-6AFF8DEA8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126491-1011-4B36-9D3B-37566C422A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Disproportionality Fiscal Implications Reference Guide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Disproportionality Fiscal Implications Reference Guide</dc:title>
  <dc:subject/>
  <dc:creator>DESE</dc:creator>
  <cp:keywords/>
  <dc:description/>
  <cp:lastModifiedBy>Zou, Dong (EOE)</cp:lastModifiedBy>
  <cp:revision>3</cp:revision>
  <dcterms:created xsi:type="dcterms:W3CDTF">2023-08-21T13:29:00Z</dcterms:created>
  <dcterms:modified xsi:type="dcterms:W3CDTF">2023-08-22T21:06:00Z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2023 12:00AM</vt:lpwstr>
  </property>
</Properties>
</file>