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EB" w:rsidRPr="00C5339D" w:rsidRDefault="005F5D23" w:rsidP="00CF7DEB">
      <w:pPr>
        <w:spacing w:after="0" w:line="240" w:lineRule="auto"/>
        <w:jc w:val="center"/>
        <w:rPr>
          <w:sz w:val="24"/>
          <w:szCs w:val="24"/>
        </w:rPr>
      </w:pPr>
      <w:bookmarkStart w:id="0" w:name="_GoBack"/>
      <w:bookmarkEnd w:id="0"/>
      <w:r>
        <w:rPr>
          <w:sz w:val="24"/>
          <w:szCs w:val="24"/>
        </w:rPr>
        <w:t xml:space="preserve">FFY 2016 </w:t>
      </w:r>
      <w:r w:rsidR="00CF7DEB" w:rsidRPr="00C5339D">
        <w:rPr>
          <w:sz w:val="24"/>
          <w:szCs w:val="24"/>
        </w:rPr>
        <w:t>Differentiated Monitoring and Support Engagement</w:t>
      </w:r>
      <w:r w:rsidR="00642C32" w:rsidRPr="00C5339D">
        <w:rPr>
          <w:sz w:val="24"/>
          <w:szCs w:val="24"/>
        </w:rPr>
        <w:t xml:space="preserve"> (DMS)</w:t>
      </w:r>
      <w:r w:rsidR="00CF7DEB" w:rsidRPr="00C5339D">
        <w:rPr>
          <w:sz w:val="24"/>
          <w:szCs w:val="24"/>
        </w:rPr>
        <w:t xml:space="preserve"> Decisions</w:t>
      </w:r>
    </w:p>
    <w:p w:rsidR="00CF7DEB" w:rsidRPr="00420435" w:rsidRDefault="00420435" w:rsidP="00CF7DEB">
      <w:pPr>
        <w:spacing w:after="0"/>
        <w:jc w:val="center"/>
        <w:rPr>
          <w:sz w:val="24"/>
          <w:szCs w:val="24"/>
        </w:rPr>
      </w:pPr>
      <w:r>
        <w:rPr>
          <w:sz w:val="24"/>
          <w:szCs w:val="24"/>
        </w:rPr>
        <w:t>Massachusetts</w:t>
      </w:r>
    </w:p>
    <w:p w:rsidR="00CF7DEB" w:rsidRDefault="00CF7DEB" w:rsidP="00CF7DEB">
      <w:pPr>
        <w:spacing w:after="0"/>
        <w:jc w:val="center"/>
        <w:rPr>
          <w:sz w:val="24"/>
          <w:szCs w:val="24"/>
        </w:rPr>
      </w:pPr>
    </w:p>
    <w:p w:rsidR="00C537E9" w:rsidRDefault="00C537E9" w:rsidP="00CF7DEB">
      <w:pPr>
        <w:spacing w:after="0"/>
        <w:jc w:val="center"/>
        <w:rPr>
          <w:sz w:val="24"/>
          <w:szCs w:val="24"/>
        </w:rPr>
      </w:pPr>
    </w:p>
    <w:p w:rsidR="00C537E9" w:rsidRPr="009327F8" w:rsidRDefault="00C537E9" w:rsidP="00CF7DEB">
      <w:pPr>
        <w:spacing w:after="0"/>
        <w:jc w:val="center"/>
        <w:rPr>
          <w:sz w:val="24"/>
          <w:szCs w:val="24"/>
        </w:rPr>
      </w:pPr>
    </w:p>
    <w:p w:rsidR="005C06DF" w:rsidRPr="00C537E9" w:rsidRDefault="005C06DF" w:rsidP="005C06DF">
      <w:pPr>
        <w:spacing w:line="240" w:lineRule="auto"/>
        <w:rPr>
          <w:sz w:val="24"/>
          <w:szCs w:val="24"/>
        </w:rPr>
      </w:pPr>
      <w:r w:rsidRPr="00C537E9">
        <w:rPr>
          <w:sz w:val="24"/>
          <w:szCs w:val="24"/>
        </w:rPr>
        <w:t>OSEP’s Results Driven Accountability System for differentiated monitoring and support is designed to provide differentiated levels and types of monitoring and support based on each State’s unique strengths, progress, challenges, and needs.  To implement th</w:t>
      </w:r>
      <w:r w:rsidRPr="00183A1E">
        <w:rPr>
          <w:sz w:val="24"/>
          <w:szCs w:val="24"/>
        </w:rPr>
        <w:t xml:space="preserve">is system, OSEP developed a multi-tiered model for monitoring and providing support that is based on the principle that supports are first provided at a core or universal level to effectively address the needs of all </w:t>
      </w:r>
      <w:r w:rsidRPr="00C537E9">
        <w:rPr>
          <w:sz w:val="24"/>
          <w:szCs w:val="24"/>
        </w:rPr>
        <w:t xml:space="preserve">States and is focused on prevention to minimize the need for more targeted or intensive engagement. </w:t>
      </w:r>
      <w:r w:rsidR="002F77DE">
        <w:rPr>
          <w:sz w:val="24"/>
          <w:szCs w:val="24"/>
        </w:rPr>
        <w:t xml:space="preserve"> </w:t>
      </w:r>
      <w:r w:rsidRPr="00C537E9">
        <w:rPr>
          <w:sz w:val="24"/>
          <w:szCs w:val="24"/>
        </w:rPr>
        <w:t xml:space="preserve">Targeted monitoring and support is based on OSEP’s identification of common needs among multiple States, and intensive monitoring and support is </w:t>
      </w:r>
      <w:r w:rsidRPr="00C537E9">
        <w:rPr>
          <w:rFonts w:cs="Times New Roman"/>
          <w:sz w:val="24"/>
          <w:szCs w:val="24"/>
        </w:rPr>
        <w:t>reserved for those S</w:t>
      </w:r>
      <w:r w:rsidR="00C5339D">
        <w:rPr>
          <w:rFonts w:cs="Times New Roman"/>
          <w:sz w:val="24"/>
          <w:szCs w:val="24"/>
        </w:rPr>
        <w:t>tate education agencie</w:t>
      </w:r>
      <w:r w:rsidRPr="00C537E9">
        <w:rPr>
          <w:rFonts w:cs="Times New Roman"/>
          <w:sz w:val="24"/>
          <w:szCs w:val="24"/>
        </w:rPr>
        <w:t>s and L</w:t>
      </w:r>
      <w:r w:rsidR="00C5339D">
        <w:rPr>
          <w:rFonts w:cs="Times New Roman"/>
          <w:sz w:val="24"/>
          <w:szCs w:val="24"/>
        </w:rPr>
        <w:t>ead agencie</w:t>
      </w:r>
      <w:r w:rsidRPr="00C537E9">
        <w:rPr>
          <w:rFonts w:cs="Times New Roman"/>
          <w:sz w:val="24"/>
          <w:szCs w:val="24"/>
        </w:rPr>
        <w:t xml:space="preserve">s experiencing the most intense or complex challenges to implementation. </w:t>
      </w:r>
    </w:p>
    <w:p w:rsidR="000A5C38" w:rsidRPr="00C537E9" w:rsidRDefault="000A5C38" w:rsidP="00340A8E">
      <w:pPr>
        <w:spacing w:after="0" w:line="240" w:lineRule="auto"/>
        <w:rPr>
          <w:sz w:val="24"/>
          <w:szCs w:val="24"/>
        </w:rPr>
      </w:pPr>
      <w:r w:rsidRPr="00C537E9">
        <w:rPr>
          <w:sz w:val="24"/>
          <w:szCs w:val="24"/>
        </w:rPr>
        <w:t>To guide our designations for State monitoring and support at the universal, targeted and intensive</w:t>
      </w:r>
      <w:r w:rsidR="00420435">
        <w:rPr>
          <w:sz w:val="24"/>
          <w:szCs w:val="24"/>
        </w:rPr>
        <w:t xml:space="preserve"> levels in the areas of results</w:t>
      </w:r>
      <w:r w:rsidR="00C221E9" w:rsidRPr="00C537E9">
        <w:rPr>
          <w:sz w:val="24"/>
          <w:szCs w:val="24"/>
        </w:rPr>
        <w:t>,</w:t>
      </w:r>
      <w:r w:rsidRPr="00C537E9">
        <w:rPr>
          <w:sz w:val="24"/>
          <w:szCs w:val="24"/>
        </w:rPr>
        <w:t xml:space="preserve"> compliance, </w:t>
      </w:r>
      <w:r w:rsidR="002F77DE" w:rsidRPr="00C537E9">
        <w:rPr>
          <w:sz w:val="24"/>
          <w:szCs w:val="24"/>
        </w:rPr>
        <w:t>the State Systemic Improvement Plan (SSIP</w:t>
      </w:r>
      <w:r w:rsidR="002F77DE">
        <w:rPr>
          <w:sz w:val="24"/>
          <w:szCs w:val="24"/>
        </w:rPr>
        <w:t xml:space="preserve">), </w:t>
      </w:r>
      <w:r w:rsidR="00C221E9" w:rsidRPr="00C537E9">
        <w:rPr>
          <w:sz w:val="24"/>
          <w:szCs w:val="24"/>
        </w:rPr>
        <w:t>correctional education,</w:t>
      </w:r>
      <w:r w:rsidRPr="00C537E9">
        <w:rPr>
          <w:sz w:val="24"/>
          <w:szCs w:val="24"/>
        </w:rPr>
        <w:t xml:space="preserve"> and fiscal management, OSEP developed an organizational assessment of States’ progress in meeting performance standards and compliance with the legal requirements of the Individuals with Disabilities Education Act, the Education Department General Administrative Regulations and the Uniform Administrative Requirements, Cost Principles, and Audit Requirements for Federal Awards.  Using Federal Fiscal Year 201</w:t>
      </w:r>
      <w:r w:rsidR="00C221E9" w:rsidRPr="00C537E9">
        <w:rPr>
          <w:sz w:val="24"/>
          <w:szCs w:val="24"/>
        </w:rPr>
        <w:t>4</w:t>
      </w:r>
      <w:r w:rsidRPr="00C537E9">
        <w:rPr>
          <w:sz w:val="24"/>
          <w:szCs w:val="24"/>
        </w:rPr>
        <w:t xml:space="preserve"> data for results, compliance, </w:t>
      </w:r>
      <w:r w:rsidR="00C221E9" w:rsidRPr="00C537E9">
        <w:rPr>
          <w:sz w:val="24"/>
          <w:szCs w:val="24"/>
        </w:rPr>
        <w:t>and the SSIP</w:t>
      </w:r>
      <w:r w:rsidRPr="00C537E9">
        <w:rPr>
          <w:sz w:val="24"/>
          <w:szCs w:val="24"/>
        </w:rPr>
        <w:t xml:space="preserve">, and the most current data available for </w:t>
      </w:r>
      <w:r w:rsidR="00C221E9" w:rsidRPr="00C537E9">
        <w:rPr>
          <w:sz w:val="24"/>
          <w:szCs w:val="24"/>
        </w:rPr>
        <w:t xml:space="preserve">correctional education and </w:t>
      </w:r>
      <w:r w:rsidRPr="00C537E9">
        <w:rPr>
          <w:sz w:val="24"/>
          <w:szCs w:val="24"/>
        </w:rPr>
        <w:t xml:space="preserve">fiscal management, along with information about the factors contributing to elevated needs, the support the State has accessed, the State’s capacity to improve results and compliance, and additional contextual information about the State, OSEP determined the level of monitoring and support necessary to meet the needs of each State. </w:t>
      </w:r>
    </w:p>
    <w:p w:rsidR="00642C32" w:rsidRPr="00C537E9" w:rsidRDefault="00642C32" w:rsidP="00340A8E">
      <w:pPr>
        <w:spacing w:after="0" w:line="240" w:lineRule="auto"/>
        <w:rPr>
          <w:sz w:val="24"/>
          <w:szCs w:val="24"/>
        </w:rPr>
      </w:pPr>
    </w:p>
    <w:p w:rsidR="00642C32" w:rsidRPr="00183A1E" w:rsidRDefault="00642C32" w:rsidP="00340A8E">
      <w:pPr>
        <w:spacing w:after="0" w:line="240" w:lineRule="auto"/>
        <w:rPr>
          <w:sz w:val="24"/>
          <w:szCs w:val="24"/>
        </w:rPr>
      </w:pPr>
      <w:r w:rsidRPr="00C537E9">
        <w:rPr>
          <w:sz w:val="24"/>
          <w:szCs w:val="24"/>
        </w:rPr>
        <w:t>As you are aware, we recently completed our first round of DMS for Part B.  For the current year’s process, we once again examined results, compliance and fiscal</w:t>
      </w:r>
      <w:r w:rsidR="002F77DE">
        <w:rPr>
          <w:sz w:val="24"/>
          <w:szCs w:val="24"/>
        </w:rPr>
        <w:t xml:space="preserve"> data</w:t>
      </w:r>
      <w:r w:rsidRPr="00C537E9">
        <w:rPr>
          <w:sz w:val="24"/>
          <w:szCs w:val="24"/>
        </w:rPr>
        <w:t xml:space="preserve">.  </w:t>
      </w:r>
      <w:r w:rsidR="002F77DE">
        <w:rPr>
          <w:sz w:val="24"/>
          <w:szCs w:val="24"/>
        </w:rPr>
        <w:t>In addition, w</w:t>
      </w:r>
      <w:r w:rsidRPr="00C537E9">
        <w:rPr>
          <w:sz w:val="24"/>
          <w:szCs w:val="24"/>
        </w:rPr>
        <w:t xml:space="preserve">e substituted correctional education for dispute resolution as the special focus area, and added in the SSIP.  </w:t>
      </w:r>
      <w:r w:rsidR="002F77DE" w:rsidRPr="00183A1E">
        <w:rPr>
          <w:sz w:val="24"/>
          <w:szCs w:val="24"/>
        </w:rPr>
        <w:t xml:space="preserve">Our analysis of the SSIP is based on our review of the required elements within the Phase II submission, as well as information obtained through follow up conversations with </w:t>
      </w:r>
      <w:r w:rsidR="00420435">
        <w:rPr>
          <w:sz w:val="24"/>
          <w:szCs w:val="24"/>
        </w:rPr>
        <w:t xml:space="preserve">the </w:t>
      </w:r>
      <w:r w:rsidR="002F77DE" w:rsidRPr="00183A1E">
        <w:rPr>
          <w:sz w:val="24"/>
          <w:szCs w:val="24"/>
        </w:rPr>
        <w:t>State.</w:t>
      </w:r>
      <w:r w:rsidR="002F77DE">
        <w:rPr>
          <w:sz w:val="24"/>
          <w:szCs w:val="24"/>
        </w:rPr>
        <w:t xml:space="preserve">  </w:t>
      </w:r>
      <w:r w:rsidRPr="00C537E9">
        <w:rPr>
          <w:sz w:val="24"/>
          <w:szCs w:val="24"/>
        </w:rPr>
        <w:t>Our analysis of correctional education is based on data from the</w:t>
      </w:r>
      <w:r w:rsidR="00183A1E">
        <w:rPr>
          <w:sz w:val="24"/>
          <w:szCs w:val="24"/>
        </w:rPr>
        <w:t xml:space="preserve"> </w:t>
      </w:r>
      <w:proofErr w:type="spellStart"/>
      <w:r w:rsidR="00183A1E">
        <w:rPr>
          <w:sz w:val="24"/>
          <w:szCs w:val="24"/>
        </w:rPr>
        <w:t>EDFacts</w:t>
      </w:r>
      <w:proofErr w:type="spellEnd"/>
      <w:r w:rsidR="00183A1E">
        <w:rPr>
          <w:sz w:val="24"/>
          <w:szCs w:val="24"/>
        </w:rPr>
        <w:t xml:space="preserve"> Consolidated State Performance Report</w:t>
      </w:r>
      <w:r w:rsidR="00183A1E">
        <w:rPr>
          <w:rStyle w:val="FootnoteReference"/>
          <w:sz w:val="24"/>
          <w:szCs w:val="24"/>
        </w:rPr>
        <w:footnoteReference w:id="1"/>
      </w:r>
      <w:r w:rsidR="00183A1E">
        <w:rPr>
          <w:sz w:val="24"/>
          <w:szCs w:val="24"/>
        </w:rPr>
        <w:t>,</w:t>
      </w:r>
      <w:r w:rsidRPr="00183A1E">
        <w:rPr>
          <w:sz w:val="24"/>
          <w:szCs w:val="24"/>
        </w:rPr>
        <w:t xml:space="preserve"> </w:t>
      </w:r>
      <w:r w:rsidR="008F2854">
        <w:rPr>
          <w:sz w:val="24"/>
          <w:szCs w:val="24"/>
        </w:rPr>
        <w:t xml:space="preserve">the </w:t>
      </w:r>
      <w:r w:rsidRPr="00183A1E">
        <w:rPr>
          <w:sz w:val="24"/>
          <w:szCs w:val="24"/>
        </w:rPr>
        <w:t>Civil Rights Data Collection</w:t>
      </w:r>
      <w:r w:rsidR="00353CA0" w:rsidRPr="00183A1E">
        <w:rPr>
          <w:rStyle w:val="FootnoteReference"/>
          <w:sz w:val="24"/>
          <w:szCs w:val="24"/>
        </w:rPr>
        <w:footnoteReference w:id="2"/>
      </w:r>
      <w:r w:rsidR="00622D59" w:rsidRPr="00183A1E">
        <w:rPr>
          <w:sz w:val="24"/>
          <w:szCs w:val="24"/>
        </w:rPr>
        <w:t>,</w:t>
      </w:r>
      <w:r w:rsidRPr="00183A1E">
        <w:rPr>
          <w:sz w:val="24"/>
          <w:szCs w:val="24"/>
        </w:rPr>
        <w:t xml:space="preserve"> each State’s Annual Performance Report</w:t>
      </w:r>
      <w:r w:rsidR="00622D59" w:rsidRPr="00183A1E">
        <w:rPr>
          <w:sz w:val="24"/>
          <w:szCs w:val="24"/>
        </w:rPr>
        <w:t>, and each State’s data submitted under section 618 of the IDEA</w:t>
      </w:r>
      <w:r w:rsidR="00C537E9" w:rsidRPr="00183A1E">
        <w:rPr>
          <w:rStyle w:val="FootnoteReference"/>
          <w:sz w:val="24"/>
          <w:szCs w:val="24"/>
        </w:rPr>
        <w:footnoteReference w:id="3"/>
      </w:r>
      <w:r w:rsidR="00622D59" w:rsidRPr="00183A1E">
        <w:rPr>
          <w:sz w:val="24"/>
          <w:szCs w:val="24"/>
        </w:rPr>
        <w:t>.</w:t>
      </w:r>
      <w:r w:rsidR="006D5831" w:rsidRPr="00183A1E">
        <w:rPr>
          <w:sz w:val="24"/>
          <w:szCs w:val="24"/>
        </w:rPr>
        <w:t xml:space="preserve">  </w:t>
      </w:r>
      <w:r w:rsidR="00845A9F">
        <w:rPr>
          <w:sz w:val="24"/>
          <w:szCs w:val="24"/>
        </w:rPr>
        <w:t xml:space="preserve">  </w:t>
      </w:r>
      <w:r w:rsidR="00C5339D">
        <w:rPr>
          <w:sz w:val="24"/>
          <w:szCs w:val="24"/>
        </w:rPr>
        <w:t>The charts below list your designation and anticipated level of engagement in each area.</w:t>
      </w:r>
      <w:r w:rsidR="00845A9F">
        <w:rPr>
          <w:sz w:val="24"/>
          <w:szCs w:val="24"/>
        </w:rPr>
        <w:t xml:space="preserve">  </w:t>
      </w:r>
    </w:p>
    <w:p w:rsidR="00C537E9" w:rsidRPr="00183A1E" w:rsidRDefault="00C537E9">
      <w:pPr>
        <w:rPr>
          <w:sz w:val="24"/>
          <w:szCs w:val="24"/>
        </w:rPr>
      </w:pPr>
      <w:r w:rsidRPr="00183A1E">
        <w:rPr>
          <w:sz w:val="24"/>
          <w:szCs w:val="24"/>
        </w:rPr>
        <w:br w:type="page"/>
      </w:r>
    </w:p>
    <w:p w:rsidR="005C06DF" w:rsidRPr="001F7660" w:rsidRDefault="005C06DF" w:rsidP="007005F5">
      <w:pPr>
        <w:spacing w:line="240" w:lineRule="auto"/>
        <w:rPr>
          <w:sz w:val="24"/>
          <w:szCs w:val="24"/>
        </w:rPr>
      </w:pPr>
    </w:p>
    <w:tbl>
      <w:tblPr>
        <w:tblStyle w:val="TableGrid"/>
        <w:tblW w:w="0" w:type="auto"/>
        <w:tblLook w:val="04A0" w:firstRow="1" w:lastRow="0" w:firstColumn="1" w:lastColumn="0" w:noHBand="0" w:noVBand="1"/>
        <w:tblDescription w:val="Results&#10;Designation: Universal&#10;Factors(Factors are only listed if a State has been designated as targeted or intensive in a particular area.):&#10;Existing/Current Engagement: OSEP continues to make information and technical assistance (TA) resources available, and provide universal support to all States.  In addition, the State receives technical assistance from the IDEA Data Center (IDC), and the Center for IDEA Early Childhood Data Systems (DaSy).&#10;New Engagement: OSEP will provide universal support.&#10;"/>
      </w:tblPr>
      <w:tblGrid>
        <w:gridCol w:w="1368"/>
        <w:gridCol w:w="3600"/>
        <w:gridCol w:w="3420"/>
        <w:gridCol w:w="2340"/>
      </w:tblGrid>
      <w:tr w:rsidR="00CF7DEB" w:rsidTr="00CA36C4">
        <w:trPr>
          <w:tblHeader/>
        </w:trPr>
        <w:tc>
          <w:tcPr>
            <w:tcW w:w="10728" w:type="dxa"/>
            <w:gridSpan w:val="4"/>
          </w:tcPr>
          <w:p w:rsidR="00CF7DEB" w:rsidRPr="00CF7DEB" w:rsidRDefault="007005F5" w:rsidP="001E21BC">
            <w:pPr>
              <w:rPr>
                <w:b/>
              </w:rPr>
            </w:pPr>
            <w:r>
              <w:rPr>
                <w:b/>
              </w:rPr>
              <w:t>Results</w:t>
            </w:r>
          </w:p>
        </w:tc>
      </w:tr>
      <w:tr w:rsidR="00F55D9E" w:rsidTr="00CA36C4">
        <w:trPr>
          <w:tblHeader/>
        </w:trPr>
        <w:tc>
          <w:tcPr>
            <w:tcW w:w="1368" w:type="dxa"/>
          </w:tcPr>
          <w:p w:rsidR="00CF7DEB" w:rsidRPr="004560DF" w:rsidRDefault="00CF7DEB" w:rsidP="001E21BC">
            <w:pPr>
              <w:rPr>
                <w:b/>
              </w:rPr>
            </w:pPr>
            <w:r>
              <w:rPr>
                <w:b/>
              </w:rPr>
              <w:t>Designation</w:t>
            </w:r>
          </w:p>
        </w:tc>
        <w:tc>
          <w:tcPr>
            <w:tcW w:w="3600" w:type="dxa"/>
          </w:tcPr>
          <w:p w:rsidR="00CF7DEB" w:rsidRPr="004560DF" w:rsidRDefault="00CF7DEB" w:rsidP="00C5339D">
            <w:pPr>
              <w:rPr>
                <w:b/>
              </w:rPr>
            </w:pPr>
            <w:r>
              <w:rPr>
                <w:b/>
              </w:rPr>
              <w:t>Factors</w:t>
            </w:r>
            <w:r w:rsidR="00C5339D">
              <w:rPr>
                <w:rStyle w:val="FootnoteReference"/>
                <w:b/>
              </w:rPr>
              <w:footnoteReference w:id="4"/>
            </w:r>
          </w:p>
        </w:tc>
        <w:tc>
          <w:tcPr>
            <w:tcW w:w="3420" w:type="dxa"/>
          </w:tcPr>
          <w:p w:rsidR="00CF7DEB" w:rsidRPr="004560DF" w:rsidRDefault="00CF7DEB" w:rsidP="001E21BC">
            <w:pPr>
              <w:rPr>
                <w:b/>
              </w:rPr>
            </w:pPr>
            <w:r>
              <w:rPr>
                <w:b/>
              </w:rPr>
              <w:t>Existing/Current  Engagement</w:t>
            </w:r>
          </w:p>
        </w:tc>
        <w:tc>
          <w:tcPr>
            <w:tcW w:w="2340" w:type="dxa"/>
          </w:tcPr>
          <w:p w:rsidR="00CF7DEB" w:rsidRPr="004560DF" w:rsidRDefault="00CF7DEB" w:rsidP="001E21BC">
            <w:pPr>
              <w:rPr>
                <w:b/>
              </w:rPr>
            </w:pPr>
            <w:r>
              <w:rPr>
                <w:b/>
              </w:rPr>
              <w:t>New Engagement</w:t>
            </w:r>
          </w:p>
        </w:tc>
      </w:tr>
      <w:tr w:rsidR="003C3DE5" w:rsidTr="00CF7DEB">
        <w:tc>
          <w:tcPr>
            <w:tcW w:w="1368" w:type="dxa"/>
          </w:tcPr>
          <w:p w:rsidR="003C3DE5" w:rsidRPr="003C3DE5" w:rsidRDefault="00420435" w:rsidP="00A050FB">
            <w:r>
              <w:t>Universal</w:t>
            </w:r>
          </w:p>
        </w:tc>
        <w:tc>
          <w:tcPr>
            <w:tcW w:w="3600" w:type="dxa"/>
          </w:tcPr>
          <w:p w:rsidR="003C3DE5" w:rsidRPr="003C3DE5" w:rsidRDefault="003C3DE5" w:rsidP="00420435">
            <w:pPr>
              <w:pStyle w:val="ListParagraph"/>
            </w:pPr>
          </w:p>
        </w:tc>
        <w:tc>
          <w:tcPr>
            <w:tcW w:w="3420" w:type="dxa"/>
          </w:tcPr>
          <w:p w:rsidR="003C3DE5" w:rsidRPr="003C3DE5" w:rsidRDefault="00C221E9" w:rsidP="000A070F">
            <w:r w:rsidRPr="000A070F">
              <w:rPr>
                <w:bCs/>
              </w:rPr>
              <w:t xml:space="preserve">OSEP continues to make information and </w:t>
            </w:r>
            <w:r w:rsidR="00750B73">
              <w:rPr>
                <w:bCs/>
              </w:rPr>
              <w:t>technical assistance (</w:t>
            </w:r>
            <w:r w:rsidRPr="000A070F">
              <w:rPr>
                <w:bCs/>
              </w:rPr>
              <w:t>TA</w:t>
            </w:r>
            <w:r w:rsidR="00750B73">
              <w:rPr>
                <w:bCs/>
              </w:rPr>
              <w:t>)</w:t>
            </w:r>
            <w:r w:rsidRPr="000A070F">
              <w:rPr>
                <w:bCs/>
              </w:rPr>
              <w:t xml:space="preserve"> resources available, and provide universal support to all States.</w:t>
            </w:r>
            <w:r>
              <w:rPr>
                <w:bCs/>
              </w:rPr>
              <w:t xml:space="preserve">  </w:t>
            </w:r>
            <w:r w:rsidR="00420435" w:rsidRPr="00420435">
              <w:rPr>
                <w:bCs/>
              </w:rPr>
              <w:t>In addition, the State receives technical assistance from the IDEA Data Center (IDC), and the Center for IDEA Early Childhood Data Systems (</w:t>
            </w:r>
            <w:proofErr w:type="spellStart"/>
            <w:r w:rsidR="00420435" w:rsidRPr="00420435">
              <w:rPr>
                <w:bCs/>
              </w:rPr>
              <w:t>DaSy</w:t>
            </w:r>
            <w:proofErr w:type="spellEnd"/>
            <w:r w:rsidR="00420435" w:rsidRPr="00420435">
              <w:rPr>
                <w:bCs/>
              </w:rPr>
              <w:t>).</w:t>
            </w:r>
          </w:p>
        </w:tc>
        <w:tc>
          <w:tcPr>
            <w:tcW w:w="2340" w:type="dxa"/>
          </w:tcPr>
          <w:p w:rsidR="003C3DE5" w:rsidRPr="003C3DE5" w:rsidRDefault="00420435" w:rsidP="00AE285F">
            <w:r>
              <w:t>OSEP will provide universal support.</w:t>
            </w:r>
          </w:p>
        </w:tc>
      </w:tr>
    </w:tbl>
    <w:p w:rsidR="00CF7DEB" w:rsidRDefault="00CF7DEB" w:rsidP="00CF7DEB">
      <w:pPr>
        <w:rPr>
          <w:b/>
          <w:u w:val="single"/>
        </w:rPr>
      </w:pPr>
    </w:p>
    <w:tbl>
      <w:tblPr>
        <w:tblStyle w:val="TableGrid"/>
        <w:tblW w:w="0" w:type="auto"/>
        <w:tblLook w:val="04A0" w:firstRow="1" w:lastRow="0" w:firstColumn="1" w:lastColumn="0" w:noHBand="0" w:noVBand="1"/>
        <w:tblDescription w:val="Compliance&#10;Designation: Targeted&#10;Factors: State has been identified as meeting criteria specified by GAO audit on dispute resolution.&#10;Existing/Current Engagement: OSEP continues to make information and TA resources available, and provide universal support to all States.&#10;New Engagement: OSEP will provide targeted monitoring and support on improving dispute resolution.&#10;"/>
      </w:tblPr>
      <w:tblGrid>
        <w:gridCol w:w="1368"/>
        <w:gridCol w:w="3600"/>
        <w:gridCol w:w="3420"/>
        <w:gridCol w:w="2340"/>
      </w:tblGrid>
      <w:tr w:rsidR="00C221E9" w:rsidTr="00CA36C4">
        <w:trPr>
          <w:tblHeader/>
        </w:trPr>
        <w:tc>
          <w:tcPr>
            <w:tcW w:w="10728" w:type="dxa"/>
            <w:gridSpan w:val="4"/>
          </w:tcPr>
          <w:p w:rsidR="00C221E9" w:rsidRPr="00CF7DEB" w:rsidRDefault="00C221E9" w:rsidP="00F62F7D">
            <w:pPr>
              <w:rPr>
                <w:b/>
              </w:rPr>
            </w:pPr>
            <w:r>
              <w:rPr>
                <w:b/>
              </w:rPr>
              <w:t>Compliance</w:t>
            </w:r>
          </w:p>
        </w:tc>
      </w:tr>
      <w:tr w:rsidR="00C221E9" w:rsidTr="00CA36C4">
        <w:trPr>
          <w:tblHeader/>
        </w:trPr>
        <w:tc>
          <w:tcPr>
            <w:tcW w:w="1368" w:type="dxa"/>
          </w:tcPr>
          <w:p w:rsidR="00C221E9" w:rsidRPr="004560DF" w:rsidRDefault="00C221E9" w:rsidP="00F62F7D">
            <w:pPr>
              <w:rPr>
                <w:b/>
              </w:rPr>
            </w:pPr>
            <w:r>
              <w:rPr>
                <w:b/>
              </w:rPr>
              <w:t>Designation</w:t>
            </w:r>
          </w:p>
        </w:tc>
        <w:tc>
          <w:tcPr>
            <w:tcW w:w="3600" w:type="dxa"/>
          </w:tcPr>
          <w:p w:rsidR="00C221E9" w:rsidRPr="004560DF" w:rsidRDefault="00C221E9" w:rsidP="00F60E2D">
            <w:pPr>
              <w:rPr>
                <w:b/>
              </w:rPr>
            </w:pPr>
            <w:r>
              <w:rPr>
                <w:b/>
              </w:rPr>
              <w:t>Factors</w:t>
            </w:r>
          </w:p>
        </w:tc>
        <w:tc>
          <w:tcPr>
            <w:tcW w:w="3420" w:type="dxa"/>
          </w:tcPr>
          <w:p w:rsidR="00C221E9" w:rsidRPr="004560DF" w:rsidRDefault="00C221E9" w:rsidP="00F62F7D">
            <w:pPr>
              <w:rPr>
                <w:b/>
              </w:rPr>
            </w:pPr>
            <w:r>
              <w:rPr>
                <w:b/>
              </w:rPr>
              <w:t>Existing/Current  Engagement</w:t>
            </w:r>
          </w:p>
        </w:tc>
        <w:tc>
          <w:tcPr>
            <w:tcW w:w="2340" w:type="dxa"/>
          </w:tcPr>
          <w:p w:rsidR="00C221E9" w:rsidRPr="004560DF" w:rsidRDefault="00C221E9" w:rsidP="00F62F7D">
            <w:pPr>
              <w:rPr>
                <w:b/>
              </w:rPr>
            </w:pPr>
            <w:r>
              <w:rPr>
                <w:b/>
              </w:rPr>
              <w:t>New Engagement</w:t>
            </w:r>
          </w:p>
        </w:tc>
      </w:tr>
      <w:tr w:rsidR="00C221E9" w:rsidTr="00F62F7D">
        <w:tc>
          <w:tcPr>
            <w:tcW w:w="1368" w:type="dxa"/>
          </w:tcPr>
          <w:p w:rsidR="00C221E9" w:rsidRPr="003C3DE5" w:rsidRDefault="00242ACA" w:rsidP="00F62F7D">
            <w:r>
              <w:t>Targeted</w:t>
            </w:r>
          </w:p>
        </w:tc>
        <w:tc>
          <w:tcPr>
            <w:tcW w:w="3600" w:type="dxa"/>
          </w:tcPr>
          <w:p w:rsidR="00C221E9" w:rsidRPr="003C3DE5" w:rsidRDefault="00242ACA" w:rsidP="00F62F7D">
            <w:r w:rsidRPr="003C326A">
              <w:t>State has been identified as meeting criteria specified by GAO audit on dispute resolution.</w:t>
            </w:r>
          </w:p>
        </w:tc>
        <w:tc>
          <w:tcPr>
            <w:tcW w:w="3420" w:type="dxa"/>
          </w:tcPr>
          <w:p w:rsidR="00C221E9" w:rsidRPr="003C3DE5" w:rsidRDefault="00C221E9" w:rsidP="00F62F7D">
            <w:r w:rsidRPr="000A070F">
              <w:rPr>
                <w:bCs/>
              </w:rPr>
              <w:t>OSEP continues to make information and TA resources available, and provide universal support to all States.</w:t>
            </w:r>
            <w:r>
              <w:rPr>
                <w:bCs/>
              </w:rPr>
              <w:t xml:space="preserve">  </w:t>
            </w:r>
          </w:p>
        </w:tc>
        <w:tc>
          <w:tcPr>
            <w:tcW w:w="2340" w:type="dxa"/>
          </w:tcPr>
          <w:p w:rsidR="00C221E9" w:rsidRPr="003C3DE5" w:rsidRDefault="00242ACA" w:rsidP="00F62F7D">
            <w:r w:rsidRPr="003C326A">
              <w:t>OSEP will provide targeted monitoring and support on improving dispute resolution.</w:t>
            </w:r>
          </w:p>
        </w:tc>
      </w:tr>
    </w:tbl>
    <w:p w:rsidR="00C221E9" w:rsidRDefault="00C221E9" w:rsidP="00CF7DEB">
      <w:pPr>
        <w:rPr>
          <w:b/>
          <w:u w:val="single"/>
        </w:rPr>
      </w:pPr>
    </w:p>
    <w:tbl>
      <w:tblPr>
        <w:tblStyle w:val="TableGrid"/>
        <w:tblW w:w="0" w:type="auto"/>
        <w:tblLook w:val="04A0" w:firstRow="1" w:lastRow="0" w:firstColumn="1" w:lastColumn="0" w:noHBand="0" w:noVBand="1"/>
        <w:tblDescription w:val="SSIP&#10;Designation: Universal&#10;Factors: &#10;Existing/Current Engagement: OSEP continues to make information and TA resources available, and provide universal support to all States.  In addition, the State receives technical assistance from IDC and DaSy.&#10;New Engagement: OSEP will provide universal support.&#10;"/>
      </w:tblPr>
      <w:tblGrid>
        <w:gridCol w:w="1368"/>
        <w:gridCol w:w="3600"/>
        <w:gridCol w:w="3420"/>
        <w:gridCol w:w="2340"/>
      </w:tblGrid>
      <w:tr w:rsidR="00C221E9" w:rsidTr="00CA36C4">
        <w:trPr>
          <w:tblHeader/>
        </w:trPr>
        <w:tc>
          <w:tcPr>
            <w:tcW w:w="10728" w:type="dxa"/>
            <w:gridSpan w:val="4"/>
          </w:tcPr>
          <w:p w:rsidR="00C221E9" w:rsidRPr="00CF7DEB" w:rsidRDefault="00C221E9" w:rsidP="00F62F7D">
            <w:pPr>
              <w:rPr>
                <w:b/>
              </w:rPr>
            </w:pPr>
            <w:r>
              <w:rPr>
                <w:b/>
              </w:rPr>
              <w:t>SSIP</w:t>
            </w:r>
          </w:p>
        </w:tc>
      </w:tr>
      <w:tr w:rsidR="00C221E9" w:rsidTr="00CA36C4">
        <w:trPr>
          <w:tblHeader/>
        </w:trPr>
        <w:tc>
          <w:tcPr>
            <w:tcW w:w="1368" w:type="dxa"/>
          </w:tcPr>
          <w:p w:rsidR="00C221E9" w:rsidRPr="004560DF" w:rsidRDefault="00C221E9" w:rsidP="00F62F7D">
            <w:pPr>
              <w:rPr>
                <w:b/>
              </w:rPr>
            </w:pPr>
            <w:r>
              <w:rPr>
                <w:b/>
              </w:rPr>
              <w:t>Designation</w:t>
            </w:r>
          </w:p>
        </w:tc>
        <w:tc>
          <w:tcPr>
            <w:tcW w:w="3600" w:type="dxa"/>
          </w:tcPr>
          <w:p w:rsidR="00C221E9" w:rsidRPr="004560DF" w:rsidRDefault="00C221E9" w:rsidP="00F60E2D">
            <w:pPr>
              <w:rPr>
                <w:b/>
              </w:rPr>
            </w:pPr>
            <w:r>
              <w:rPr>
                <w:b/>
              </w:rPr>
              <w:t xml:space="preserve">Factors </w:t>
            </w:r>
          </w:p>
        </w:tc>
        <w:tc>
          <w:tcPr>
            <w:tcW w:w="3420" w:type="dxa"/>
          </w:tcPr>
          <w:p w:rsidR="00C221E9" w:rsidRPr="004560DF" w:rsidRDefault="00C221E9" w:rsidP="00F62F7D">
            <w:pPr>
              <w:rPr>
                <w:b/>
              </w:rPr>
            </w:pPr>
            <w:r>
              <w:rPr>
                <w:b/>
              </w:rPr>
              <w:t>Existing/Current  Engagement</w:t>
            </w:r>
          </w:p>
        </w:tc>
        <w:tc>
          <w:tcPr>
            <w:tcW w:w="2340" w:type="dxa"/>
          </w:tcPr>
          <w:p w:rsidR="00C221E9" w:rsidRPr="004560DF" w:rsidRDefault="00C221E9" w:rsidP="00F62F7D">
            <w:pPr>
              <w:rPr>
                <w:b/>
              </w:rPr>
            </w:pPr>
            <w:r>
              <w:rPr>
                <w:b/>
              </w:rPr>
              <w:t>New Engagement</w:t>
            </w:r>
          </w:p>
        </w:tc>
      </w:tr>
      <w:tr w:rsidR="00C221E9" w:rsidTr="00F62F7D">
        <w:tc>
          <w:tcPr>
            <w:tcW w:w="1368" w:type="dxa"/>
          </w:tcPr>
          <w:p w:rsidR="00C221E9" w:rsidRPr="003C3DE5" w:rsidRDefault="00420435" w:rsidP="00F62F7D">
            <w:r>
              <w:t>Universal</w:t>
            </w:r>
          </w:p>
        </w:tc>
        <w:tc>
          <w:tcPr>
            <w:tcW w:w="3600" w:type="dxa"/>
          </w:tcPr>
          <w:p w:rsidR="00C221E9" w:rsidRPr="003C3DE5" w:rsidRDefault="00C221E9" w:rsidP="00420435">
            <w:pPr>
              <w:pStyle w:val="ListParagraph"/>
            </w:pPr>
          </w:p>
        </w:tc>
        <w:tc>
          <w:tcPr>
            <w:tcW w:w="3420" w:type="dxa"/>
          </w:tcPr>
          <w:p w:rsidR="00C221E9" w:rsidRPr="003C3DE5" w:rsidRDefault="00C221E9" w:rsidP="00242ACA">
            <w:r w:rsidRPr="000A070F">
              <w:rPr>
                <w:bCs/>
              </w:rPr>
              <w:t>OSEP continues to make information and TA resources available, and provide universal support to all States.</w:t>
            </w:r>
            <w:r>
              <w:rPr>
                <w:bCs/>
              </w:rPr>
              <w:t xml:space="preserve">  </w:t>
            </w:r>
            <w:r w:rsidR="00420435" w:rsidRPr="00420435">
              <w:rPr>
                <w:bCs/>
              </w:rPr>
              <w:t xml:space="preserve">In addition, the State receives technical assistance from </w:t>
            </w:r>
            <w:r w:rsidR="00242ACA">
              <w:rPr>
                <w:bCs/>
              </w:rPr>
              <w:t>IDC</w:t>
            </w:r>
            <w:r w:rsidR="00420435" w:rsidRPr="00420435">
              <w:rPr>
                <w:bCs/>
              </w:rPr>
              <w:t xml:space="preserve"> and</w:t>
            </w:r>
            <w:r w:rsidR="00242ACA">
              <w:rPr>
                <w:bCs/>
              </w:rPr>
              <w:t xml:space="preserve"> </w:t>
            </w:r>
            <w:r w:rsidR="00420435" w:rsidRPr="00420435">
              <w:rPr>
                <w:bCs/>
              </w:rPr>
              <w:t>DaSy.</w:t>
            </w:r>
          </w:p>
        </w:tc>
        <w:tc>
          <w:tcPr>
            <w:tcW w:w="2340" w:type="dxa"/>
          </w:tcPr>
          <w:p w:rsidR="00C221E9" w:rsidRPr="003C3DE5" w:rsidRDefault="00420435" w:rsidP="00F62F7D">
            <w:r>
              <w:t>OSEP will provide universal support.</w:t>
            </w:r>
          </w:p>
        </w:tc>
      </w:tr>
    </w:tbl>
    <w:p w:rsidR="00C221E9" w:rsidRDefault="00C221E9" w:rsidP="00CF7DEB">
      <w:pPr>
        <w:rPr>
          <w:b/>
          <w:u w:val="single"/>
        </w:rPr>
      </w:pPr>
    </w:p>
    <w:tbl>
      <w:tblPr>
        <w:tblStyle w:val="TableGrid"/>
        <w:tblW w:w="0" w:type="auto"/>
        <w:tblLook w:val="04A0" w:firstRow="1" w:lastRow="0" w:firstColumn="1" w:lastColumn="0" w:noHBand="0" w:noVBand="1"/>
        <w:tblDescription w:val="Correctional Education&#10;Designation: Universal&#10;Factors: &#10;Existing/Current Engagement: OSEP continues to make information and TA resources available, and provide universal support to all States.&#10;New Engagement: OSEP will provide universal support.&#10;"/>
      </w:tblPr>
      <w:tblGrid>
        <w:gridCol w:w="1368"/>
        <w:gridCol w:w="3600"/>
        <w:gridCol w:w="3420"/>
        <w:gridCol w:w="2340"/>
      </w:tblGrid>
      <w:tr w:rsidR="00CF7DEB" w:rsidTr="00CA36C4">
        <w:trPr>
          <w:tblHeader/>
        </w:trPr>
        <w:tc>
          <w:tcPr>
            <w:tcW w:w="10728" w:type="dxa"/>
            <w:gridSpan w:val="4"/>
          </w:tcPr>
          <w:p w:rsidR="00CF7DEB" w:rsidRPr="00CF7DEB" w:rsidRDefault="00C221E9" w:rsidP="001E21BC">
            <w:pPr>
              <w:rPr>
                <w:b/>
              </w:rPr>
            </w:pPr>
            <w:r>
              <w:rPr>
                <w:b/>
              </w:rPr>
              <w:t>Correctional Education</w:t>
            </w:r>
          </w:p>
        </w:tc>
      </w:tr>
      <w:tr w:rsidR="009C31DE" w:rsidTr="00CA36C4">
        <w:trPr>
          <w:tblHeader/>
        </w:trPr>
        <w:tc>
          <w:tcPr>
            <w:tcW w:w="1368" w:type="dxa"/>
          </w:tcPr>
          <w:p w:rsidR="00CF7DEB" w:rsidRPr="004560DF" w:rsidRDefault="00CF7DEB" w:rsidP="001E21BC">
            <w:pPr>
              <w:rPr>
                <w:b/>
              </w:rPr>
            </w:pPr>
            <w:r>
              <w:rPr>
                <w:b/>
              </w:rPr>
              <w:t>Designation</w:t>
            </w:r>
          </w:p>
        </w:tc>
        <w:tc>
          <w:tcPr>
            <w:tcW w:w="3600" w:type="dxa"/>
          </w:tcPr>
          <w:p w:rsidR="00CF7DEB" w:rsidRPr="004560DF" w:rsidRDefault="00CF7DEB" w:rsidP="001E21BC">
            <w:pPr>
              <w:rPr>
                <w:b/>
              </w:rPr>
            </w:pPr>
            <w:r>
              <w:rPr>
                <w:b/>
              </w:rPr>
              <w:t>Factors</w:t>
            </w:r>
          </w:p>
        </w:tc>
        <w:tc>
          <w:tcPr>
            <w:tcW w:w="3420" w:type="dxa"/>
          </w:tcPr>
          <w:p w:rsidR="00CF7DEB" w:rsidRPr="004560DF" w:rsidRDefault="00CF7DEB" w:rsidP="001E21BC">
            <w:pPr>
              <w:rPr>
                <w:b/>
              </w:rPr>
            </w:pPr>
            <w:r>
              <w:rPr>
                <w:b/>
              </w:rPr>
              <w:t>Existing/Current  Engagement</w:t>
            </w:r>
          </w:p>
        </w:tc>
        <w:tc>
          <w:tcPr>
            <w:tcW w:w="2340" w:type="dxa"/>
          </w:tcPr>
          <w:p w:rsidR="00CF7DEB" w:rsidRPr="004560DF" w:rsidRDefault="00CF7DEB" w:rsidP="001E21BC">
            <w:pPr>
              <w:rPr>
                <w:b/>
              </w:rPr>
            </w:pPr>
            <w:r>
              <w:rPr>
                <w:b/>
              </w:rPr>
              <w:t>New Engagement</w:t>
            </w:r>
          </w:p>
        </w:tc>
      </w:tr>
      <w:tr w:rsidR="009C31DE" w:rsidTr="00CF7DEB">
        <w:tc>
          <w:tcPr>
            <w:tcW w:w="1368" w:type="dxa"/>
          </w:tcPr>
          <w:p w:rsidR="00CF7DEB" w:rsidRPr="00536179" w:rsidRDefault="00242ACA" w:rsidP="00E42FF1">
            <w:r>
              <w:t>Universal</w:t>
            </w:r>
          </w:p>
        </w:tc>
        <w:tc>
          <w:tcPr>
            <w:tcW w:w="3600" w:type="dxa"/>
          </w:tcPr>
          <w:p w:rsidR="00D2285A" w:rsidRPr="00536179" w:rsidRDefault="00D2285A" w:rsidP="00536179"/>
        </w:tc>
        <w:tc>
          <w:tcPr>
            <w:tcW w:w="3420" w:type="dxa"/>
          </w:tcPr>
          <w:p w:rsidR="00CF7DEB" w:rsidRPr="00536179" w:rsidRDefault="00C221E9" w:rsidP="00536179">
            <w:r w:rsidRPr="000A070F">
              <w:rPr>
                <w:bCs/>
              </w:rPr>
              <w:t>OSEP continues to make information and TA resources available, and provide universal support to all States.</w:t>
            </w:r>
            <w:r>
              <w:rPr>
                <w:bCs/>
              </w:rPr>
              <w:t xml:space="preserve">  </w:t>
            </w:r>
          </w:p>
        </w:tc>
        <w:tc>
          <w:tcPr>
            <w:tcW w:w="2340" w:type="dxa"/>
          </w:tcPr>
          <w:p w:rsidR="00CF7DEB" w:rsidRPr="00536179" w:rsidRDefault="00242ACA" w:rsidP="00536179">
            <w:r>
              <w:t>OSEP will provide universal support.</w:t>
            </w:r>
          </w:p>
        </w:tc>
      </w:tr>
    </w:tbl>
    <w:p w:rsidR="00242ACA" w:rsidRDefault="00242ACA" w:rsidP="00CF7DEB">
      <w:pPr>
        <w:rPr>
          <w:b/>
        </w:rPr>
      </w:pPr>
    </w:p>
    <w:p w:rsidR="00242ACA" w:rsidRDefault="00242ACA">
      <w:pPr>
        <w:rPr>
          <w:b/>
        </w:rPr>
      </w:pPr>
      <w:r>
        <w:rPr>
          <w:b/>
        </w:rPr>
        <w:br w:type="page"/>
      </w:r>
    </w:p>
    <w:tbl>
      <w:tblPr>
        <w:tblStyle w:val="TableGrid"/>
        <w:tblW w:w="0" w:type="auto"/>
        <w:tblLook w:val="04A0" w:firstRow="1" w:lastRow="0" w:firstColumn="1" w:lastColumn="0" w:noHBand="0" w:noVBand="1"/>
        <w:tblDescription w:val="Fiscal&#10;Designation: Intensive&#10;Factors: &#10; • Size of award&#10; • MFS &#10; • Unresolved fiscal monitoring findings&#10;Existing/Current Engagement: OSEP continues to make information and TA resources available, and provide universal support to all States.  OSEP has provided TA on MFS and unresolved fiscal findings&#10;New Engagement: OSEP will provide intensive monitoring and support using protocols on LEA allocations and fiscal monitoring.&#10;"/>
      </w:tblPr>
      <w:tblGrid>
        <w:gridCol w:w="1368"/>
        <w:gridCol w:w="3600"/>
        <w:gridCol w:w="3420"/>
        <w:gridCol w:w="2340"/>
      </w:tblGrid>
      <w:tr w:rsidR="00CF7DEB" w:rsidTr="00CA36C4">
        <w:trPr>
          <w:tblHeader/>
        </w:trPr>
        <w:tc>
          <w:tcPr>
            <w:tcW w:w="10728" w:type="dxa"/>
            <w:gridSpan w:val="4"/>
          </w:tcPr>
          <w:p w:rsidR="00CF7DEB" w:rsidRDefault="00CF7DEB" w:rsidP="001E21BC">
            <w:pPr>
              <w:rPr>
                <w:b/>
              </w:rPr>
            </w:pPr>
            <w:r>
              <w:rPr>
                <w:b/>
              </w:rPr>
              <w:lastRenderedPageBreak/>
              <w:t>Fiscal</w:t>
            </w:r>
          </w:p>
        </w:tc>
      </w:tr>
      <w:tr w:rsidR="009239CC" w:rsidTr="00CA36C4">
        <w:trPr>
          <w:tblHeader/>
        </w:trPr>
        <w:tc>
          <w:tcPr>
            <w:tcW w:w="1368" w:type="dxa"/>
          </w:tcPr>
          <w:p w:rsidR="00CF7DEB" w:rsidRPr="004560DF" w:rsidRDefault="00CF7DEB" w:rsidP="001E21BC">
            <w:pPr>
              <w:rPr>
                <w:b/>
              </w:rPr>
            </w:pPr>
            <w:r>
              <w:rPr>
                <w:b/>
              </w:rPr>
              <w:t>Designation</w:t>
            </w:r>
          </w:p>
        </w:tc>
        <w:tc>
          <w:tcPr>
            <w:tcW w:w="3600" w:type="dxa"/>
          </w:tcPr>
          <w:p w:rsidR="00CF7DEB" w:rsidRPr="004560DF" w:rsidRDefault="00CF7DEB" w:rsidP="001E21BC">
            <w:pPr>
              <w:rPr>
                <w:b/>
              </w:rPr>
            </w:pPr>
            <w:r>
              <w:rPr>
                <w:b/>
              </w:rPr>
              <w:t>Factors</w:t>
            </w:r>
          </w:p>
        </w:tc>
        <w:tc>
          <w:tcPr>
            <w:tcW w:w="3420" w:type="dxa"/>
          </w:tcPr>
          <w:p w:rsidR="00CF7DEB" w:rsidRPr="004560DF" w:rsidRDefault="00CF7DEB" w:rsidP="001E21BC">
            <w:pPr>
              <w:rPr>
                <w:b/>
              </w:rPr>
            </w:pPr>
            <w:r>
              <w:rPr>
                <w:b/>
              </w:rPr>
              <w:t>Existing/Current  Engagement</w:t>
            </w:r>
          </w:p>
        </w:tc>
        <w:tc>
          <w:tcPr>
            <w:tcW w:w="2340" w:type="dxa"/>
          </w:tcPr>
          <w:p w:rsidR="00CF7DEB" w:rsidRPr="004560DF" w:rsidRDefault="00CF7DEB" w:rsidP="001E21BC">
            <w:pPr>
              <w:rPr>
                <w:b/>
              </w:rPr>
            </w:pPr>
            <w:r>
              <w:rPr>
                <w:b/>
              </w:rPr>
              <w:t>New Engagement</w:t>
            </w:r>
          </w:p>
        </w:tc>
      </w:tr>
      <w:tr w:rsidR="009239CC" w:rsidTr="00CF7DEB">
        <w:tc>
          <w:tcPr>
            <w:tcW w:w="1368" w:type="dxa"/>
          </w:tcPr>
          <w:p w:rsidR="00064787" w:rsidRPr="001A7537" w:rsidRDefault="009D405A" w:rsidP="00E42FF1">
            <w:r>
              <w:t>Intensive</w:t>
            </w:r>
          </w:p>
        </w:tc>
        <w:tc>
          <w:tcPr>
            <w:tcW w:w="3600" w:type="dxa"/>
          </w:tcPr>
          <w:p w:rsidR="009D405A" w:rsidRPr="00242ACA" w:rsidRDefault="009D405A" w:rsidP="00242ACA">
            <w:pPr>
              <w:pStyle w:val="ListParagraph"/>
              <w:numPr>
                <w:ilvl w:val="0"/>
                <w:numId w:val="5"/>
              </w:numPr>
              <w:rPr>
                <w:rFonts w:ascii="Calibri" w:hAnsi="Calibri"/>
                <w:color w:val="000000"/>
              </w:rPr>
            </w:pPr>
            <w:r w:rsidRPr="00242ACA">
              <w:rPr>
                <w:rFonts w:ascii="Calibri" w:hAnsi="Calibri"/>
                <w:color w:val="000000"/>
              </w:rPr>
              <w:t>Size of award</w:t>
            </w:r>
          </w:p>
          <w:p w:rsidR="009D405A" w:rsidRPr="00242ACA" w:rsidRDefault="009D405A" w:rsidP="00242ACA">
            <w:pPr>
              <w:pStyle w:val="ListParagraph"/>
              <w:numPr>
                <w:ilvl w:val="0"/>
                <w:numId w:val="5"/>
              </w:numPr>
              <w:rPr>
                <w:rFonts w:ascii="Calibri" w:hAnsi="Calibri"/>
                <w:color w:val="000000"/>
              </w:rPr>
            </w:pPr>
            <w:r w:rsidRPr="00242ACA">
              <w:rPr>
                <w:rFonts w:ascii="Calibri" w:hAnsi="Calibri"/>
                <w:color w:val="000000"/>
              </w:rPr>
              <w:t xml:space="preserve">MFS </w:t>
            </w:r>
          </w:p>
          <w:p w:rsidR="009D405A" w:rsidRPr="00242ACA" w:rsidRDefault="009D405A" w:rsidP="00242ACA">
            <w:pPr>
              <w:pStyle w:val="ListParagraph"/>
              <w:numPr>
                <w:ilvl w:val="0"/>
                <w:numId w:val="5"/>
              </w:numPr>
              <w:rPr>
                <w:rFonts w:ascii="Calibri" w:hAnsi="Calibri"/>
                <w:color w:val="000000"/>
              </w:rPr>
            </w:pPr>
            <w:r w:rsidRPr="00242ACA">
              <w:rPr>
                <w:rFonts w:ascii="Calibri" w:hAnsi="Calibri"/>
                <w:color w:val="000000"/>
              </w:rPr>
              <w:t>Unresolved fiscal monitoring findings</w:t>
            </w:r>
          </w:p>
          <w:p w:rsidR="00064787" w:rsidRPr="004560DF" w:rsidRDefault="00064787" w:rsidP="001A7537"/>
        </w:tc>
        <w:tc>
          <w:tcPr>
            <w:tcW w:w="3420" w:type="dxa"/>
          </w:tcPr>
          <w:p w:rsidR="00064787" w:rsidRPr="001A7537" w:rsidRDefault="0048677D" w:rsidP="00C221E9">
            <w:r w:rsidRPr="000A070F">
              <w:rPr>
                <w:bCs/>
              </w:rPr>
              <w:t>OSEP continues to make information and TA resources available, and provide universal support to all States.</w:t>
            </w:r>
            <w:r>
              <w:rPr>
                <w:bCs/>
              </w:rPr>
              <w:t xml:space="preserve">  </w:t>
            </w:r>
            <w:r w:rsidR="009D405A">
              <w:rPr>
                <w:bCs/>
              </w:rPr>
              <w:t>OSEP has provide</w:t>
            </w:r>
            <w:r w:rsidR="0093587B">
              <w:rPr>
                <w:bCs/>
              </w:rPr>
              <w:t>d</w:t>
            </w:r>
            <w:r w:rsidR="009D405A">
              <w:rPr>
                <w:bCs/>
              </w:rPr>
              <w:t xml:space="preserve"> TA on MFS and unresolved fiscal findings</w:t>
            </w:r>
          </w:p>
        </w:tc>
        <w:tc>
          <w:tcPr>
            <w:tcW w:w="2340" w:type="dxa"/>
          </w:tcPr>
          <w:p w:rsidR="00064787" w:rsidRPr="001A7537" w:rsidRDefault="009D405A" w:rsidP="001A7537">
            <w:pPr>
              <w:tabs>
                <w:tab w:val="left" w:pos="2178"/>
              </w:tabs>
            </w:pPr>
            <w:r>
              <w:t>OSEP will provide intensive monitoring and support using protocols on LEA allocations and fiscal monitoring.</w:t>
            </w:r>
          </w:p>
        </w:tc>
      </w:tr>
    </w:tbl>
    <w:p w:rsidR="00212581" w:rsidRDefault="00212581" w:rsidP="00CF7DEB">
      <w:pPr>
        <w:rPr>
          <w:b/>
          <w:u w:val="single"/>
        </w:rPr>
      </w:pPr>
    </w:p>
    <w:p w:rsidR="00353CA0" w:rsidRDefault="00353CA0" w:rsidP="00CF7DEB">
      <w:pPr>
        <w:rPr>
          <w:b/>
          <w:u w:val="single"/>
        </w:rPr>
      </w:pPr>
    </w:p>
    <w:sectPr w:rsidR="00353CA0" w:rsidSect="00CF7DEB">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F13" w:rsidRDefault="00605F13" w:rsidP="00C257DE">
      <w:pPr>
        <w:spacing w:after="0" w:line="240" w:lineRule="auto"/>
      </w:pPr>
      <w:r>
        <w:separator/>
      </w:r>
    </w:p>
  </w:endnote>
  <w:endnote w:type="continuationSeparator" w:id="0">
    <w:p w:rsidR="00605F13" w:rsidRDefault="00605F13" w:rsidP="00C2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F13" w:rsidRDefault="00605F13" w:rsidP="00C257DE">
      <w:pPr>
        <w:spacing w:after="0" w:line="240" w:lineRule="auto"/>
      </w:pPr>
      <w:r>
        <w:separator/>
      </w:r>
    </w:p>
  </w:footnote>
  <w:footnote w:type="continuationSeparator" w:id="0">
    <w:p w:rsidR="00605F13" w:rsidRDefault="00605F13" w:rsidP="00C257DE">
      <w:pPr>
        <w:spacing w:after="0" w:line="240" w:lineRule="auto"/>
      </w:pPr>
      <w:r>
        <w:continuationSeparator/>
      </w:r>
    </w:p>
  </w:footnote>
  <w:footnote w:id="1">
    <w:p w:rsidR="00183A1E" w:rsidRDefault="00183A1E">
      <w:pPr>
        <w:pStyle w:val="FootnoteText"/>
      </w:pPr>
      <w:r>
        <w:rPr>
          <w:rStyle w:val="FootnoteReference"/>
        </w:rPr>
        <w:footnoteRef/>
      </w:r>
      <w:r>
        <w:t xml:space="preserve"> </w:t>
      </w:r>
      <w:proofErr w:type="spellStart"/>
      <w:r>
        <w:t>EDFacts</w:t>
      </w:r>
      <w:proofErr w:type="spellEnd"/>
      <w:r>
        <w:t xml:space="preserve"> Consolidated State Performance Report</w:t>
      </w:r>
      <w:r w:rsidR="00C534A8">
        <w:t xml:space="preserve"> 2013-2014</w:t>
      </w:r>
      <w:r>
        <w:t>: (1</w:t>
      </w:r>
      <w:proofErr w:type="gramStart"/>
      <w:r>
        <w:t>)The</w:t>
      </w:r>
      <w:proofErr w:type="gramEnd"/>
      <w:r>
        <w:t xml:space="preserve"> total number of children with disabilities who were served in a local juvenile corrections or juvenile detention program.  (2) The number of students in a local education agency juvenile corrections or detention facility who obtained a high school diploma or GED</w:t>
      </w:r>
      <w:r w:rsidR="00C534A8">
        <w:t xml:space="preserve"> – In Facility</w:t>
      </w:r>
      <w:r>
        <w:t>.</w:t>
      </w:r>
      <w:r>
        <w:br/>
      </w:r>
    </w:p>
  </w:footnote>
  <w:footnote w:id="2">
    <w:p w:rsidR="00353CA0" w:rsidRDefault="00353CA0" w:rsidP="00C534A8">
      <w:r>
        <w:rPr>
          <w:rStyle w:val="FootnoteReference"/>
        </w:rPr>
        <w:footnoteRef/>
      </w:r>
      <w:r>
        <w:t xml:space="preserve"> </w:t>
      </w:r>
      <w:r w:rsidR="00183A1E" w:rsidRPr="00C534A8">
        <w:rPr>
          <w:sz w:val="20"/>
          <w:szCs w:val="20"/>
        </w:rPr>
        <w:t>Civil Rights Data</w:t>
      </w:r>
      <w:r w:rsidR="00C534A8">
        <w:rPr>
          <w:sz w:val="20"/>
          <w:szCs w:val="20"/>
        </w:rPr>
        <w:t xml:space="preserve"> 2013-2014</w:t>
      </w:r>
      <w:r w:rsidR="00183A1E" w:rsidRPr="00C534A8">
        <w:rPr>
          <w:sz w:val="20"/>
          <w:szCs w:val="20"/>
        </w:rPr>
        <w:t xml:space="preserve">: </w:t>
      </w:r>
      <w:r w:rsidR="00183A1E">
        <w:rPr>
          <w:sz w:val="20"/>
          <w:szCs w:val="20"/>
        </w:rPr>
        <w:t>The t</w:t>
      </w:r>
      <w:r w:rsidR="00183A1E" w:rsidRPr="00C534A8">
        <w:rPr>
          <w:sz w:val="20"/>
          <w:szCs w:val="20"/>
        </w:rPr>
        <w:t>otal number of hours per year that educational program is offered during the regular school year in a juvenile justice or detention facility.</w:t>
      </w:r>
    </w:p>
  </w:footnote>
  <w:footnote w:id="3">
    <w:p w:rsidR="00C537E9" w:rsidRPr="00C534A8" w:rsidRDefault="00C537E9" w:rsidP="00C534A8">
      <w:pPr>
        <w:rPr>
          <w:sz w:val="20"/>
          <w:szCs w:val="20"/>
        </w:rPr>
      </w:pPr>
      <w:r>
        <w:rPr>
          <w:rStyle w:val="FootnoteReference"/>
        </w:rPr>
        <w:footnoteRef/>
      </w:r>
      <w:r w:rsidR="009327F8">
        <w:rPr>
          <w:sz w:val="20"/>
          <w:szCs w:val="20"/>
        </w:rPr>
        <w:t xml:space="preserve"> </w:t>
      </w:r>
      <w:r w:rsidRPr="00C534A8">
        <w:rPr>
          <w:sz w:val="20"/>
          <w:szCs w:val="20"/>
        </w:rPr>
        <w:t>618 Data</w:t>
      </w:r>
      <w:r w:rsidR="00C534A8">
        <w:rPr>
          <w:sz w:val="20"/>
          <w:szCs w:val="20"/>
        </w:rPr>
        <w:t xml:space="preserve"> 2013-2014</w:t>
      </w:r>
      <w:r w:rsidRPr="00C534A8">
        <w:rPr>
          <w:sz w:val="20"/>
          <w:szCs w:val="20"/>
        </w:rPr>
        <w:t xml:space="preserve">: (1) </w:t>
      </w:r>
      <w:proofErr w:type="gramStart"/>
      <w:r w:rsidRPr="00C534A8">
        <w:rPr>
          <w:sz w:val="20"/>
          <w:szCs w:val="20"/>
        </w:rPr>
        <w:t>The</w:t>
      </w:r>
      <w:proofErr w:type="gramEnd"/>
      <w:r w:rsidRPr="00C534A8">
        <w:rPr>
          <w:sz w:val="20"/>
          <w:szCs w:val="20"/>
        </w:rPr>
        <w:t xml:space="preserve"> percentage of students with disabilities in a State that dropped out of school.  (2) The percentage of students with disabilities who were suspended or expelled from school within a State.</w:t>
      </w:r>
    </w:p>
  </w:footnote>
  <w:footnote w:id="4">
    <w:p w:rsidR="00C5339D" w:rsidRDefault="00C5339D" w:rsidP="00C5339D">
      <w:pPr>
        <w:pStyle w:val="FootnoteText"/>
      </w:pPr>
      <w:r>
        <w:rPr>
          <w:rStyle w:val="FootnoteReference"/>
        </w:rPr>
        <w:footnoteRef/>
      </w:r>
      <w:r>
        <w:t xml:space="preserve"> Factors are only listed if a State has been designated as targeted or intensive in a particular area.</w:t>
      </w:r>
    </w:p>
    <w:p w:rsidR="00C5339D" w:rsidRDefault="00C5339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2CD"/>
    <w:multiLevelType w:val="hybridMultilevel"/>
    <w:tmpl w:val="DC925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4932AF"/>
    <w:multiLevelType w:val="hybridMultilevel"/>
    <w:tmpl w:val="386C0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165458"/>
    <w:multiLevelType w:val="hybridMultilevel"/>
    <w:tmpl w:val="0B02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11579"/>
    <w:multiLevelType w:val="hybridMultilevel"/>
    <w:tmpl w:val="5576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93EF9"/>
    <w:multiLevelType w:val="hybridMultilevel"/>
    <w:tmpl w:val="6324F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F300FE"/>
    <w:multiLevelType w:val="hybridMultilevel"/>
    <w:tmpl w:val="29FE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EB"/>
    <w:rsid w:val="00026C73"/>
    <w:rsid w:val="0002735B"/>
    <w:rsid w:val="00046C1F"/>
    <w:rsid w:val="00053999"/>
    <w:rsid w:val="00055D1E"/>
    <w:rsid w:val="00064787"/>
    <w:rsid w:val="00093E05"/>
    <w:rsid w:val="000A070F"/>
    <w:rsid w:val="000A5C38"/>
    <w:rsid w:val="001663CE"/>
    <w:rsid w:val="00183A1E"/>
    <w:rsid w:val="001A7537"/>
    <w:rsid w:val="001E6EFD"/>
    <w:rsid w:val="001E71BD"/>
    <w:rsid w:val="00212581"/>
    <w:rsid w:val="00242ACA"/>
    <w:rsid w:val="0024625D"/>
    <w:rsid w:val="002A23C6"/>
    <w:rsid w:val="002B5317"/>
    <w:rsid w:val="002F3FCB"/>
    <w:rsid w:val="002F77DE"/>
    <w:rsid w:val="003235F6"/>
    <w:rsid w:val="00340A8E"/>
    <w:rsid w:val="00353CA0"/>
    <w:rsid w:val="00375F98"/>
    <w:rsid w:val="0038236A"/>
    <w:rsid w:val="003A4A96"/>
    <w:rsid w:val="003C3DE5"/>
    <w:rsid w:val="003E5FEC"/>
    <w:rsid w:val="003F1942"/>
    <w:rsid w:val="00420435"/>
    <w:rsid w:val="0048677D"/>
    <w:rsid w:val="005324AA"/>
    <w:rsid w:val="0053576C"/>
    <w:rsid w:val="00536179"/>
    <w:rsid w:val="0054280B"/>
    <w:rsid w:val="005B34F2"/>
    <w:rsid w:val="005C06DF"/>
    <w:rsid w:val="005D2576"/>
    <w:rsid w:val="005F5D23"/>
    <w:rsid w:val="00605F13"/>
    <w:rsid w:val="00610467"/>
    <w:rsid w:val="00622D59"/>
    <w:rsid w:val="00642C32"/>
    <w:rsid w:val="006440E7"/>
    <w:rsid w:val="00680903"/>
    <w:rsid w:val="006B4194"/>
    <w:rsid w:val="006D5831"/>
    <w:rsid w:val="006F3FE9"/>
    <w:rsid w:val="007005F5"/>
    <w:rsid w:val="00721B72"/>
    <w:rsid w:val="00731018"/>
    <w:rsid w:val="00750B73"/>
    <w:rsid w:val="00766D02"/>
    <w:rsid w:val="007C514D"/>
    <w:rsid w:val="007E7E84"/>
    <w:rsid w:val="00845A9F"/>
    <w:rsid w:val="008C20DA"/>
    <w:rsid w:val="008F2854"/>
    <w:rsid w:val="008F6D7F"/>
    <w:rsid w:val="00920813"/>
    <w:rsid w:val="009239CC"/>
    <w:rsid w:val="009327F8"/>
    <w:rsid w:val="0093587B"/>
    <w:rsid w:val="00967F00"/>
    <w:rsid w:val="00976BE5"/>
    <w:rsid w:val="009B4F48"/>
    <w:rsid w:val="009C31DE"/>
    <w:rsid w:val="009D405A"/>
    <w:rsid w:val="00A050FB"/>
    <w:rsid w:val="00A6020C"/>
    <w:rsid w:val="00A80193"/>
    <w:rsid w:val="00AE285F"/>
    <w:rsid w:val="00AF73E2"/>
    <w:rsid w:val="00B41CF7"/>
    <w:rsid w:val="00BD4249"/>
    <w:rsid w:val="00C221E9"/>
    <w:rsid w:val="00C23792"/>
    <w:rsid w:val="00C257DE"/>
    <w:rsid w:val="00C5339D"/>
    <w:rsid w:val="00C534A8"/>
    <w:rsid w:val="00C537E9"/>
    <w:rsid w:val="00CA36C4"/>
    <w:rsid w:val="00CE3D33"/>
    <w:rsid w:val="00CF7DEB"/>
    <w:rsid w:val="00D2285A"/>
    <w:rsid w:val="00DD1354"/>
    <w:rsid w:val="00DF2CC8"/>
    <w:rsid w:val="00E42FF1"/>
    <w:rsid w:val="00F55D9E"/>
    <w:rsid w:val="00F60E2D"/>
    <w:rsid w:val="00FC7C5D"/>
    <w:rsid w:val="00FE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D80CA-41B9-4C3D-902E-D8BE9DA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DEB"/>
    <w:pPr>
      <w:ind w:left="720"/>
      <w:contextualSpacing/>
    </w:pPr>
  </w:style>
  <w:style w:type="character" w:styleId="CommentReference">
    <w:name w:val="annotation reference"/>
    <w:basedOn w:val="DefaultParagraphFont"/>
    <w:uiPriority w:val="99"/>
    <w:semiHidden/>
    <w:unhideWhenUsed/>
    <w:rsid w:val="00CF7DEB"/>
    <w:rPr>
      <w:sz w:val="16"/>
      <w:szCs w:val="16"/>
    </w:rPr>
  </w:style>
  <w:style w:type="paragraph" w:styleId="CommentText">
    <w:name w:val="annotation text"/>
    <w:basedOn w:val="Normal"/>
    <w:link w:val="CommentTextChar"/>
    <w:uiPriority w:val="99"/>
    <w:semiHidden/>
    <w:unhideWhenUsed/>
    <w:rsid w:val="00CF7DEB"/>
    <w:pPr>
      <w:spacing w:line="240" w:lineRule="auto"/>
    </w:pPr>
    <w:rPr>
      <w:sz w:val="20"/>
      <w:szCs w:val="20"/>
    </w:rPr>
  </w:style>
  <w:style w:type="character" w:customStyle="1" w:styleId="CommentTextChar">
    <w:name w:val="Comment Text Char"/>
    <w:basedOn w:val="DefaultParagraphFont"/>
    <w:link w:val="CommentText"/>
    <w:uiPriority w:val="99"/>
    <w:semiHidden/>
    <w:rsid w:val="00CF7DEB"/>
    <w:rPr>
      <w:sz w:val="20"/>
      <w:szCs w:val="20"/>
    </w:rPr>
  </w:style>
  <w:style w:type="paragraph" w:styleId="BalloonText">
    <w:name w:val="Balloon Text"/>
    <w:basedOn w:val="Normal"/>
    <w:link w:val="BalloonTextChar"/>
    <w:uiPriority w:val="99"/>
    <w:semiHidden/>
    <w:unhideWhenUsed/>
    <w:rsid w:val="00CF7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DE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C7C5D"/>
    <w:rPr>
      <w:b/>
      <w:bCs/>
    </w:rPr>
  </w:style>
  <w:style w:type="character" w:customStyle="1" w:styleId="CommentSubjectChar">
    <w:name w:val="Comment Subject Char"/>
    <w:basedOn w:val="CommentTextChar"/>
    <w:link w:val="CommentSubject"/>
    <w:uiPriority w:val="99"/>
    <w:semiHidden/>
    <w:rsid w:val="00FC7C5D"/>
    <w:rPr>
      <w:b/>
      <w:bCs/>
      <w:sz w:val="20"/>
      <w:szCs w:val="20"/>
    </w:rPr>
  </w:style>
  <w:style w:type="paragraph" w:styleId="FootnoteText">
    <w:name w:val="footnote text"/>
    <w:basedOn w:val="Normal"/>
    <w:link w:val="FootnoteTextChar"/>
    <w:uiPriority w:val="99"/>
    <w:semiHidden/>
    <w:unhideWhenUsed/>
    <w:rsid w:val="00C257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7DE"/>
    <w:rPr>
      <w:sz w:val="20"/>
      <w:szCs w:val="20"/>
    </w:rPr>
  </w:style>
  <w:style w:type="character" w:styleId="FootnoteReference">
    <w:name w:val="footnote reference"/>
    <w:basedOn w:val="DefaultParagraphFont"/>
    <w:uiPriority w:val="99"/>
    <w:semiHidden/>
    <w:unhideWhenUsed/>
    <w:rsid w:val="00C257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99468">
      <w:bodyDiv w:val="1"/>
      <w:marLeft w:val="0"/>
      <w:marRight w:val="0"/>
      <w:marTop w:val="0"/>
      <w:marBottom w:val="0"/>
      <w:divBdr>
        <w:top w:val="none" w:sz="0" w:space="0" w:color="auto"/>
        <w:left w:val="none" w:sz="0" w:space="0" w:color="auto"/>
        <w:bottom w:val="none" w:sz="0" w:space="0" w:color="auto"/>
        <w:right w:val="none" w:sz="0" w:space="0" w:color="auto"/>
      </w:divBdr>
    </w:div>
    <w:div w:id="12343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DESE-231-44978</_dlc_DocId>
    <_dlc_DocIdUrl xmlns="733efe1c-5bbe-4968-87dc-d400e65c879f">
      <Url>https://sharepoint.doemass.org/ese/webteam/cps/_layouts/DocIdRedir.aspx?ID=DESE-231-44978</Url>
      <Description>DESE-231-44978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31CF-EC11-4EEA-BC27-F7D46E012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CBE84-32B6-430A-9549-BBD46E35F6EA}">
  <ds:schemaRefs>
    <ds:schemaRef ds:uri="http://schemas.microsoft.com/sharepoint/events"/>
  </ds:schemaRefs>
</ds:datastoreItem>
</file>

<file path=customXml/itemProps3.xml><?xml version="1.0" encoding="utf-8"?>
<ds:datastoreItem xmlns:ds="http://schemas.openxmlformats.org/officeDocument/2006/customXml" ds:itemID="{1650FDCF-8755-4178-9965-AABD465B2D17}">
  <ds:schemaRefs>
    <ds:schemaRef ds:uri="http://schemas.microsoft.com/sharepoint/v3/contenttype/forms"/>
  </ds:schemaRefs>
</ds:datastoreItem>
</file>

<file path=customXml/itemProps4.xml><?xml version="1.0" encoding="utf-8"?>
<ds:datastoreItem xmlns:ds="http://schemas.openxmlformats.org/officeDocument/2006/customXml" ds:itemID="{F64E53F6-8AF5-468D-AE58-3D0793B8F81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28129DF-CA15-436E-A875-BDDF1DEB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654</Words>
  <Characters>3942</Characters>
  <Application>Microsoft Office Word</Application>
  <DocSecurity>0</DocSecurity>
  <Lines>131</Lines>
  <Paragraphs>57</Paragraphs>
  <ScaleCrop>false</ScaleCrop>
  <HeadingPairs>
    <vt:vector size="2" baseType="variant">
      <vt:variant>
        <vt:lpstr>Title</vt:lpstr>
      </vt:variant>
      <vt:variant>
        <vt:i4>1</vt:i4>
      </vt:variant>
    </vt:vector>
  </HeadingPairs>
  <TitlesOfParts>
    <vt:vector size="1" baseType="lpstr">
      <vt:lpstr>DM-chart-MA-B-2016-17</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2016 (2016-2017) Differentiated Monitoring and Support Engagement Decisions: Massachusetts</dc:title>
  <dc:creator>DESE</dc:creator>
  <cp:lastModifiedBy>Zou, Dong (EOE)</cp:lastModifiedBy>
  <cp:revision>12</cp:revision>
  <dcterms:created xsi:type="dcterms:W3CDTF">2016-10-11T14:09:00Z</dcterms:created>
  <dcterms:modified xsi:type="dcterms:W3CDTF">2018-09-14T20:20:00Z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2018</vt:lpwstr>
  </property>
</Properties>
</file>