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31E56" w14:textId="77777777" w:rsidR="007B35BE" w:rsidRPr="001071FD" w:rsidRDefault="007B35BE" w:rsidP="0033429D">
      <w:pPr>
        <w:autoSpaceDE w:val="0"/>
        <w:autoSpaceDN w:val="0"/>
        <w:adjustRightInd w:val="0"/>
        <w:spacing w:before="180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B</w:t>
      </w:r>
    </w:p>
    <w:p w14:paraId="775F9C1C" w14:textId="77777777" w:rsidR="007B35BE" w:rsidRPr="001071FD" w:rsidRDefault="007B35BE" w:rsidP="007B35BE">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14:paraId="29F4DA54" w14:textId="77777777" w:rsidR="007B35BE" w:rsidRPr="001071FD" w:rsidRDefault="007B35BE" w:rsidP="007B35BE">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Pr="001071FD">
        <w:rPr>
          <w:rFonts w:cs="Arial"/>
          <w:b/>
          <w:bCs/>
          <w:color w:val="000000" w:themeColor="text1"/>
          <w:sz w:val="28"/>
          <w:szCs w:val="28"/>
        </w:rPr>
        <w:t>FFY 2019</w:t>
      </w:r>
    </w:p>
    <w:p w14:paraId="3168A19B" w14:textId="77777777" w:rsidR="007B35BE" w:rsidRPr="001071FD" w:rsidRDefault="007B35BE" w:rsidP="007B35BE">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Massachusetts</w:t>
      </w:r>
    </w:p>
    <w:p w14:paraId="160C9007" w14:textId="77777777" w:rsidR="007B35BE" w:rsidRPr="005C29F8" w:rsidRDefault="007B35BE" w:rsidP="007B35BE">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77777777" w:rsidR="007B35BE" w:rsidRPr="005C29F8" w:rsidRDefault="007B35BE" w:rsidP="007B35BE">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B DUE </w:t>
      </w:r>
      <w:r>
        <w:rPr>
          <w:rFonts w:cs="Arial"/>
          <w:b/>
          <w:bCs/>
          <w:color w:val="000000" w:themeColor="text1"/>
          <w:sz w:val="24"/>
          <w:szCs w:val="24"/>
        </w:rPr>
        <w:br/>
      </w:r>
      <w:r w:rsidRPr="005C29F8">
        <w:rPr>
          <w:rFonts w:cs="Arial"/>
          <w:b/>
          <w:bCs/>
          <w:color w:val="000000" w:themeColor="text1"/>
          <w:sz w:val="24"/>
          <w:szCs w:val="24"/>
        </w:rPr>
        <w:t xml:space="preserve">February </w:t>
      </w:r>
      <w:r>
        <w:rPr>
          <w:rFonts w:cs="Arial"/>
          <w:b/>
          <w:bCs/>
          <w:color w:val="000000" w:themeColor="text1"/>
          <w:sz w:val="24"/>
          <w:szCs w:val="24"/>
        </w:rPr>
        <w:t>1</w:t>
      </w:r>
      <w:r w:rsidRPr="005C29F8">
        <w:rPr>
          <w:rFonts w:cs="Arial"/>
          <w:b/>
          <w:bCs/>
          <w:color w:val="000000" w:themeColor="text1"/>
          <w:sz w:val="24"/>
          <w:szCs w:val="24"/>
        </w:rPr>
        <w:t xml:space="preserve">, </w:t>
      </w:r>
      <w:r>
        <w:rPr>
          <w:rFonts w:cs="Arial"/>
          <w:b/>
          <w:bCs/>
          <w:color w:val="000000" w:themeColor="text1"/>
          <w:sz w:val="24"/>
          <w:szCs w:val="24"/>
        </w:rPr>
        <w:t>2021</w:t>
      </w:r>
    </w:p>
    <w:p w14:paraId="00155D5B" w14:textId="77777777" w:rsidR="007B35BE" w:rsidRPr="005C29F8" w:rsidRDefault="007B35BE" w:rsidP="007B35BE">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4EAB0E73" w14:textId="660D4F64" w:rsidR="007B35BE" w:rsidRDefault="007B35BE" w:rsidP="007B35BE">
      <w:pPr>
        <w:jc w:val="center"/>
        <w:rPr>
          <w:rFonts w:cs="Arial"/>
          <w:b/>
          <w:bCs/>
          <w:color w:val="000000" w:themeColor="text1"/>
          <w:sz w:val="18"/>
          <w:szCs w:val="18"/>
        </w:rPr>
      </w:pPr>
      <w:r w:rsidRPr="005C29F8">
        <w:rPr>
          <w:rFonts w:cs="Arial"/>
          <w:b/>
          <w:bCs/>
          <w:color w:val="000000" w:themeColor="text1"/>
          <w:sz w:val="18"/>
          <w:szCs w:val="18"/>
        </w:rPr>
        <w:t>WASHINGTON, DC 20202</w:t>
      </w:r>
    </w:p>
    <w:p w14:paraId="27ABABDC" w14:textId="7FECEC69" w:rsidR="00AB39FB" w:rsidRDefault="00AB39FB">
      <w:pPr>
        <w:spacing w:before="0" w:after="200" w:line="276" w:lineRule="auto"/>
        <w:rPr>
          <w:rFonts w:cs="Arial"/>
          <w:b/>
          <w:bCs/>
          <w:color w:val="000000" w:themeColor="text1"/>
          <w:sz w:val="18"/>
          <w:szCs w:val="18"/>
        </w:rPr>
      </w:pPr>
      <w:r>
        <w:rPr>
          <w:rFonts w:cs="Arial"/>
          <w:b/>
          <w:bCs/>
          <w:color w:val="000000" w:themeColor="text1"/>
          <w:sz w:val="18"/>
          <w:szCs w:val="18"/>
        </w:rPr>
        <w:br w:type="page"/>
      </w:r>
    </w:p>
    <w:p w14:paraId="3F368203" w14:textId="77777777" w:rsidR="00AB39FB" w:rsidRPr="005C29F8" w:rsidRDefault="00AB39FB" w:rsidP="007B35BE">
      <w:pPr>
        <w:jc w:val="center"/>
        <w:rPr>
          <w:rFonts w:cs="Arial"/>
          <w:b/>
          <w:bCs/>
          <w:color w:val="000000" w:themeColor="text1"/>
          <w:sz w:val="18"/>
          <w:szCs w:val="18"/>
        </w:rPr>
      </w:pPr>
    </w:p>
    <w:p w14:paraId="0E7D29A1" w14:textId="2C077CCB" w:rsidR="00AF5649" w:rsidRPr="005C29F8" w:rsidRDefault="00AF5649" w:rsidP="007D435F">
      <w:pPr>
        <w:pStyle w:val="Heading1"/>
        <w:rPr>
          <w:rFonts w:cs="Arial"/>
          <w:color w:val="000000" w:themeColor="text1"/>
          <w:szCs w:val="20"/>
        </w:rPr>
      </w:pPr>
      <w:r w:rsidRPr="005C29F8">
        <w:rPr>
          <w:rFonts w:cs="Arial"/>
          <w:color w:val="000000" w:themeColor="text1"/>
          <w:szCs w:val="20"/>
        </w:rPr>
        <w:t>Introduction</w:t>
      </w:r>
    </w:p>
    <w:p w14:paraId="5B9171B6" w14:textId="1B94FDAA" w:rsidR="007742F1" w:rsidRPr="005C29F8" w:rsidRDefault="007742F1" w:rsidP="00A018D4">
      <w:pPr>
        <w:rPr>
          <w:rFonts w:asciiTheme="majorHAnsi" w:hAnsiTheme="majorHAnsi"/>
          <w:color w:val="000000" w:themeColor="text1"/>
          <w:sz w:val="20"/>
          <w:szCs w:val="20"/>
        </w:rPr>
      </w:pPr>
      <w:r w:rsidRPr="005C29F8">
        <w:rPr>
          <w:b/>
          <w:color w:val="000000" w:themeColor="text1"/>
          <w:sz w:val="20"/>
          <w:szCs w:val="20"/>
        </w:rPr>
        <w:t>Instructions</w:t>
      </w:r>
    </w:p>
    <w:p w14:paraId="696881EF" w14:textId="783B44AF" w:rsidR="00AA4DAF" w:rsidRPr="005C29F8" w:rsidRDefault="00AA4DAF" w:rsidP="00A84FF8">
      <w:pPr>
        <w:rPr>
          <w:rFonts w:cs="Arial"/>
          <w:color w:val="000000" w:themeColor="text1"/>
          <w:szCs w:val="16"/>
        </w:rPr>
      </w:pPr>
      <w:r w:rsidRPr="005C29F8">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33429D" w:rsidRDefault="00684B51" w:rsidP="008645AD">
      <w:pPr>
        <w:pStyle w:val="Heading2"/>
      </w:pPr>
      <w:r w:rsidRPr="0033429D">
        <w:t xml:space="preserve">Intro - </w:t>
      </w:r>
      <w:r w:rsidR="007742F1" w:rsidRPr="0033429D">
        <w:t>Indicator Data</w:t>
      </w:r>
    </w:p>
    <w:p w14:paraId="72B2C3E7" w14:textId="767D9111" w:rsidR="00AF5649" w:rsidRPr="005C29F8" w:rsidRDefault="00AF5649" w:rsidP="004369B2">
      <w:pPr>
        <w:rPr>
          <w:color w:val="000000" w:themeColor="text1"/>
        </w:rPr>
      </w:pPr>
      <w:r w:rsidRPr="005C29F8">
        <w:rPr>
          <w:b/>
          <w:color w:val="000000" w:themeColor="text1"/>
        </w:rPr>
        <w:t>Executive Summary</w:t>
      </w:r>
    </w:p>
    <w:p w14:paraId="04B2974F" w14:textId="0DF01750" w:rsidR="000C24C2" w:rsidRPr="005C29F8" w:rsidRDefault="002B7490" w:rsidP="00AF5649">
      <w:pPr>
        <w:rPr>
          <w:rFonts w:cs="Arial"/>
          <w:color w:val="000000" w:themeColor="text1"/>
          <w:szCs w:val="16"/>
        </w:rPr>
      </w:pPr>
      <w:r w:rsidRPr="005C29F8">
        <w:rPr>
          <w:rFonts w:cs="Arial"/>
          <w:color w:val="000000" w:themeColor="text1"/>
          <w:szCs w:val="16"/>
        </w:rPr>
        <w:t>Massachusetts Department of Elementary and Secondary Education (MA DESE) is pleased to make available the Massachusetts IDEA Part B FFY 2019 State Performance Plan/Annual Performance Report (MA SPP/APR). Throughout the Indicator reporting, MA DESE continues to pursue high targets in order to reflect our Commonwealth's commitment to high-performance expectations for our students with disabilities and the communities in which they live and go to school. Due to the COVID-19 pandemic, on March 15, 2020, Governor Baker issued an Order (https://www.mass.gov/news/baker-polito-administration-announces-emergency-actions-to-address-covid-19) requiring all public and private elementary and secondary (K-12) schools in the Commonwealth, excluding residential and day schools for students with disabilities, to suspend normal, in-person instruction and other educational operations from March 17 through April 6, 2020. Subsequently, Governor Baker issued an Order (https://www.mass.gov/news/baker-polito-administration-announces-emergency-actions-to-address-covid-19) extending the closure of K-12 schools and private day schools in the Commonwealth for normal, in-person instruction through the end of the school year or June 29, 2020. Throughout the spring and summer of 2020, MA DESE issued guidance to assist schools and districts in meeting the needs of their students within the requirements of federal and state special education laws that prescribe timelines and procedures for action. Further, on July 9, 2020, MA DESE issued Comprehensive Special Education Guidance for the 2020-2021 School Year, which emphasizes that students with disabilities, particularly preschool-age students and those with significant and complex needs, should be prioritized for in-person instruction during the 2020-2021 school year. MA DESE also required school districts to prepare blueprints for both remote learning and a hybrid school model (a combination of in-person and remote learning). Ongoing and additional technical assistance and guidance related to the COVID 19 pandemic for special education can be found at this link: https://www.doe.mass.edu/covid19/sped.html. MA DESE welcomes suggestions, feedback, and other public comment.</w:t>
      </w:r>
    </w:p>
    <w:p w14:paraId="223A8781" w14:textId="77777777" w:rsidR="00757D21" w:rsidRPr="002536C1" w:rsidRDefault="00757D21" w:rsidP="002536C1">
      <w:pPr>
        <w:rPr>
          <w:b/>
          <w:bCs/>
        </w:rPr>
      </w:pPr>
      <w:r w:rsidRPr="002536C1">
        <w:rPr>
          <w:b/>
          <w:bCs/>
        </w:rPr>
        <w:t>Additional information related to data collection and reporting</w:t>
      </w:r>
    </w:p>
    <w:p w14:paraId="614EAC72" w14:textId="596641E7" w:rsidR="00757D21" w:rsidRDefault="00757D21">
      <w:pPr>
        <w:rPr>
          <w:b/>
          <w:color w:val="000000" w:themeColor="text1"/>
        </w:rPr>
      </w:pPr>
      <w:r w:rsidRPr="005C29F8">
        <w:rPr>
          <w:color w:val="000000" w:themeColor="text1"/>
        </w:rPr>
        <w:t xml:space="preserve">MA DESE response to the COVID 19 Pandemic </w:t>
      </w:r>
      <w:r w:rsidRPr="005C29F8">
        <w:rPr>
          <w:color w:val="000000" w:themeColor="text1"/>
        </w:rPr>
        <w:br/>
        <w:t xml:space="preserve">On March 17, 2020, all elementary and secondary public and private schools in the Commonwealth, excluding residential and day schools for students with disabilities, were ordered to cease in-person instruction, as part of the statewide plan to combat the COVID-19 pandemic and rapidly reduce the transmission of the novel coronavirus. This suspension of in-person instruction was later expanded to include day and residential schools for students with disabilities and extended to last through the end of the 2019-20 school year or June 29, 2020. The school closure impacted MA DESE's ability to collect data for Indicators 3, 11, 12, 13, as noted in individual indicator reports. Further, MA DESE's data demonstrates some slippage for indicators 7, 12, 14, 15. It seems reasonable to infer that programming adjustments due to COVID-19 during the latter part of the 2019-20 school year -- providing services to students remotely when buildings were closed -- may have had an impact on overall student and child outcomes for FFY 2019.  </w:t>
      </w:r>
      <w:r w:rsidRPr="005C29F8">
        <w:rPr>
          <w:color w:val="000000" w:themeColor="text1"/>
        </w:rPr>
        <w:br/>
        <w:t>MA DESE, in collaboration with various stakeholders, supported schools and districts by issuing extensive guidance for schools and district including providing resources and links to support general and special educators; comprehensive special education guidance; advisories for COVID-19 compensatory services; advisories for preschool inclusionary programs; and guidance and supports for serving English learners with disabilities. In addition, MA DESE provided ongoing webinars for local special education staff. Finally, MA DESE created resources for families of students with disabilities. A webpage for all MA DESE guidance and resources related to the COVID 19 pandemic can be found here: https://www.doe.mass.edu/covid19/sped.html.</w:t>
      </w:r>
    </w:p>
    <w:p w14:paraId="4ADBDC7F" w14:textId="2CA8C307" w:rsidR="00C01339" w:rsidRPr="005C29F8" w:rsidRDefault="00AF5649">
      <w:pPr>
        <w:rPr>
          <w:b/>
          <w:color w:val="000000" w:themeColor="text1"/>
        </w:rPr>
      </w:pPr>
      <w:r w:rsidRPr="005C29F8">
        <w:rPr>
          <w:b/>
          <w:color w:val="000000" w:themeColor="text1"/>
        </w:rPr>
        <w:t xml:space="preserve">Number of Districts in your State/Territory during reporting year </w:t>
      </w:r>
    </w:p>
    <w:p w14:paraId="36C38539" w14:textId="1E194795" w:rsidR="00AF5649" w:rsidRPr="005C29F8" w:rsidRDefault="002B7490" w:rsidP="004369B2">
      <w:pPr>
        <w:rPr>
          <w:color w:val="000000" w:themeColor="text1"/>
        </w:rPr>
      </w:pPr>
      <w:r w:rsidRPr="005C29F8">
        <w:rPr>
          <w:color w:val="000000" w:themeColor="text1"/>
        </w:rPr>
        <w:t>403</w:t>
      </w:r>
    </w:p>
    <w:p w14:paraId="785B8E3E" w14:textId="4519B26B" w:rsidR="00AF5649" w:rsidRPr="005C29F8" w:rsidRDefault="00AF5649" w:rsidP="004369B2">
      <w:pPr>
        <w:rPr>
          <w:color w:val="000000" w:themeColor="text1"/>
        </w:rPr>
      </w:pPr>
      <w:r w:rsidRPr="005C29F8">
        <w:rPr>
          <w:b/>
          <w:color w:val="000000" w:themeColor="text1"/>
        </w:rPr>
        <w:t>General Supervision System</w:t>
      </w:r>
    </w:p>
    <w:p w14:paraId="6B6CEAB0" w14:textId="77777777" w:rsidR="00AF5649" w:rsidRPr="005C29F8" w:rsidRDefault="00AF5649" w:rsidP="00AF5649">
      <w:pPr>
        <w:rPr>
          <w:rFonts w:cs="Arial"/>
          <w:b/>
          <w:color w:val="000000" w:themeColor="text1"/>
          <w:szCs w:val="16"/>
        </w:rPr>
      </w:pPr>
      <w:r w:rsidRPr="005C29F8">
        <w:rPr>
          <w:rFonts w:cs="Arial"/>
          <w:b/>
          <w:color w:val="000000" w:themeColor="text1"/>
          <w:szCs w:val="16"/>
        </w:rPr>
        <w:t>The systems that are in place to ensure that IDEA Part B requirements are met, e.g., monitoring, dispute resolution, etc.</w:t>
      </w:r>
    </w:p>
    <w:p w14:paraId="7941FC2D" w14:textId="30866F75" w:rsidR="000C24C2" w:rsidRPr="005C29F8" w:rsidRDefault="002B7490" w:rsidP="00AF5649">
      <w:pPr>
        <w:rPr>
          <w:rFonts w:cs="Arial"/>
          <w:color w:val="000000" w:themeColor="text1"/>
          <w:szCs w:val="16"/>
        </w:rPr>
      </w:pPr>
      <w:r w:rsidRPr="005C29F8">
        <w:rPr>
          <w:rFonts w:cs="Arial"/>
          <w:color w:val="000000" w:themeColor="text1"/>
          <w:szCs w:val="16"/>
        </w:rPr>
        <w:t>MA DESE has an integrated system of general supervision consisting of eight key components that are aligned to ensure that IDEA Part B requirements are met:</w:t>
      </w:r>
      <w:r w:rsidRPr="005C29F8">
        <w:rPr>
          <w:rFonts w:cs="Arial"/>
          <w:color w:val="000000" w:themeColor="text1"/>
          <w:szCs w:val="16"/>
        </w:rPr>
        <w:br/>
        <w:t>•</w:t>
      </w:r>
      <w:r w:rsidRPr="005C29F8">
        <w:rPr>
          <w:rFonts w:cs="Arial"/>
          <w:color w:val="000000" w:themeColor="text1"/>
          <w:szCs w:val="16"/>
        </w:rPr>
        <w:tab/>
        <w:t xml:space="preserve">State Performance Plan (https://www.doe.mass.edu/sped/spp/maspp.html); </w:t>
      </w:r>
      <w:r w:rsidRPr="005C29F8">
        <w:rPr>
          <w:rFonts w:cs="Arial"/>
          <w:color w:val="000000" w:themeColor="text1"/>
          <w:szCs w:val="16"/>
        </w:rPr>
        <w:br/>
        <w:t>•</w:t>
      </w:r>
      <w:r w:rsidRPr="005C29F8">
        <w:rPr>
          <w:rFonts w:cs="Arial"/>
          <w:color w:val="000000" w:themeColor="text1"/>
          <w:szCs w:val="16"/>
        </w:rPr>
        <w:tab/>
        <w:t xml:space="preserve">Policies, Procedures and Effective Implementation (https://www.doe.mass.edu/sped/policy.html); </w:t>
      </w:r>
      <w:r w:rsidRPr="005C29F8">
        <w:rPr>
          <w:rFonts w:cs="Arial"/>
          <w:color w:val="000000" w:themeColor="text1"/>
          <w:szCs w:val="16"/>
        </w:rPr>
        <w:br/>
        <w:t>• Integrated Monitoring Activities (https://www.doe.mass.edu/sped/cc.html);</w:t>
      </w:r>
      <w:r w:rsidRPr="005C29F8">
        <w:rPr>
          <w:rFonts w:cs="Arial"/>
          <w:color w:val="000000" w:themeColor="text1"/>
          <w:szCs w:val="16"/>
        </w:rPr>
        <w:br/>
        <w:t>•</w:t>
      </w:r>
      <w:r w:rsidRPr="005C29F8">
        <w:rPr>
          <w:rFonts w:cs="Arial"/>
          <w:color w:val="000000" w:themeColor="text1"/>
          <w:szCs w:val="16"/>
        </w:rPr>
        <w:tab/>
        <w:t xml:space="preserve">Fiscal Management (https://www.doe.mass.edu/federalgrants/idea/); </w:t>
      </w:r>
      <w:r w:rsidRPr="005C29F8">
        <w:rPr>
          <w:rFonts w:cs="Arial"/>
          <w:color w:val="000000" w:themeColor="text1"/>
          <w:szCs w:val="16"/>
        </w:rPr>
        <w:br/>
        <w:t>•</w:t>
      </w:r>
      <w:r w:rsidRPr="005C29F8">
        <w:rPr>
          <w:rFonts w:cs="Arial"/>
          <w:color w:val="000000" w:themeColor="text1"/>
          <w:szCs w:val="16"/>
        </w:rPr>
        <w:tab/>
        <w:t xml:space="preserve">Data on Processes and Results (https://www.doe.mass.edu/DataAccountability.html); </w:t>
      </w:r>
      <w:r w:rsidRPr="005C29F8">
        <w:rPr>
          <w:rFonts w:cs="Arial"/>
          <w:color w:val="000000" w:themeColor="text1"/>
          <w:szCs w:val="16"/>
        </w:rPr>
        <w:br/>
        <w:t>• Improvement, Correction, Incentives and Sanctions (https://www.doe.mass.edu/sped/osep/determinations.html);</w:t>
      </w:r>
      <w:r w:rsidRPr="005C29F8">
        <w:rPr>
          <w:rFonts w:cs="Arial"/>
          <w:color w:val="000000" w:themeColor="text1"/>
          <w:szCs w:val="16"/>
        </w:rPr>
        <w:br/>
        <w:t>• Effective Dispute Resolution (https://www.doe.mass.edu/prs/); and</w:t>
      </w:r>
      <w:r w:rsidRPr="005C29F8">
        <w:rPr>
          <w:rFonts w:cs="Arial"/>
          <w:color w:val="000000" w:themeColor="text1"/>
          <w:szCs w:val="16"/>
        </w:rPr>
        <w:br/>
        <w:t>• Targeted Technical Assistance and Professional Development (https://www.doe.mass.edu/sped/ta.html).</w:t>
      </w:r>
    </w:p>
    <w:p w14:paraId="26D57A13" w14:textId="05DE836C" w:rsidR="00AF5649" w:rsidRPr="005C29F8" w:rsidRDefault="00AF5649" w:rsidP="004369B2">
      <w:pPr>
        <w:rPr>
          <w:color w:val="000000" w:themeColor="text1"/>
        </w:rPr>
      </w:pPr>
      <w:r w:rsidRPr="005C29F8">
        <w:rPr>
          <w:b/>
          <w:color w:val="000000" w:themeColor="text1"/>
        </w:rPr>
        <w:t>Technical Assistance System</w:t>
      </w:r>
    </w:p>
    <w:p w14:paraId="66B8EA84" w14:textId="2BA80156" w:rsidR="00AF5649" w:rsidRPr="005C29F8" w:rsidRDefault="00AF5649" w:rsidP="00AF5649">
      <w:pPr>
        <w:rPr>
          <w:rFonts w:cs="Arial"/>
          <w:b/>
          <w:color w:val="000000" w:themeColor="text1"/>
          <w:szCs w:val="16"/>
        </w:rPr>
      </w:pPr>
      <w:r w:rsidRPr="005C29F8">
        <w:rPr>
          <w:rFonts w:cs="Arial"/>
          <w:b/>
          <w:color w:val="000000" w:themeColor="text1"/>
          <w:szCs w:val="16"/>
        </w:rPr>
        <w:t>The mechanisms that the State has in place to ensure the timely delivery of high quality, evidenced based technical assistance and support to LEAs.</w:t>
      </w:r>
    </w:p>
    <w:p w14:paraId="46AFA65A" w14:textId="31299B5B" w:rsidR="000C24C2" w:rsidRPr="005C29F8" w:rsidRDefault="002B7490" w:rsidP="007925C6">
      <w:pPr>
        <w:rPr>
          <w:rFonts w:cs="Arial"/>
          <w:color w:val="000000" w:themeColor="text1"/>
          <w:szCs w:val="16"/>
        </w:rPr>
      </w:pPr>
      <w:r w:rsidRPr="005C29F8">
        <w:rPr>
          <w:rFonts w:cs="Arial"/>
          <w:color w:val="000000" w:themeColor="text1"/>
          <w:szCs w:val="16"/>
        </w:rPr>
        <w:t>MA DESE has comprehensive systems of targeted technical assistance (TA) and professional development (PD) that are tied directly to local and statewide needs, which are identified through the SPP/APR data collection and review processes and through the state’s accountability system. Central to this work is the State's framework for district accountability and assistance: http://www.doe.mass.edu/accountability/. The framework creates a coherent structure for linking the state's accountability and assistance activities with LEAs based on their level of need, and provides school and LEA leaders with common indicators and tools for assessing systems and practices, diagnosing challenges, and identifying appropriate interventions. Under the system, Massachusetts adopted accountability categories that define the progress that schools and LEAs are making and the type of support they may receive from MA DESE. LEAs, in turn, are classified within one of the five LEA categories (also referred to as LEA levels).</w:t>
      </w:r>
      <w:r w:rsidRPr="005C29F8">
        <w:rPr>
          <w:rFonts w:cs="Arial"/>
          <w:color w:val="000000" w:themeColor="text1"/>
          <w:szCs w:val="16"/>
        </w:rPr>
        <w:br/>
        <w:t>The Statewide System of Support (SSoS) provides assistance and facilitates improvement planning in schools and districts identified by the accountability system. This includes districts and schools demonstrating performance gaps for students with disabilities. SSoS staff provide direct support in the field for planning and connections to existing resources. Additionally, SSoS convenes educators from across districts to learn from each other in networks, including related to inclusive practices.</w:t>
      </w:r>
      <w:r w:rsidRPr="005C29F8">
        <w:rPr>
          <w:rFonts w:cs="Arial"/>
          <w:color w:val="000000" w:themeColor="text1"/>
          <w:szCs w:val="16"/>
        </w:rPr>
        <w:br/>
        <w:t xml:space="preserve">The MA DESE also provides a coordinated set of guidance documents, technical assistance, and support to LEAs working to improve results for students with IEPs.  Specifically, MA DESE uses special education determinations, SPP/APR indicator data, compliance data, and other achievement </w:t>
      </w:r>
      <w:r w:rsidRPr="005C29F8">
        <w:rPr>
          <w:rFonts w:cs="Arial"/>
          <w:color w:val="000000" w:themeColor="text1"/>
          <w:szCs w:val="16"/>
        </w:rPr>
        <w:lastRenderedPageBreak/>
        <w:t>data to tailor technical assistance (TA) specifically to the needs of LEAs. Conversely, LEAs can and are encouraged to analyze local level data and make requests for technical assistance based on their analyses. Some examples of TA available to all LEAs include Technical Assistance Advisories; Frequently Asked Question (FAQs); webinars on selected special education topics; MA DESE-facilitated Webinars for Special Education Directors and their staff; and compliance monitoring. Finally, for LEAs with specific issues or compliance problems, MA DESE provides direct, one-on-one TA to address the problems and create action plans for improvement. This work is done within all programmatic offices at MA DESE (i.e., SSoS) and in collaboration with other state agencies and national technical assistance and support centers, including the Early Childhood Technical Assistance Center, the IDEA Data Center (IDC), the Center for IDEA Fiscal Reporting (CIFR), the Positive Behavioral Interventions &amp; Support Technical Assistance Center, the Center on the Social and Emotional Foundations for Early Learning, and WestEd's National Center for Systemic Improvement. Further information regarding MA DESE’s general accountability and support system can be found here: http://www.mass.gov/edu/government/departments-and-boards/ese/programs/accountability/. Additional information specific to special education technical assistance, guidance and policy can be found here: http://www.doe.mass.edu/sped/ta.html.</w:t>
      </w:r>
    </w:p>
    <w:p w14:paraId="31C31C58" w14:textId="446483D3" w:rsidR="00AF5649" w:rsidRPr="005C29F8" w:rsidRDefault="00AF5649" w:rsidP="004369B2">
      <w:pPr>
        <w:rPr>
          <w:color w:val="000000" w:themeColor="text1"/>
        </w:rPr>
      </w:pPr>
      <w:r w:rsidRPr="005C29F8">
        <w:rPr>
          <w:b/>
          <w:color w:val="000000" w:themeColor="text1"/>
        </w:rPr>
        <w:t>Professional Development System</w:t>
      </w:r>
    </w:p>
    <w:p w14:paraId="25232CAB" w14:textId="77777777" w:rsidR="00AF5649" w:rsidRPr="005C29F8" w:rsidRDefault="00AF5649" w:rsidP="00AF5649">
      <w:pPr>
        <w:rPr>
          <w:rFonts w:cs="Arial"/>
          <w:b/>
          <w:color w:val="000000" w:themeColor="text1"/>
          <w:szCs w:val="16"/>
        </w:rPr>
      </w:pPr>
      <w:r w:rsidRPr="005C29F8">
        <w:rPr>
          <w:rFonts w:cs="Arial"/>
          <w:b/>
          <w:color w:val="000000" w:themeColor="text1"/>
          <w:szCs w:val="16"/>
        </w:rPr>
        <w:t>The mechanisms the State has in place to ensure that service providers have the skills to effectively provide services that improve results for students with disabilities.</w:t>
      </w:r>
    </w:p>
    <w:p w14:paraId="0B77B8C1" w14:textId="3CE3A35D" w:rsidR="007742F1" w:rsidRPr="005C29F8" w:rsidRDefault="002B7490" w:rsidP="007925C6">
      <w:pPr>
        <w:rPr>
          <w:rFonts w:cs="Arial"/>
          <w:color w:val="000000" w:themeColor="text1"/>
          <w:szCs w:val="16"/>
        </w:rPr>
      </w:pPr>
      <w:r w:rsidRPr="005C29F8">
        <w:rPr>
          <w:rFonts w:cs="Arial"/>
          <w:color w:val="000000" w:themeColor="text1"/>
          <w:szCs w:val="16"/>
        </w:rPr>
        <w:t>Educator Preparation</w:t>
      </w:r>
      <w:r w:rsidRPr="005C29F8">
        <w:rPr>
          <w:rFonts w:cs="Arial"/>
          <w:color w:val="000000" w:themeColor="text1"/>
          <w:szCs w:val="16"/>
        </w:rPr>
        <w:br/>
        <w:t>A core strategy in MA DESE’s Strategic Plan is to promote high quality educator development. By improving the depth and quality of preparation for new teachers, MA DESE intends to narrow the impact gaps between new and experienced teachers, improve retention rates for LEAs, and improve student outcomes, particularly for our most vulnerable and underserved populations — inclusive of low-income students, English learners, students of color, and students with disabilities.</w:t>
      </w:r>
      <w:r w:rsidRPr="005C29F8">
        <w:rPr>
          <w:rFonts w:cs="Arial"/>
          <w:color w:val="000000" w:themeColor="text1"/>
          <w:szCs w:val="16"/>
        </w:rPr>
        <w:br/>
      </w:r>
      <w:r w:rsidRPr="005C29F8">
        <w:rPr>
          <w:rFonts w:cs="Arial"/>
          <w:color w:val="000000" w:themeColor="text1"/>
          <w:szCs w:val="16"/>
        </w:rPr>
        <w:br/>
        <w:t>This objective includes improving the licensure system, and supporting and evaluating educator preparation providers. MA DESE continues to streamline and improve processes for state licensure requirements. MA DESE also maintains and updates the Subject-Matter Knowledge Requirements (SMKs) (http://www.doe.mass.edu/edprep/resources/smk-guidelines.pdf) that define what content educators should know in each license field and that align to the curriculum standards for students as outlined in the Massachusetts Curriculum Frameworks. Massachusetts licensure tests (MTEL) are based on SMKs and the Frameworks, and educator preparation programs rely on SMKs to guide their programming. Based on 2018 and 2019 updates to the SMK Guidelines, both the MTELs and teacher preparation programs are undergoing significant updates to align the assessments and programming to the SMKs.</w:t>
      </w:r>
      <w:r w:rsidRPr="005C29F8">
        <w:rPr>
          <w:rFonts w:cs="Arial"/>
          <w:color w:val="000000" w:themeColor="text1"/>
          <w:szCs w:val="16"/>
        </w:rPr>
        <w:br/>
      </w:r>
      <w:r w:rsidRPr="005C29F8">
        <w:rPr>
          <w:rFonts w:cs="Arial"/>
          <w:color w:val="000000" w:themeColor="text1"/>
          <w:szCs w:val="16"/>
        </w:rPr>
        <w:br/>
        <w:t>Furthermore, MA DESE reviews the quality of programs offered by educator preparation providers. Over multi-year cycles, MA DESE, together with trained evaluators, review and approve sponsoring organizations (including higher education institutions, non-profits, and LEAs) and examine a range of educator preparation program data, including survey data collected from a range of program stakeholders. MA DESE also provides organizations with formative feedback based on the performance data of the candidates they prepare, and shares data tools with educator preparation providers to improve the educational experience of candidates.</w:t>
      </w:r>
      <w:r w:rsidRPr="005C29F8">
        <w:rPr>
          <w:rFonts w:cs="Arial"/>
          <w:color w:val="000000" w:themeColor="text1"/>
          <w:szCs w:val="16"/>
        </w:rPr>
        <w:br/>
      </w:r>
      <w:r w:rsidRPr="005C29F8">
        <w:rPr>
          <w:rFonts w:cs="Arial"/>
          <w:color w:val="000000" w:themeColor="text1"/>
          <w:szCs w:val="16"/>
        </w:rPr>
        <w:br/>
        <w:t>MA DESE is also working to offer resources and professional learning opportunities to enhance educator effectiveness for early-career educators, including resources for pre-service candidates and resources for in-service educators. For example, at the pre-service stage, to complete educator preparation, candidates must demonstrate skills and dispositions reflective of high-quality teaching through the Candidate Assessment of Performance (CAP) (http://www.doe.mass.edu/edprep/cap/) . MA DESE highlights effective practices for Induction and Mentoring based on an annual statewide survey of local education agencies.</w:t>
      </w:r>
      <w:r w:rsidRPr="005C29F8">
        <w:rPr>
          <w:rFonts w:cs="Arial"/>
          <w:color w:val="000000" w:themeColor="text1"/>
          <w:szCs w:val="16"/>
        </w:rPr>
        <w:br/>
      </w:r>
      <w:r w:rsidRPr="005C29F8">
        <w:rPr>
          <w:rFonts w:cs="Arial"/>
          <w:color w:val="000000" w:themeColor="text1"/>
          <w:szCs w:val="16"/>
        </w:rPr>
        <w:br/>
        <w:t>Educator Professional Development</w:t>
      </w:r>
      <w:r w:rsidRPr="005C29F8">
        <w:rPr>
          <w:rFonts w:cs="Arial"/>
          <w:color w:val="000000" w:themeColor="text1"/>
          <w:szCs w:val="16"/>
        </w:rPr>
        <w:br/>
        <w:t>MA DESE is committed to building the cultural responsiveness and diversity of our educator workforce (http://www.doe.mass.edu/instruction/crdw/). We have committed significant resources to support this work. In addition to the efforts and resources to diversify our workforce, we have built out tools to support building the cultural responsiveness of current educators practicing in our K-12 schools and districts.</w:t>
      </w:r>
      <w:r w:rsidRPr="005C29F8">
        <w:rPr>
          <w:rFonts w:cs="Arial"/>
          <w:color w:val="000000" w:themeColor="text1"/>
          <w:szCs w:val="16"/>
        </w:rPr>
        <w:br/>
        <w:t>MA DESE continues to dedicate resources to helping all educators improve their practice through participation in High Quality Professional Development (HQPD) (http://www.doe.mass.edu/pd/default.html). MA DESE defines HQPD as a set of coherent learning experiences that is systematic, purposeful, and structured over a sustained period of time with the goal of improving teacher practice and student outcomes. HQPD enables educators to facilitate the learning of students by acquiring and applying knowledge, skills, and abilities that address student needs and improvement goals of the LEA, school, and individual. HQPD conforms to best practices in research, relates to educators' assignments and professional responsibilities, and aligns to the ten Massachusetts Standards for Professional Development:</w:t>
      </w:r>
      <w:r w:rsidRPr="005C29F8">
        <w:rPr>
          <w:rFonts w:cs="Arial"/>
          <w:color w:val="000000" w:themeColor="text1"/>
          <w:szCs w:val="16"/>
        </w:rPr>
        <w:br/>
        <w:t>1. HQPD has clear goals and objectives relevant to desired student outcomes.</w:t>
      </w:r>
      <w:r w:rsidRPr="005C29F8">
        <w:rPr>
          <w:rFonts w:cs="Arial"/>
          <w:color w:val="000000" w:themeColor="text1"/>
          <w:szCs w:val="16"/>
        </w:rPr>
        <w:br/>
        <w:t>2. HQPD aligns with state, district, school, and/or educator goals or priorities.</w:t>
      </w:r>
      <w:r w:rsidRPr="005C29F8">
        <w:rPr>
          <w:rFonts w:cs="Arial"/>
          <w:color w:val="000000" w:themeColor="text1"/>
          <w:szCs w:val="16"/>
        </w:rPr>
        <w:br/>
        <w:t>3. HQPD is designed based on the analysis of data relevant to the identified goals, objectives, and audience.</w:t>
      </w:r>
      <w:r w:rsidRPr="005C29F8">
        <w:rPr>
          <w:rFonts w:cs="Arial"/>
          <w:color w:val="000000" w:themeColor="text1"/>
          <w:szCs w:val="16"/>
        </w:rPr>
        <w:br/>
        <w:t>4. HQPD is assessed to ensure that it is meeting the targeted goals and objectives.</w:t>
      </w:r>
      <w:r w:rsidRPr="005C29F8">
        <w:rPr>
          <w:rFonts w:cs="Arial"/>
          <w:color w:val="000000" w:themeColor="text1"/>
          <w:szCs w:val="16"/>
        </w:rPr>
        <w:br/>
        <w:t>5. HQPD promotes collaboration among educators to encourage sharing of ideas and working together to achieve the identified goals and objectives.</w:t>
      </w:r>
      <w:r w:rsidRPr="005C29F8">
        <w:rPr>
          <w:rFonts w:cs="Arial"/>
          <w:color w:val="000000" w:themeColor="text1"/>
          <w:szCs w:val="16"/>
        </w:rPr>
        <w:br/>
        <w:t>6. HQPD advances an educator's ability to apply learnings from the professional development to his/her particular content and/or context.</w:t>
      </w:r>
      <w:r w:rsidRPr="005C29F8">
        <w:rPr>
          <w:rFonts w:cs="Arial"/>
          <w:color w:val="000000" w:themeColor="text1"/>
          <w:szCs w:val="16"/>
        </w:rPr>
        <w:br/>
        <w:t>7. HQPD models good pedagogical practice and applies knowledge of adult learning theory to engage educators.</w:t>
      </w:r>
      <w:r w:rsidRPr="005C29F8">
        <w:rPr>
          <w:rFonts w:cs="Arial"/>
          <w:color w:val="000000" w:themeColor="text1"/>
          <w:szCs w:val="16"/>
        </w:rPr>
        <w:br/>
        <w:t>8. HQPD makes use of relevant resources to ensure that the identified goals and objectives are met.</w:t>
      </w:r>
      <w:r w:rsidRPr="005C29F8">
        <w:rPr>
          <w:rFonts w:cs="Arial"/>
          <w:color w:val="000000" w:themeColor="text1"/>
          <w:szCs w:val="16"/>
        </w:rPr>
        <w:br/>
        <w:t>9. HQPD is taught or facilitated by a professional who is knowledgeable about the identified objectives.</w:t>
      </w:r>
      <w:r w:rsidRPr="005C29F8">
        <w:rPr>
          <w:rFonts w:cs="Arial"/>
          <w:color w:val="000000" w:themeColor="text1"/>
          <w:szCs w:val="16"/>
        </w:rPr>
        <w:br/>
        <w:t>10. HQPD sessions connect and build upon each other to provide a coherent and useful learning experience for educators.</w:t>
      </w:r>
      <w:r w:rsidRPr="005C29F8">
        <w:rPr>
          <w:rFonts w:cs="Arial"/>
          <w:color w:val="000000" w:themeColor="text1"/>
          <w:szCs w:val="16"/>
        </w:rPr>
        <w:br/>
      </w:r>
      <w:r w:rsidRPr="005C29F8">
        <w:rPr>
          <w:rFonts w:cs="Arial"/>
          <w:color w:val="000000" w:themeColor="text1"/>
          <w:szCs w:val="16"/>
        </w:rPr>
        <w:br/>
        <w:t xml:space="preserve">All professional development offered by MA DESE and providers approved by the agency to award Professional Development Points (PDPs) must align with the HQPD standards. Through the HQPD registration and approval process, MA DESE assesses the evidence providers submit to demonstrate alignment with the MA Standards for Professional Development for the grade span and specific content area covered by the professional development. MA DESE delivers a wide variety of free HQPD, as exampled in the 2019-20 Center for Instructional Support Program Catalog (http://www.doe.mass.edu/instruction/networks.docx). </w:t>
      </w:r>
      <w:r w:rsidRPr="005C29F8">
        <w:rPr>
          <w:rFonts w:cs="Arial"/>
          <w:color w:val="000000" w:themeColor="text1"/>
          <w:szCs w:val="16"/>
        </w:rPr>
        <w:br/>
      </w:r>
      <w:r w:rsidRPr="005C29F8">
        <w:rPr>
          <w:rFonts w:cs="Arial"/>
          <w:color w:val="000000" w:themeColor="text1"/>
          <w:szCs w:val="16"/>
        </w:rPr>
        <w:br/>
        <w:t xml:space="preserve">MA DESE also supports a HQPD website. This website provides consistent, reliable access to: HQPD Case Studies guidelines and tools (http://www.doe.mass.edu/pd/leaders.html) for educators to use when pursuing professional development; guidelines and HQPD Registry for providers; and resources and tools for local professional development leaders, including connecting HQPD to educator evaluation. </w:t>
      </w:r>
      <w:r w:rsidRPr="005C29F8">
        <w:rPr>
          <w:rFonts w:cs="Arial"/>
          <w:color w:val="000000" w:themeColor="text1"/>
          <w:szCs w:val="16"/>
        </w:rPr>
        <w:br/>
        <w:t>In addition to HQPD, MA DESE supports LEAs in implementing the Educator Evaluation Framework to provide all teachers and administrators, including new and experienced educators, with meaningful feedback to continuously improve their practice and identify areas for additional professional development. MA DESE has recently updated resources to support the effective implementation of the Model System. Most recently, MA DESE has developed and released a professional development tool, OPTIC, that supports Massachusetts educators to refine a shared understanding of effective, standards-aligned instructional practice and high-quality feedback.</w:t>
      </w:r>
    </w:p>
    <w:p w14:paraId="0D25C7E9" w14:textId="5F221B54" w:rsidR="00AF5649" w:rsidRPr="005C29F8" w:rsidRDefault="00AF5649" w:rsidP="004369B2">
      <w:pPr>
        <w:rPr>
          <w:color w:val="000000" w:themeColor="text1"/>
        </w:rPr>
      </w:pPr>
      <w:r w:rsidRPr="005C29F8">
        <w:rPr>
          <w:b/>
          <w:color w:val="000000" w:themeColor="text1"/>
        </w:rPr>
        <w:t>Stakeholder Involvement</w:t>
      </w:r>
    </w:p>
    <w:p w14:paraId="7D72E2AC" w14:textId="47327791" w:rsidR="00AF5649" w:rsidRPr="005C29F8" w:rsidRDefault="00AF5649" w:rsidP="00AF5649">
      <w:pPr>
        <w:rPr>
          <w:rFonts w:cs="Arial"/>
          <w:b/>
          <w:color w:val="000000" w:themeColor="text1"/>
          <w:szCs w:val="16"/>
        </w:rPr>
      </w:pPr>
      <w:r w:rsidRPr="005C29F8">
        <w:rPr>
          <w:rFonts w:cs="Arial"/>
          <w:b/>
          <w:color w:val="000000" w:themeColor="text1"/>
          <w:szCs w:val="16"/>
        </w:rPr>
        <w:lastRenderedPageBreak/>
        <w:t>The mechanism for soliciting broad stakeholder input on targets in the SPP, including revisions to targets.</w:t>
      </w:r>
    </w:p>
    <w:p w14:paraId="7621D9ED" w14:textId="6E2BA22E" w:rsidR="000C24C2" w:rsidRPr="005C29F8" w:rsidRDefault="002B7490" w:rsidP="000C24C2">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159721AE" w14:textId="7E456FC5" w:rsidR="00084FF1" w:rsidRPr="005C29F8" w:rsidRDefault="00084FF1" w:rsidP="000C24C2">
      <w:pPr>
        <w:rPr>
          <w:rFonts w:cs="Arial"/>
          <w:b/>
          <w:color w:val="000000" w:themeColor="text1"/>
          <w:szCs w:val="16"/>
        </w:rPr>
      </w:pPr>
      <w:r w:rsidRPr="005C29F8">
        <w:rPr>
          <w:rFonts w:cs="Arial"/>
          <w:b/>
          <w:color w:val="000000" w:themeColor="text1"/>
          <w:szCs w:val="16"/>
        </w:rPr>
        <w:t>Apply stakeholder involvement from introduction to all Part B results indicators (y/n)</w:t>
      </w:r>
    </w:p>
    <w:p w14:paraId="2E10E7B0" w14:textId="5143F56E" w:rsidR="00FB0D0A" w:rsidRPr="005C29F8" w:rsidRDefault="002B7490" w:rsidP="004369B2">
      <w:pPr>
        <w:rPr>
          <w:color w:val="000000" w:themeColor="text1"/>
        </w:rPr>
      </w:pPr>
      <w:r w:rsidRPr="005C29F8">
        <w:rPr>
          <w:color w:val="000000" w:themeColor="text1"/>
        </w:rPr>
        <w:t>YES</w:t>
      </w:r>
    </w:p>
    <w:p w14:paraId="41976EFD" w14:textId="52C6C218" w:rsidR="00AF5649" w:rsidRPr="005C29F8" w:rsidRDefault="00AF5649" w:rsidP="004369B2">
      <w:pPr>
        <w:rPr>
          <w:color w:val="000000" w:themeColor="text1"/>
        </w:rPr>
      </w:pPr>
      <w:r w:rsidRPr="005C29F8">
        <w:rPr>
          <w:b/>
          <w:color w:val="000000" w:themeColor="text1"/>
        </w:rPr>
        <w:t>Reporting to the Public</w:t>
      </w:r>
    </w:p>
    <w:p w14:paraId="6989C68F" w14:textId="2D6CBF8D" w:rsidR="00AF5649" w:rsidRPr="005C29F8" w:rsidRDefault="00AF5649" w:rsidP="004369B2">
      <w:pPr>
        <w:rPr>
          <w:b/>
          <w:color w:val="000000" w:themeColor="text1"/>
        </w:rPr>
      </w:pPr>
      <w:r w:rsidRPr="005C29F8">
        <w:rPr>
          <w:b/>
          <w:color w:val="000000" w:themeColor="text1"/>
        </w:rPr>
        <w:t xml:space="preserve">How and where the State reported to the public on the FFY18 performance of each LEA located in the State on the targets in the SPP/APR as soon as practicable, but no later than 120 days following the State’s submission of its FFY 2018 APR, as required by 34 CFR §300.602(b)(1)(i)(A); and a description of where, on its Web site, a complete copy of the State’s SPP, including any revision if the State has revised the SPP that it submitted with its FFY </w:t>
      </w:r>
      <w:r w:rsidR="0033239B">
        <w:rPr>
          <w:b/>
          <w:color w:val="000000" w:themeColor="text1"/>
        </w:rPr>
        <w:t>2018</w:t>
      </w:r>
      <w:r w:rsidRPr="005C29F8">
        <w:rPr>
          <w:b/>
          <w:color w:val="000000" w:themeColor="text1"/>
        </w:rPr>
        <w:t xml:space="preserve"> APR in </w:t>
      </w:r>
      <w:r w:rsidR="0033239B">
        <w:rPr>
          <w:b/>
          <w:color w:val="000000" w:themeColor="text1"/>
        </w:rPr>
        <w:t>2020</w:t>
      </w:r>
      <w:r w:rsidRPr="005C29F8">
        <w:rPr>
          <w:b/>
          <w:color w:val="000000" w:themeColor="text1"/>
        </w:rPr>
        <w:t>, is available.</w:t>
      </w:r>
    </w:p>
    <w:p w14:paraId="4B111ECA" w14:textId="48A73890" w:rsidR="000C24C2" w:rsidRPr="005C29F8" w:rsidRDefault="002B7490" w:rsidP="007925C6">
      <w:pPr>
        <w:rPr>
          <w:rFonts w:cs="Arial"/>
          <w:color w:val="000000" w:themeColor="text1"/>
          <w:szCs w:val="16"/>
        </w:rPr>
      </w:pPr>
      <w:r w:rsidRPr="005C29F8">
        <w:rPr>
          <w:rFonts w:cs="Arial"/>
          <w:color w:val="000000" w:themeColor="text1"/>
          <w:szCs w:val="16"/>
        </w:rPr>
        <w:t>Annually, MA DESE makes available the information contained in the state's SPP/APR for review and discussion in a variety of inter- and intra-agency meetings and forums, as well as in communications with external stakeholders and interested parties. This information is the basis for reflection and planning, and provides a longitudinal look at statewide performance in various areas.</w:t>
      </w:r>
      <w:r w:rsidRPr="005C29F8">
        <w:rPr>
          <w:rFonts w:cs="Arial"/>
          <w:color w:val="000000" w:themeColor="text1"/>
          <w:szCs w:val="16"/>
        </w:rPr>
        <w:br/>
      </w:r>
      <w:r w:rsidRPr="005C29F8">
        <w:rPr>
          <w:rFonts w:cs="Arial"/>
          <w:color w:val="000000" w:themeColor="text1"/>
          <w:szCs w:val="16"/>
        </w:rPr>
        <w:br/>
        <w:t>MA DESE has publicly posted a complete copy of the State's FFY18  SPP/APR, and all previously submitted SPP/APRs, as well as OSEP's response to the state's submissions, on its website at: http://www.doe.mass.edu/sped/spp/maspp.html.</w:t>
      </w:r>
      <w:r w:rsidRPr="005C29F8">
        <w:rPr>
          <w:rFonts w:cs="Arial"/>
          <w:color w:val="000000" w:themeColor="text1"/>
          <w:szCs w:val="16"/>
        </w:rPr>
        <w:br/>
      </w:r>
      <w:r w:rsidRPr="005C29F8">
        <w:rPr>
          <w:rFonts w:cs="Arial"/>
          <w:color w:val="000000" w:themeColor="text1"/>
          <w:szCs w:val="16"/>
        </w:rPr>
        <w:br/>
        <w:t>MA DESE also publicly reports annually on LEA results on performance and compliance indicators. Data from FFY18 and for the preceding ten years may be viewed through LEA and school level reports on MA DESE’s website, including the SPP targets for each SPP Indicator: https://profiles.doe.mass.edu/gis/sped_map.aspx?orgcode=04450000&amp;fycode=2019.  FFY19 data will be posted at this location in the Winter/Spring of 2020 when all data reports are available.</w:t>
      </w:r>
      <w:r w:rsidRPr="005C29F8">
        <w:rPr>
          <w:rFonts w:cs="Arial"/>
          <w:color w:val="000000" w:themeColor="text1"/>
          <w:szCs w:val="16"/>
        </w:rPr>
        <w:br/>
      </w:r>
      <w:r w:rsidRPr="005C29F8">
        <w:rPr>
          <w:rFonts w:cs="Arial"/>
          <w:color w:val="000000" w:themeColor="text1"/>
          <w:szCs w:val="16"/>
        </w:rPr>
        <w:br/>
        <w:t>MA DESE is demonstrating in this SPP/APR that it has publicly reported on the performance of each LEA located in the state in meeting the state targets for each SPP/APR Indicator for FFY18:   https://profiles.doe.mass.edu/gis/sped_map.aspx?orgcode=04450000&amp;fycode=2019. Reports may be selected by LEA or school using the alphabetical drop down menu on the top right of the webpage.</w:t>
      </w:r>
      <w:r w:rsidRPr="005C29F8">
        <w:rPr>
          <w:rFonts w:cs="Arial"/>
          <w:color w:val="000000" w:themeColor="text1"/>
          <w:szCs w:val="16"/>
        </w:rPr>
        <w:br/>
      </w:r>
      <w:r w:rsidRPr="005C29F8">
        <w:rPr>
          <w:rFonts w:cs="Arial"/>
          <w:color w:val="000000" w:themeColor="text1"/>
          <w:szCs w:val="16"/>
        </w:rPr>
        <w:br/>
        <w:t>In accordance with 34 CFR § 300.160(d), MA DESE publicly reports data on the participation of students with IEPs in statewide assessments at the state, LEA and school levels. State level information is available on the assessment participation webpage: http://profiles.doe.mass.edu/statereport/participation.aspx. Please copy the link to the browser to access the statewide reports. LEA-level information on the participation of students with IEPs in statewide assessments, with and without accommodations and including students who participate in the MCAS-Alt, may be accessed from the state-level page referenced above by clicking on the LEA name. An example of an LEA-level report is provided here: http://profiles.doe.mass.edu/mcas/participation.aspx?orgtypecode=5&amp;linkid=26&amp;fycode=2019&amp;orgcode=04450000. Reports are selected by school year using the arrow button at the top left of the web page.</w:t>
      </w:r>
      <w:r w:rsidRPr="005C29F8">
        <w:rPr>
          <w:rFonts w:cs="Arial"/>
          <w:color w:val="000000" w:themeColor="text1"/>
          <w:szCs w:val="16"/>
        </w:rPr>
        <w:br/>
      </w:r>
      <w:r w:rsidRPr="005C29F8">
        <w:rPr>
          <w:rFonts w:cs="Arial"/>
          <w:color w:val="000000" w:themeColor="text1"/>
          <w:szCs w:val="16"/>
        </w:rPr>
        <w:br/>
        <w:t>MA DESE publicly reports performance results for students with IEPs who take the MCAS-Alt in a separate state level report found here: http://profiles.doe.mass.edu/statereport/mcas_alt.aspx. Reports may be selected by type (district/school), school year, and subject by using the drop down menu at the top of the page. LEA-level information on MCAS-Alt performance results may be accessed from the state level page referenced above by clicking on the name of the LEA. An example of an LEA level report is provided here: http://profiles.doe.mass.edu/mcas/achievement_alt_level.aspx?linkid=116&amp;orgcode=06000000&amp;orgtypecode=5&amp;fycode=2019. Reports are selected by school year using the arrow button at the top left of the web page.</w:t>
      </w:r>
      <w:r w:rsidRPr="005C29F8">
        <w:rPr>
          <w:rFonts w:cs="Arial"/>
          <w:color w:val="000000" w:themeColor="text1"/>
          <w:szCs w:val="16"/>
        </w:rPr>
        <w:br/>
      </w:r>
      <w:r w:rsidRPr="005C29F8">
        <w:rPr>
          <w:rFonts w:cs="Arial"/>
          <w:color w:val="000000" w:themeColor="text1"/>
          <w:szCs w:val="16"/>
        </w:rPr>
        <w:br/>
        <w:t>MA DESE ensures that it makes available assessment data for students with disabilities with the same frequency and in the same detail as it reports on the assessment of students without disabilities, consistent with 34 CFR 300.160(f). This information is now integrated into the assessment webpages referenced above at: http://profiles.doe.mass.edu/statereport/participation.aspx and http://profiles.doe.mass.edu/statereport/mcas_alt.aspx</w:t>
      </w:r>
      <w:r w:rsidRPr="005C29F8">
        <w:rPr>
          <w:rFonts w:cs="Arial"/>
          <w:color w:val="000000" w:themeColor="text1"/>
          <w:szCs w:val="16"/>
        </w:rPr>
        <w:br/>
      </w:r>
      <w:r w:rsidRPr="005C29F8">
        <w:rPr>
          <w:rFonts w:cs="Arial"/>
          <w:color w:val="000000" w:themeColor="text1"/>
          <w:szCs w:val="16"/>
        </w:rPr>
        <w:br/>
        <w:t>MA DESE reports accountability data at the LEA and school levels: http://www.doe.mass.edu/accountability/.</w:t>
      </w:r>
      <w:r w:rsidRPr="005C29F8">
        <w:rPr>
          <w:rFonts w:cs="Arial"/>
          <w:color w:val="000000" w:themeColor="text1"/>
          <w:szCs w:val="16"/>
        </w:rPr>
        <w:br/>
      </w:r>
      <w:r w:rsidRPr="005C29F8">
        <w:rPr>
          <w:rFonts w:cs="Arial"/>
          <w:color w:val="000000" w:themeColor="text1"/>
          <w:szCs w:val="16"/>
        </w:rPr>
        <w:br/>
        <w:t>MA DESE also makes available information about progress, slippage, and related requirements through meetings with stakeholders and professional organizations, and through regional and statewide interest groups, some of which are facilitated by partner agencies and organizations.</w:t>
      </w:r>
    </w:p>
    <w:p w14:paraId="5231B97D" w14:textId="77777777" w:rsidR="00466646" w:rsidRPr="005C29F8" w:rsidRDefault="00466646" w:rsidP="007925C6">
      <w:pPr>
        <w:rPr>
          <w:rFonts w:cs="Arial"/>
          <w:color w:val="000000" w:themeColor="text1"/>
          <w:szCs w:val="16"/>
        </w:rPr>
      </w:pPr>
    </w:p>
    <w:p w14:paraId="149B9F3D" w14:textId="71D786D9" w:rsidR="00AA4DAF" w:rsidRPr="0033429D" w:rsidRDefault="00684B51" w:rsidP="008645AD">
      <w:pPr>
        <w:pStyle w:val="Heading2"/>
      </w:pPr>
      <w:r w:rsidRPr="0033429D">
        <w:t xml:space="preserve">Intro - </w:t>
      </w:r>
      <w:r w:rsidR="006B0FD9" w:rsidRPr="0033429D">
        <w:t xml:space="preserve">Prior FFY Required </w:t>
      </w:r>
      <w:r w:rsidR="00AA4DAF" w:rsidRPr="0033429D">
        <w:t xml:space="preserve">Actions </w:t>
      </w:r>
    </w:p>
    <w:p w14:paraId="66CEC339" w14:textId="2D6DB901" w:rsidR="000C24C2" w:rsidRPr="005C29F8" w:rsidRDefault="002B7490" w:rsidP="000B4AA4">
      <w:pPr>
        <w:rPr>
          <w:rFonts w:cs="Arial"/>
          <w:color w:val="000000" w:themeColor="text1"/>
          <w:szCs w:val="16"/>
        </w:rPr>
      </w:pPr>
      <w:r w:rsidRPr="005C29F8">
        <w:rPr>
          <w:rFonts w:cs="Arial"/>
          <w:color w:val="000000" w:themeColor="text1"/>
          <w:szCs w:val="16"/>
        </w:rPr>
        <w:t>In the FFY 2019 SPP/APR, the State must report FFY 2019 data for the State-identified Measurable Result (SiMR).  Additionally, the State must, consistent with its evaluation plan described in Phase II, assess and report on its progress in implementing the SSIP.  Specifically, the State must provide: (1) a narrative or graphic representation of the principal activities implemented in Phase III, Year Five; (2) measures and outcomes that were implemented and achieved since the State's last SSIP submission (i.e., April 1, 2020); (3) a summary of the SSIP’s coherent improvement strategies, including infrastructure improvement strategies and evidence-based practices that were implemented and progress toward short-term and long-term outcomes that are intended to impact the SiMR; and (4) any supporting data that demonstrates that implementation of these activities is impacting the State’s capacity to improve its SiMR data.</w:t>
      </w:r>
    </w:p>
    <w:p w14:paraId="6ECA4985" w14:textId="77777777" w:rsidR="008C56EE" w:rsidRPr="005C29F8" w:rsidRDefault="008C56EE" w:rsidP="000B4AA4">
      <w:pPr>
        <w:rPr>
          <w:rFonts w:cs="Arial"/>
          <w:color w:val="000000" w:themeColor="text1"/>
          <w:szCs w:val="16"/>
        </w:rPr>
      </w:pPr>
    </w:p>
    <w:p w14:paraId="615D9F24" w14:textId="3FFD3E4B" w:rsidR="009F764E" w:rsidRPr="005C29F8" w:rsidRDefault="009F764E" w:rsidP="004369B2">
      <w:pPr>
        <w:rPr>
          <w:b/>
          <w:color w:val="000000" w:themeColor="text1"/>
        </w:rPr>
      </w:pPr>
      <w:r w:rsidRPr="005C29F8">
        <w:rPr>
          <w:b/>
          <w:color w:val="000000" w:themeColor="text1"/>
        </w:rPr>
        <w:t>Response to actions required in FFY 2018 SPP/APR</w:t>
      </w:r>
    </w:p>
    <w:p w14:paraId="3302C1DF" w14:textId="2D8F36EA" w:rsidR="000C24C2" w:rsidRPr="005C29F8" w:rsidRDefault="000C24C2" w:rsidP="000E33D0">
      <w:pPr>
        <w:rPr>
          <w:rFonts w:cs="Arial"/>
          <w:color w:val="000000" w:themeColor="text1"/>
          <w:szCs w:val="16"/>
        </w:rPr>
      </w:pPr>
    </w:p>
    <w:p w14:paraId="4A252D01" w14:textId="7879CF0B" w:rsidR="00CE6EB0" w:rsidRPr="0033429D" w:rsidRDefault="00684B51" w:rsidP="008645AD">
      <w:pPr>
        <w:pStyle w:val="Heading2"/>
      </w:pPr>
      <w:r w:rsidRPr="0033429D">
        <w:lastRenderedPageBreak/>
        <w:t xml:space="preserve">Intro - </w:t>
      </w:r>
      <w:r w:rsidR="00CE6EB0" w:rsidRPr="0033429D">
        <w:t>OSEP Response</w:t>
      </w:r>
    </w:p>
    <w:p w14:paraId="75883DD0" w14:textId="26E7A768" w:rsidR="000C24C2" w:rsidRPr="005C29F8" w:rsidRDefault="000C24C2" w:rsidP="001F692C">
      <w:pPr>
        <w:rPr>
          <w:rFonts w:cs="Arial"/>
          <w:color w:val="000000" w:themeColor="text1"/>
          <w:szCs w:val="16"/>
        </w:rPr>
      </w:pPr>
    </w:p>
    <w:p w14:paraId="53B509C2" w14:textId="7458BB00" w:rsidR="00CE6EB0" w:rsidRPr="0033429D" w:rsidRDefault="00684B51" w:rsidP="008645AD">
      <w:pPr>
        <w:pStyle w:val="Heading2"/>
      </w:pPr>
      <w:r w:rsidRPr="0033429D">
        <w:t>Intro - Required Actions</w:t>
      </w:r>
    </w:p>
    <w:p w14:paraId="4593FA49" w14:textId="4CE6B2B1" w:rsidR="000C24C2" w:rsidRPr="005C29F8" w:rsidRDefault="000C24C2" w:rsidP="001F692C">
      <w:pPr>
        <w:rPr>
          <w:rFonts w:cs="Arial"/>
          <w:color w:val="000000" w:themeColor="text1"/>
          <w:szCs w:val="16"/>
        </w:rPr>
      </w:pPr>
    </w:p>
    <w:p w14:paraId="42393C4C" w14:textId="77777777" w:rsidR="00D37BF0" w:rsidRPr="005C29F8" w:rsidRDefault="00D37BF0">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38F1108C" w14:textId="1387D8AF" w:rsidR="00EB0146" w:rsidRPr="005C29F8" w:rsidRDefault="00EB0146" w:rsidP="000444E2">
      <w:pPr>
        <w:pStyle w:val="Heading1"/>
        <w:rPr>
          <w:color w:val="000000" w:themeColor="text1"/>
          <w:sz w:val="22"/>
        </w:rPr>
      </w:pPr>
      <w:r w:rsidRPr="005C29F8">
        <w:rPr>
          <w:color w:val="000000" w:themeColor="text1"/>
          <w:sz w:val="22"/>
        </w:rPr>
        <w:lastRenderedPageBreak/>
        <w:t>Indicator 1: Graduation</w:t>
      </w:r>
      <w:bookmarkEnd w:id="0"/>
      <w:bookmarkEnd w:id="1"/>
    </w:p>
    <w:p w14:paraId="5D906D37" w14:textId="00C8F8B1" w:rsidR="009A62A4" w:rsidRPr="005C29F8" w:rsidRDefault="009A62A4" w:rsidP="00A018D4">
      <w:pPr>
        <w:rPr>
          <w:color w:val="000000" w:themeColor="text1"/>
          <w:szCs w:val="20"/>
        </w:rPr>
      </w:pPr>
      <w:r w:rsidRPr="005C29F8">
        <w:rPr>
          <w:b/>
          <w:color w:val="000000" w:themeColor="text1"/>
          <w:sz w:val="20"/>
          <w:szCs w:val="20"/>
        </w:rPr>
        <w:t>Instructions and Measurement</w:t>
      </w:r>
    </w:p>
    <w:p w14:paraId="13149CC2" w14:textId="77777777" w:rsidR="004B782D" w:rsidRPr="005C29F8" w:rsidRDefault="004B782D" w:rsidP="004369B2">
      <w:pPr>
        <w:rPr>
          <w:color w:val="000000" w:themeColor="text1"/>
        </w:rPr>
      </w:pPr>
      <w:bookmarkStart w:id="2" w:name="_Toc392159259"/>
      <w:r w:rsidRPr="005C29F8">
        <w:rPr>
          <w:b/>
          <w:color w:val="000000" w:themeColor="text1"/>
        </w:rPr>
        <w:t>Monitoring Priority:</w:t>
      </w:r>
      <w:r w:rsidRPr="005C29F8">
        <w:rPr>
          <w:color w:val="000000" w:themeColor="text1"/>
        </w:rPr>
        <w:t xml:space="preserve"> FAPE in the LRE </w:t>
      </w:r>
    </w:p>
    <w:p w14:paraId="18CE8669" w14:textId="2C80A7E8" w:rsidR="00531ED7" w:rsidRPr="005C29F8" w:rsidRDefault="004B782D" w:rsidP="009340E3">
      <w:pPr>
        <w:rPr>
          <w:color w:val="000000" w:themeColor="text1"/>
        </w:rPr>
      </w:pPr>
      <w:r w:rsidRPr="005C29F8">
        <w:rPr>
          <w:b/>
          <w:color w:val="000000" w:themeColor="text1"/>
        </w:rPr>
        <w:t>Results indicator:</w:t>
      </w:r>
      <w:r w:rsidRPr="005C29F8">
        <w:rPr>
          <w:color w:val="000000" w:themeColor="text1"/>
        </w:rPr>
        <w:t xml:space="preserve"> Percent of youth with</w:t>
      </w:r>
      <w:r w:rsidR="005F5514" w:rsidRPr="005C29F8">
        <w:rPr>
          <w:color w:val="000000" w:themeColor="text1"/>
        </w:rPr>
        <w:t xml:space="preserve"> Individualized Education </w:t>
      </w:r>
      <w:r w:rsidR="00DA7FAE" w:rsidRPr="005C29F8">
        <w:rPr>
          <w:color w:val="000000" w:themeColor="text1"/>
        </w:rPr>
        <w:t>Programs</w:t>
      </w:r>
      <w:r w:rsidRPr="005C29F8">
        <w:rPr>
          <w:color w:val="000000" w:themeColor="text1"/>
        </w:rPr>
        <w:t xml:space="preserve"> </w:t>
      </w:r>
      <w:r w:rsidR="005F5514" w:rsidRPr="005C29F8">
        <w:rPr>
          <w:color w:val="000000" w:themeColor="text1"/>
        </w:rPr>
        <w:t>(</w:t>
      </w:r>
      <w:r w:rsidRPr="005C29F8">
        <w:rPr>
          <w:color w:val="000000" w:themeColor="text1"/>
        </w:rPr>
        <w:t>IEPs</w:t>
      </w:r>
      <w:r w:rsidR="005F5514" w:rsidRPr="005C29F8">
        <w:rPr>
          <w:color w:val="000000" w:themeColor="text1"/>
        </w:rPr>
        <w:t>)</w:t>
      </w:r>
      <w:r w:rsidRPr="005C29F8">
        <w:rPr>
          <w:color w:val="000000" w:themeColor="text1"/>
        </w:rPr>
        <w:t xml:space="preserve"> graduating from high school with a regular</w:t>
      </w:r>
      <w:r w:rsidR="005F5514" w:rsidRPr="005C29F8">
        <w:rPr>
          <w:color w:val="000000" w:themeColor="text1"/>
        </w:rPr>
        <w:t xml:space="preserve"> high school diploma</w:t>
      </w:r>
      <w:r w:rsidRPr="005C29F8">
        <w:rPr>
          <w:color w:val="000000" w:themeColor="text1"/>
        </w:rPr>
        <w:t>.</w:t>
      </w:r>
      <w:r w:rsidR="00552927" w:rsidRPr="005C29F8">
        <w:rPr>
          <w:color w:val="000000" w:themeColor="text1"/>
        </w:rPr>
        <w:t xml:space="preserve"> </w:t>
      </w:r>
      <w:r w:rsidRPr="005C29F8">
        <w:rPr>
          <w:color w:val="000000" w:themeColor="text1"/>
        </w:rPr>
        <w:t>(20 U.S.C. 1416 (a)(3)(A))</w:t>
      </w:r>
    </w:p>
    <w:p w14:paraId="6446BBA4" w14:textId="09E75AD8" w:rsidR="005F5514" w:rsidRPr="005C29F8" w:rsidRDefault="00460298" w:rsidP="004369B2">
      <w:pPr>
        <w:rPr>
          <w:rFonts w:cs="Arial"/>
          <w:bCs/>
          <w:color w:val="000000" w:themeColor="text1"/>
          <w:szCs w:val="16"/>
        </w:rPr>
      </w:pPr>
      <w:r w:rsidRPr="005C29F8">
        <w:rPr>
          <w:rFonts w:cs="Arial"/>
          <w:b/>
          <w:bCs/>
          <w:color w:val="000000" w:themeColor="text1"/>
          <w:szCs w:val="16"/>
        </w:rPr>
        <w:t>Data Source</w:t>
      </w:r>
    </w:p>
    <w:p w14:paraId="08997539" w14:textId="1FC57BE5" w:rsidR="005F5514" w:rsidRPr="005C29F8" w:rsidRDefault="00460298" w:rsidP="003A6167">
      <w:pPr>
        <w:rPr>
          <w:rFonts w:cs="Arial"/>
          <w:color w:val="000000" w:themeColor="text1"/>
          <w:szCs w:val="16"/>
        </w:rPr>
      </w:pPr>
      <w:r w:rsidRPr="005C29F8">
        <w:rPr>
          <w:rFonts w:cs="Arial"/>
          <w:color w:val="000000" w:themeColor="text1"/>
          <w:szCs w:val="16"/>
          <w:shd w:val="clear" w:color="auto" w:fill="FFFFFF"/>
        </w:rPr>
        <w:t>Same data as used for reporting to the Department of Education (Department) under Title I of the Elementary and Secondary Education Act (ESEA).</w:t>
      </w:r>
    </w:p>
    <w:p w14:paraId="453C54CF" w14:textId="0B94BC61" w:rsidR="005F5514" w:rsidRPr="005C29F8" w:rsidRDefault="005F5514" w:rsidP="004369B2">
      <w:pPr>
        <w:rPr>
          <w:color w:val="000000" w:themeColor="text1"/>
        </w:rPr>
      </w:pPr>
      <w:r w:rsidRPr="005C29F8">
        <w:rPr>
          <w:b/>
          <w:color w:val="000000" w:themeColor="text1"/>
        </w:rPr>
        <w:t>Measurement</w:t>
      </w:r>
    </w:p>
    <w:p w14:paraId="368E5D32" w14:textId="6D33E40B" w:rsidR="005F5514" w:rsidRPr="005C29F8" w:rsidRDefault="005F5514" w:rsidP="003A6167">
      <w:pPr>
        <w:rPr>
          <w:rFonts w:cs="Arial"/>
          <w:color w:val="000000" w:themeColor="text1"/>
          <w:szCs w:val="16"/>
        </w:rPr>
      </w:pPr>
      <w:r w:rsidRPr="005C29F8">
        <w:rPr>
          <w:rFonts w:cs="Arial"/>
          <w:color w:val="000000" w:themeColor="text1"/>
          <w:szCs w:val="16"/>
          <w:shd w:val="clear" w:color="auto" w:fill="FFFFFF"/>
        </w:rPr>
        <w:t>States may report data for children with disabilities using either the four-year adjusted cohort graduation rate required under the ESEA or an extended-year adjusted cohort graduation rate under the ESEA, if the State has established one.</w:t>
      </w:r>
    </w:p>
    <w:p w14:paraId="3C528AFB" w14:textId="76079BAD" w:rsidR="005F5514" w:rsidRPr="005C29F8" w:rsidRDefault="005F5514" w:rsidP="004369B2">
      <w:pPr>
        <w:rPr>
          <w:color w:val="000000" w:themeColor="text1"/>
        </w:rPr>
      </w:pPr>
      <w:r w:rsidRPr="005C29F8">
        <w:rPr>
          <w:b/>
          <w:color w:val="000000" w:themeColor="text1"/>
        </w:rPr>
        <w:t>Instructions</w:t>
      </w:r>
    </w:p>
    <w:p w14:paraId="675BD796" w14:textId="6D333C0C" w:rsidR="005F5514" w:rsidRPr="005C29F8" w:rsidRDefault="005F5514" w:rsidP="004369B2">
      <w:pPr>
        <w:rPr>
          <w:iCs/>
          <w:color w:val="000000" w:themeColor="text1"/>
        </w:rPr>
      </w:pPr>
      <w:r w:rsidRPr="005C29F8">
        <w:rPr>
          <w:iCs/>
          <w:color w:val="000000" w:themeColor="text1"/>
        </w:rPr>
        <w:t>Sampling is not allowed.</w:t>
      </w:r>
    </w:p>
    <w:p w14:paraId="496A7DDE" w14:textId="794ED478" w:rsidR="005F5514" w:rsidRPr="005C29F8" w:rsidRDefault="005F5514" w:rsidP="003A6167">
      <w:pPr>
        <w:rPr>
          <w:rFonts w:cs="Arial"/>
          <w:color w:val="000000" w:themeColor="text1"/>
          <w:szCs w:val="16"/>
        </w:rPr>
      </w:pPr>
      <w:r w:rsidRPr="005C29F8">
        <w:rPr>
          <w:rFonts w:cs="Arial"/>
          <w:color w:val="000000" w:themeColor="text1"/>
          <w:szCs w:val="16"/>
        </w:rPr>
        <w:t>Describe the results of the State’s examination of the data for the year before the reporting year (e.g., for the FFY 2019 SPP/APR, use data from 2018-2019), and compare the results to the target. Provide the actual numbers used in the calculation.</w:t>
      </w:r>
    </w:p>
    <w:p w14:paraId="156B8877" w14:textId="77777777" w:rsidR="005F5514" w:rsidRPr="005C29F8" w:rsidRDefault="005F5514" w:rsidP="003A6167">
      <w:pPr>
        <w:rPr>
          <w:rFonts w:cs="Arial"/>
          <w:color w:val="000000" w:themeColor="text1"/>
          <w:szCs w:val="16"/>
        </w:rPr>
      </w:pPr>
      <w:r w:rsidRPr="005C29F8">
        <w:rPr>
          <w:rFonts w:cs="Arial"/>
          <w:color w:val="000000" w:themeColor="text1"/>
          <w:szCs w:val="16"/>
        </w:rPr>
        <w:t>Provide a narrative that describes the conditions youth must meet in order to graduate with a regular high school diploma and, if different, the conditions that youth with IEPs must meet in order to graduate with a regular high school diploma. If there is a difference, explain.</w:t>
      </w:r>
    </w:p>
    <w:p w14:paraId="595EF666" w14:textId="77777777" w:rsidR="005F5514" w:rsidRPr="005C29F8" w:rsidRDefault="005F5514" w:rsidP="003A6167">
      <w:pPr>
        <w:rPr>
          <w:rFonts w:cs="Arial"/>
          <w:color w:val="000000" w:themeColor="text1"/>
          <w:szCs w:val="16"/>
        </w:rPr>
      </w:pPr>
      <w:r w:rsidRPr="005C29F8">
        <w:rPr>
          <w:rFonts w:cs="Arial"/>
          <w:color w:val="000000" w:themeColor="text1"/>
          <w:szCs w:val="16"/>
        </w:rPr>
        <w:t>Targets should be the same as the annual graduation rate targets for children with disabilities under Title I of the ESEA.</w:t>
      </w:r>
    </w:p>
    <w:p w14:paraId="2B1F9799" w14:textId="0460FC80" w:rsidR="005F5514" w:rsidRPr="005C29F8" w:rsidRDefault="005F5514" w:rsidP="003A6167">
      <w:pPr>
        <w:rPr>
          <w:rFonts w:cs="Arial"/>
          <w:color w:val="000000" w:themeColor="text1"/>
          <w:szCs w:val="16"/>
        </w:rPr>
      </w:pPr>
      <w:r w:rsidRPr="005C29F8">
        <w:rPr>
          <w:rFonts w:cs="Arial"/>
          <w:color w:val="000000" w:themeColor="text1"/>
          <w:szCs w:val="16"/>
        </w:rPr>
        <w:t>States must continue to report the four-year adjusted cohort graduation rate for all students and disaggregated by student subgroups including the children with disabilities subgroup, as required under section 1111(h)(1)(C)(iii)(II) of the ESEA, on State report cards under Title I of the ESEA even if they only report an extended-year adjusted cohort graduation rate for the purpose of SPP/APR reporting.</w:t>
      </w:r>
    </w:p>
    <w:p w14:paraId="17C36F54" w14:textId="0B0AD4FB" w:rsidR="00B34EE6" w:rsidRPr="0033429D" w:rsidRDefault="00B0742B" w:rsidP="008645AD">
      <w:pPr>
        <w:pStyle w:val="Heading2"/>
      </w:pPr>
      <w:r w:rsidRPr="0033429D">
        <w:t>1</w:t>
      </w:r>
      <w:r w:rsidR="00684B51" w:rsidRPr="0033429D">
        <w:t xml:space="preserve"> </w:t>
      </w:r>
      <w:r w:rsidRPr="0033429D">
        <w:t xml:space="preserve">- </w:t>
      </w:r>
      <w:r w:rsidR="007742F1" w:rsidRPr="0033429D">
        <w:t xml:space="preserve">Indicator </w:t>
      </w:r>
      <w:r w:rsidR="00B34EE6" w:rsidRPr="0033429D">
        <w:t xml:space="preserve">Data </w:t>
      </w:r>
    </w:p>
    <w:bookmarkEnd w:id="2"/>
    <w:p w14:paraId="7BB99CB8" w14:textId="1745E070" w:rsidR="005E59DB" w:rsidRDefault="005E59DB" w:rsidP="00B65C2C">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14:paraId="58873103" w14:textId="77777777" w:rsidTr="0033429D">
        <w:trPr>
          <w:trHeight w:val="311"/>
          <w:tblHeader/>
        </w:trPr>
        <w:tc>
          <w:tcPr>
            <w:tcW w:w="1797" w:type="dxa"/>
          </w:tcPr>
          <w:p w14:paraId="3521E7AE" w14:textId="2CED297B" w:rsidR="008F3F33" w:rsidRDefault="008F3F33" w:rsidP="0033429D">
            <w:pPr>
              <w:jc w:val="center"/>
              <w:rPr>
                <w:b/>
                <w:color w:val="000000" w:themeColor="text1"/>
              </w:rPr>
            </w:pPr>
            <w:r w:rsidRPr="005C29F8">
              <w:rPr>
                <w:rFonts w:cs="Arial"/>
                <w:b/>
                <w:color w:val="000000" w:themeColor="text1"/>
                <w:szCs w:val="16"/>
              </w:rPr>
              <w:t>Baseline Year</w:t>
            </w:r>
          </w:p>
        </w:tc>
        <w:tc>
          <w:tcPr>
            <w:tcW w:w="1798" w:type="dxa"/>
          </w:tcPr>
          <w:p w14:paraId="70C1DEA4" w14:textId="362D12BF" w:rsidR="008F3F33" w:rsidRDefault="008F3F33" w:rsidP="0033429D">
            <w:pPr>
              <w:jc w:val="center"/>
              <w:rPr>
                <w:b/>
                <w:color w:val="000000" w:themeColor="text1"/>
              </w:rPr>
            </w:pPr>
            <w:r>
              <w:rPr>
                <w:b/>
                <w:color w:val="000000" w:themeColor="text1"/>
              </w:rPr>
              <w:t>Baseline Data</w:t>
            </w:r>
          </w:p>
        </w:tc>
      </w:tr>
      <w:tr w:rsidR="008F3F33" w14:paraId="1079C891" w14:textId="77777777" w:rsidTr="0033429D">
        <w:trPr>
          <w:trHeight w:val="311"/>
        </w:trPr>
        <w:tc>
          <w:tcPr>
            <w:tcW w:w="1797" w:type="dxa"/>
            <w:vAlign w:val="center"/>
          </w:tcPr>
          <w:p w14:paraId="55702E9C" w14:textId="3300C91F" w:rsidR="008F3F33" w:rsidRDefault="008F3F33" w:rsidP="0033429D">
            <w:pPr>
              <w:jc w:val="center"/>
              <w:rPr>
                <w:b/>
                <w:color w:val="000000" w:themeColor="text1"/>
              </w:rPr>
            </w:pPr>
            <w:r w:rsidRPr="005C29F8">
              <w:rPr>
                <w:rFonts w:cs="Arial"/>
                <w:color w:val="000000" w:themeColor="text1"/>
                <w:szCs w:val="16"/>
              </w:rPr>
              <w:t>2011</w:t>
            </w:r>
          </w:p>
        </w:tc>
        <w:tc>
          <w:tcPr>
            <w:tcW w:w="1798" w:type="dxa"/>
            <w:vAlign w:val="center"/>
          </w:tcPr>
          <w:p w14:paraId="4BB8ED70" w14:textId="40307D5C" w:rsidR="008F3F33" w:rsidRDefault="008F3F33" w:rsidP="0033429D">
            <w:pPr>
              <w:jc w:val="center"/>
              <w:rPr>
                <w:b/>
                <w:color w:val="000000" w:themeColor="text1"/>
              </w:rPr>
            </w:pPr>
            <w:r w:rsidRPr="005C29F8">
              <w:rPr>
                <w:rFonts w:cs="Arial"/>
                <w:color w:val="000000" w:themeColor="text1"/>
                <w:szCs w:val="16"/>
              </w:rPr>
              <w:t>65.60%</w:t>
            </w:r>
          </w:p>
        </w:tc>
      </w:tr>
    </w:tbl>
    <w:p w14:paraId="04BDDA65" w14:textId="77777777" w:rsidR="008F3F33" w:rsidRPr="005C29F8"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5C29F8" w14:paraId="6EF7C6D0" w14:textId="1CEAEBAE" w:rsidTr="0033429D">
        <w:trPr>
          <w:trHeight w:val="350"/>
        </w:trPr>
        <w:tc>
          <w:tcPr>
            <w:tcW w:w="833" w:type="pct"/>
            <w:tcBorders>
              <w:bottom w:val="single" w:sz="4" w:space="0" w:color="auto"/>
            </w:tcBorders>
            <w:shd w:val="clear" w:color="auto" w:fill="auto"/>
          </w:tcPr>
          <w:p w14:paraId="4483C39A" w14:textId="77777777" w:rsidR="007F24E2" w:rsidRPr="005C29F8" w:rsidRDefault="007F24E2" w:rsidP="00CD2DF5">
            <w:pPr>
              <w:jc w:val="center"/>
              <w:rPr>
                <w:rFonts w:cs="Arial"/>
                <w:b/>
                <w:color w:val="000000" w:themeColor="text1"/>
                <w:szCs w:val="16"/>
              </w:rPr>
            </w:pPr>
            <w:r w:rsidRPr="005C29F8">
              <w:rPr>
                <w:rFonts w:cs="Arial"/>
                <w:b/>
                <w:color w:val="000000" w:themeColor="text1"/>
                <w:szCs w:val="16"/>
              </w:rPr>
              <w:t>FFY</w:t>
            </w:r>
          </w:p>
        </w:tc>
        <w:tc>
          <w:tcPr>
            <w:tcW w:w="833" w:type="pct"/>
            <w:shd w:val="clear" w:color="auto" w:fill="auto"/>
          </w:tcPr>
          <w:p w14:paraId="0DF3D5A6" w14:textId="2DA8A75D" w:rsidR="007F24E2" w:rsidRPr="005C29F8" w:rsidRDefault="002B7490" w:rsidP="00894709">
            <w:pPr>
              <w:jc w:val="center"/>
              <w:rPr>
                <w:rFonts w:cs="Arial"/>
                <w:b/>
                <w:color w:val="000000" w:themeColor="text1"/>
                <w:szCs w:val="16"/>
              </w:rPr>
            </w:pPr>
            <w:r w:rsidRPr="005C29F8">
              <w:rPr>
                <w:rFonts w:cs="Arial"/>
                <w:b/>
                <w:color w:val="000000" w:themeColor="text1"/>
                <w:szCs w:val="16"/>
              </w:rPr>
              <w:t>2014</w:t>
            </w:r>
          </w:p>
        </w:tc>
        <w:tc>
          <w:tcPr>
            <w:tcW w:w="833" w:type="pct"/>
            <w:shd w:val="clear" w:color="auto" w:fill="auto"/>
          </w:tcPr>
          <w:p w14:paraId="5E57E797" w14:textId="6309195B" w:rsidR="007F24E2" w:rsidRPr="005C29F8" w:rsidRDefault="002B7490" w:rsidP="00894709">
            <w:pPr>
              <w:jc w:val="center"/>
              <w:rPr>
                <w:rFonts w:cs="Arial"/>
                <w:b/>
                <w:color w:val="000000" w:themeColor="text1"/>
                <w:szCs w:val="16"/>
              </w:rPr>
            </w:pPr>
            <w:r w:rsidRPr="005C29F8">
              <w:rPr>
                <w:rFonts w:cs="Arial"/>
                <w:b/>
                <w:color w:val="000000" w:themeColor="text1"/>
                <w:szCs w:val="16"/>
              </w:rPr>
              <w:t>2015</w:t>
            </w:r>
          </w:p>
        </w:tc>
        <w:tc>
          <w:tcPr>
            <w:tcW w:w="833" w:type="pct"/>
            <w:shd w:val="clear" w:color="auto" w:fill="auto"/>
          </w:tcPr>
          <w:p w14:paraId="6D5C8516" w14:textId="2F8BF9E2" w:rsidR="007F24E2" w:rsidRPr="005C29F8" w:rsidRDefault="002B7490" w:rsidP="00894709">
            <w:pPr>
              <w:jc w:val="center"/>
              <w:rPr>
                <w:rFonts w:cs="Arial"/>
                <w:b/>
                <w:color w:val="000000" w:themeColor="text1"/>
                <w:szCs w:val="16"/>
              </w:rPr>
            </w:pPr>
            <w:r w:rsidRPr="005C29F8">
              <w:rPr>
                <w:rFonts w:cs="Arial"/>
                <w:b/>
                <w:color w:val="000000" w:themeColor="text1"/>
                <w:szCs w:val="16"/>
              </w:rPr>
              <w:t>2016</w:t>
            </w:r>
          </w:p>
        </w:tc>
        <w:tc>
          <w:tcPr>
            <w:tcW w:w="833" w:type="pct"/>
            <w:shd w:val="clear" w:color="auto" w:fill="auto"/>
          </w:tcPr>
          <w:p w14:paraId="116A9927" w14:textId="1D308C81" w:rsidR="007F24E2" w:rsidRPr="005C29F8" w:rsidRDefault="002B7490" w:rsidP="00894709">
            <w:pPr>
              <w:jc w:val="center"/>
              <w:rPr>
                <w:rFonts w:cs="Arial"/>
                <w:b/>
                <w:color w:val="000000" w:themeColor="text1"/>
                <w:szCs w:val="16"/>
              </w:rPr>
            </w:pPr>
            <w:r w:rsidRPr="005C29F8">
              <w:rPr>
                <w:rFonts w:cs="Arial"/>
                <w:b/>
                <w:color w:val="000000" w:themeColor="text1"/>
                <w:szCs w:val="16"/>
              </w:rPr>
              <w:t>2017</w:t>
            </w:r>
          </w:p>
        </w:tc>
        <w:tc>
          <w:tcPr>
            <w:tcW w:w="834" w:type="pct"/>
            <w:shd w:val="clear" w:color="auto" w:fill="auto"/>
          </w:tcPr>
          <w:p w14:paraId="41821FE5" w14:textId="02E4CA44" w:rsidR="007F24E2" w:rsidRPr="005C29F8" w:rsidRDefault="002B7490" w:rsidP="00894709">
            <w:pPr>
              <w:jc w:val="center"/>
              <w:rPr>
                <w:rFonts w:cs="Arial"/>
                <w:b/>
                <w:color w:val="000000" w:themeColor="text1"/>
                <w:szCs w:val="16"/>
              </w:rPr>
            </w:pPr>
            <w:r w:rsidRPr="005C29F8">
              <w:rPr>
                <w:rFonts w:cs="Arial"/>
                <w:b/>
                <w:color w:val="000000" w:themeColor="text1"/>
                <w:szCs w:val="16"/>
              </w:rPr>
              <w:t>2018</w:t>
            </w:r>
          </w:p>
        </w:tc>
      </w:tr>
      <w:tr w:rsidR="005C29F8" w:rsidRPr="005C29F8" w14:paraId="69850889" w14:textId="5FBD9A23" w:rsidTr="0033429D">
        <w:trPr>
          <w:trHeight w:val="357"/>
        </w:trPr>
        <w:tc>
          <w:tcPr>
            <w:tcW w:w="833" w:type="pct"/>
            <w:shd w:val="clear" w:color="auto" w:fill="auto"/>
            <w:vAlign w:val="center"/>
          </w:tcPr>
          <w:p w14:paraId="329304B6" w14:textId="1D4FEA84" w:rsidR="007F24E2" w:rsidRPr="005C29F8" w:rsidRDefault="007F24E2" w:rsidP="004369B2">
            <w:pPr>
              <w:rPr>
                <w:rFonts w:cs="Arial"/>
                <w:color w:val="000000" w:themeColor="text1"/>
                <w:szCs w:val="16"/>
              </w:rPr>
            </w:pPr>
            <w:r w:rsidRPr="005C29F8">
              <w:rPr>
                <w:rFonts w:cs="Arial"/>
                <w:color w:val="000000" w:themeColor="text1"/>
                <w:szCs w:val="16"/>
              </w:rPr>
              <w:t>Target &gt;=</w:t>
            </w:r>
          </w:p>
        </w:tc>
        <w:tc>
          <w:tcPr>
            <w:tcW w:w="833" w:type="pct"/>
            <w:shd w:val="clear" w:color="auto" w:fill="auto"/>
            <w:vAlign w:val="center"/>
          </w:tcPr>
          <w:p w14:paraId="4D288A5D" w14:textId="1DE49DCD" w:rsidR="007F24E2" w:rsidRPr="005C29F8" w:rsidRDefault="002B7490" w:rsidP="00E0321D">
            <w:pPr>
              <w:jc w:val="center"/>
              <w:rPr>
                <w:rFonts w:cs="Arial"/>
                <w:color w:val="000000" w:themeColor="text1"/>
                <w:szCs w:val="16"/>
              </w:rPr>
            </w:pPr>
            <w:r w:rsidRPr="005C29F8">
              <w:rPr>
                <w:rFonts w:cs="Arial"/>
                <w:color w:val="000000" w:themeColor="text1"/>
                <w:szCs w:val="16"/>
              </w:rPr>
              <w:t>82.00%</w:t>
            </w:r>
          </w:p>
        </w:tc>
        <w:tc>
          <w:tcPr>
            <w:tcW w:w="833" w:type="pct"/>
            <w:shd w:val="clear" w:color="auto" w:fill="auto"/>
            <w:vAlign w:val="center"/>
          </w:tcPr>
          <w:p w14:paraId="2751003B" w14:textId="66867EC3" w:rsidR="007F24E2" w:rsidRPr="005C29F8" w:rsidRDefault="002B7490" w:rsidP="00E0321D">
            <w:pPr>
              <w:jc w:val="center"/>
              <w:rPr>
                <w:rFonts w:cs="Arial"/>
                <w:color w:val="000000" w:themeColor="text1"/>
                <w:szCs w:val="16"/>
              </w:rPr>
            </w:pPr>
            <w:r w:rsidRPr="005C29F8">
              <w:rPr>
                <w:rFonts w:cs="Arial"/>
                <w:color w:val="000000" w:themeColor="text1"/>
                <w:szCs w:val="16"/>
              </w:rPr>
              <w:t>84.00%</w:t>
            </w:r>
          </w:p>
        </w:tc>
        <w:tc>
          <w:tcPr>
            <w:tcW w:w="833" w:type="pct"/>
            <w:shd w:val="clear" w:color="auto" w:fill="auto"/>
            <w:vAlign w:val="center"/>
          </w:tcPr>
          <w:p w14:paraId="6982A73B" w14:textId="50B9EF02" w:rsidR="007F24E2" w:rsidRPr="005C29F8" w:rsidRDefault="002B7490" w:rsidP="00E0321D">
            <w:pPr>
              <w:jc w:val="center"/>
              <w:rPr>
                <w:rFonts w:cs="Arial"/>
                <w:color w:val="000000" w:themeColor="text1"/>
                <w:szCs w:val="16"/>
              </w:rPr>
            </w:pPr>
            <w:r w:rsidRPr="005C29F8">
              <w:rPr>
                <w:rFonts w:cs="Arial"/>
                <w:color w:val="000000" w:themeColor="text1"/>
                <w:szCs w:val="16"/>
              </w:rPr>
              <w:t>86.00%</w:t>
            </w:r>
          </w:p>
        </w:tc>
        <w:tc>
          <w:tcPr>
            <w:tcW w:w="833" w:type="pct"/>
            <w:shd w:val="clear" w:color="auto" w:fill="auto"/>
            <w:vAlign w:val="center"/>
          </w:tcPr>
          <w:p w14:paraId="54566D6E" w14:textId="0812F659" w:rsidR="007F24E2" w:rsidRPr="005C29F8" w:rsidRDefault="002B7490" w:rsidP="00E0321D">
            <w:pPr>
              <w:jc w:val="center"/>
              <w:rPr>
                <w:rFonts w:cs="Arial"/>
                <w:color w:val="000000" w:themeColor="text1"/>
                <w:szCs w:val="16"/>
              </w:rPr>
            </w:pPr>
            <w:r w:rsidRPr="005C29F8">
              <w:rPr>
                <w:rFonts w:cs="Arial"/>
                <w:color w:val="000000" w:themeColor="text1"/>
                <w:szCs w:val="16"/>
              </w:rPr>
              <w:t>88.00%</w:t>
            </w:r>
          </w:p>
        </w:tc>
        <w:tc>
          <w:tcPr>
            <w:tcW w:w="834" w:type="pct"/>
            <w:shd w:val="clear" w:color="auto" w:fill="auto"/>
            <w:vAlign w:val="center"/>
          </w:tcPr>
          <w:p w14:paraId="12B0FD7D" w14:textId="7E3C835D" w:rsidR="007F24E2" w:rsidRPr="005C29F8" w:rsidRDefault="002B7490" w:rsidP="00E0321D">
            <w:pPr>
              <w:jc w:val="center"/>
              <w:rPr>
                <w:rFonts w:cs="Arial"/>
                <w:color w:val="000000" w:themeColor="text1"/>
                <w:szCs w:val="16"/>
              </w:rPr>
            </w:pPr>
            <w:r w:rsidRPr="005C29F8">
              <w:rPr>
                <w:rFonts w:cs="Arial"/>
                <w:color w:val="000000" w:themeColor="text1"/>
                <w:szCs w:val="16"/>
              </w:rPr>
              <w:t>72.36%</w:t>
            </w:r>
          </w:p>
        </w:tc>
      </w:tr>
      <w:tr w:rsidR="005C29F8" w:rsidRPr="005C29F8" w14:paraId="146BC5C2" w14:textId="426AC9C6" w:rsidTr="0033429D">
        <w:trPr>
          <w:trHeight w:val="85"/>
        </w:trPr>
        <w:tc>
          <w:tcPr>
            <w:tcW w:w="833" w:type="pct"/>
            <w:shd w:val="clear" w:color="auto" w:fill="auto"/>
            <w:vAlign w:val="center"/>
          </w:tcPr>
          <w:p w14:paraId="2FA56C27" w14:textId="77777777" w:rsidR="007F24E2" w:rsidRPr="005C29F8" w:rsidRDefault="007F24E2" w:rsidP="004369B2">
            <w:pPr>
              <w:rPr>
                <w:rFonts w:cs="Arial"/>
                <w:color w:val="000000" w:themeColor="text1"/>
                <w:szCs w:val="16"/>
              </w:rPr>
            </w:pPr>
            <w:r w:rsidRPr="005C29F8">
              <w:rPr>
                <w:rFonts w:cs="Arial"/>
                <w:color w:val="000000" w:themeColor="text1"/>
                <w:szCs w:val="16"/>
              </w:rPr>
              <w:t>Data</w:t>
            </w:r>
          </w:p>
        </w:tc>
        <w:tc>
          <w:tcPr>
            <w:tcW w:w="833" w:type="pct"/>
            <w:shd w:val="clear" w:color="auto" w:fill="auto"/>
            <w:vAlign w:val="center"/>
          </w:tcPr>
          <w:p w14:paraId="7832DBB9" w14:textId="0E41C477" w:rsidR="007F24E2" w:rsidRPr="005C29F8" w:rsidRDefault="002B7490" w:rsidP="00E0321D">
            <w:pPr>
              <w:jc w:val="center"/>
              <w:rPr>
                <w:rFonts w:cs="Arial"/>
                <w:color w:val="000000" w:themeColor="text1"/>
                <w:szCs w:val="16"/>
              </w:rPr>
            </w:pPr>
            <w:r w:rsidRPr="005C29F8">
              <w:rPr>
                <w:rFonts w:cs="Arial"/>
                <w:color w:val="000000" w:themeColor="text1"/>
                <w:szCs w:val="16"/>
              </w:rPr>
              <w:t>69.10%</w:t>
            </w:r>
          </w:p>
        </w:tc>
        <w:tc>
          <w:tcPr>
            <w:tcW w:w="833" w:type="pct"/>
            <w:shd w:val="clear" w:color="auto" w:fill="auto"/>
            <w:vAlign w:val="center"/>
          </w:tcPr>
          <w:p w14:paraId="522433F4" w14:textId="15824FD9" w:rsidR="007F24E2" w:rsidRPr="005C29F8" w:rsidRDefault="002B7490" w:rsidP="00E0321D">
            <w:pPr>
              <w:jc w:val="center"/>
              <w:rPr>
                <w:rFonts w:cs="Arial"/>
                <w:color w:val="000000" w:themeColor="text1"/>
                <w:szCs w:val="16"/>
              </w:rPr>
            </w:pPr>
            <w:r w:rsidRPr="005C29F8">
              <w:rPr>
                <w:rFonts w:cs="Arial"/>
                <w:color w:val="000000" w:themeColor="text1"/>
                <w:szCs w:val="16"/>
              </w:rPr>
              <w:t>69.90%</w:t>
            </w:r>
          </w:p>
        </w:tc>
        <w:tc>
          <w:tcPr>
            <w:tcW w:w="833" w:type="pct"/>
            <w:tcBorders>
              <w:bottom w:val="single" w:sz="4" w:space="0" w:color="auto"/>
            </w:tcBorders>
            <w:shd w:val="clear" w:color="auto" w:fill="auto"/>
            <w:vAlign w:val="center"/>
          </w:tcPr>
          <w:p w14:paraId="51E9F945" w14:textId="1DED232A" w:rsidR="007F24E2" w:rsidRPr="005C29F8" w:rsidRDefault="002B7490" w:rsidP="00E0321D">
            <w:pPr>
              <w:jc w:val="center"/>
              <w:rPr>
                <w:rFonts w:cs="Arial"/>
                <w:color w:val="000000" w:themeColor="text1"/>
                <w:szCs w:val="16"/>
              </w:rPr>
            </w:pPr>
            <w:r w:rsidRPr="005C29F8">
              <w:rPr>
                <w:rFonts w:cs="Arial"/>
                <w:color w:val="000000" w:themeColor="text1"/>
                <w:szCs w:val="16"/>
              </w:rPr>
              <w:t>71.79%</w:t>
            </w:r>
          </w:p>
        </w:tc>
        <w:tc>
          <w:tcPr>
            <w:tcW w:w="833" w:type="pct"/>
            <w:tcBorders>
              <w:bottom w:val="single" w:sz="4" w:space="0" w:color="auto"/>
            </w:tcBorders>
            <w:shd w:val="clear" w:color="auto" w:fill="auto"/>
            <w:vAlign w:val="center"/>
          </w:tcPr>
          <w:p w14:paraId="180CBFE9" w14:textId="01D5E7B3" w:rsidR="007F24E2" w:rsidRPr="005C29F8" w:rsidRDefault="002B7490" w:rsidP="00E0321D">
            <w:pPr>
              <w:jc w:val="center"/>
              <w:rPr>
                <w:rFonts w:cs="Arial"/>
                <w:color w:val="000000" w:themeColor="text1"/>
                <w:szCs w:val="16"/>
              </w:rPr>
            </w:pPr>
            <w:r w:rsidRPr="005C29F8">
              <w:rPr>
                <w:rFonts w:cs="Arial"/>
                <w:color w:val="000000" w:themeColor="text1"/>
                <w:szCs w:val="16"/>
              </w:rPr>
              <w:t>72.83%</w:t>
            </w:r>
          </w:p>
        </w:tc>
        <w:tc>
          <w:tcPr>
            <w:tcW w:w="834" w:type="pct"/>
            <w:tcBorders>
              <w:bottom w:val="single" w:sz="4" w:space="0" w:color="auto"/>
            </w:tcBorders>
            <w:shd w:val="clear" w:color="auto" w:fill="auto"/>
            <w:vAlign w:val="center"/>
          </w:tcPr>
          <w:p w14:paraId="3C2AFA14" w14:textId="153E7CE5" w:rsidR="007F24E2" w:rsidRPr="005C29F8" w:rsidRDefault="002B7490" w:rsidP="00E0321D">
            <w:pPr>
              <w:jc w:val="center"/>
              <w:rPr>
                <w:rFonts w:cs="Arial"/>
                <w:color w:val="000000" w:themeColor="text1"/>
                <w:szCs w:val="16"/>
              </w:rPr>
            </w:pPr>
            <w:r w:rsidRPr="005C29F8">
              <w:rPr>
                <w:rFonts w:cs="Arial"/>
                <w:color w:val="000000" w:themeColor="text1"/>
                <w:szCs w:val="16"/>
              </w:rPr>
              <w:t>72.36%</w:t>
            </w:r>
          </w:p>
        </w:tc>
      </w:tr>
    </w:tbl>
    <w:p w14:paraId="43E7AA4B" w14:textId="77777777" w:rsidR="00654A4B" w:rsidRPr="005C29F8" w:rsidRDefault="00654A4B" w:rsidP="00B65C2C">
      <w:pPr>
        <w:rPr>
          <w:color w:val="000000" w:themeColor="text1"/>
        </w:rPr>
      </w:pPr>
    </w:p>
    <w:p w14:paraId="058E572E" w14:textId="747B93F2" w:rsidR="005E59DB" w:rsidRPr="005C29F8" w:rsidRDefault="005E59DB" w:rsidP="00B65C2C">
      <w:pPr>
        <w:rPr>
          <w:b/>
          <w:color w:val="000000" w:themeColor="text1"/>
        </w:rPr>
      </w:pPr>
      <w:r w:rsidRPr="005C29F8">
        <w:rPr>
          <w:b/>
          <w:color w:val="000000" w:themeColor="text1"/>
        </w:rPr>
        <w:t>Targets</w:t>
      </w:r>
    </w:p>
    <w:tbl>
      <w:tblPr>
        <w:tblW w:w="1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345"/>
        <w:gridCol w:w="1875"/>
      </w:tblGrid>
      <w:tr w:rsidR="00085D89" w:rsidRPr="005C29F8" w14:paraId="2AA1A231" w14:textId="774F2B02" w:rsidTr="0033429D">
        <w:trPr>
          <w:trHeight w:val="350"/>
        </w:trPr>
        <w:tc>
          <w:tcPr>
            <w:tcW w:w="2089" w:type="pct"/>
            <w:tcBorders>
              <w:bottom w:val="single" w:sz="4" w:space="0" w:color="auto"/>
            </w:tcBorders>
            <w:shd w:val="clear" w:color="auto" w:fill="auto"/>
          </w:tcPr>
          <w:p w14:paraId="40B33FED" w14:textId="77777777" w:rsidR="00085D89" w:rsidRPr="005C29F8" w:rsidRDefault="00085D89" w:rsidP="00CD2DF5">
            <w:pPr>
              <w:jc w:val="center"/>
              <w:rPr>
                <w:b/>
                <w:color w:val="000000" w:themeColor="text1"/>
              </w:rPr>
            </w:pPr>
            <w:r w:rsidRPr="005C29F8">
              <w:rPr>
                <w:b/>
                <w:color w:val="000000" w:themeColor="text1"/>
              </w:rPr>
              <w:t>FFY</w:t>
            </w:r>
          </w:p>
        </w:tc>
        <w:tc>
          <w:tcPr>
            <w:tcW w:w="2911" w:type="pct"/>
            <w:shd w:val="clear" w:color="auto" w:fill="auto"/>
          </w:tcPr>
          <w:p w14:paraId="71086D9D" w14:textId="38ED494E" w:rsidR="00085D89" w:rsidRPr="005C29F8" w:rsidRDefault="00085D89" w:rsidP="004369B2">
            <w:pPr>
              <w:jc w:val="center"/>
              <w:rPr>
                <w:b/>
                <w:color w:val="000000" w:themeColor="text1"/>
              </w:rPr>
            </w:pPr>
            <w:r w:rsidRPr="005C29F8">
              <w:rPr>
                <w:b/>
                <w:color w:val="000000" w:themeColor="text1"/>
              </w:rPr>
              <w:t>2019</w:t>
            </w:r>
          </w:p>
        </w:tc>
      </w:tr>
      <w:tr w:rsidR="00085D89" w:rsidRPr="005C29F8" w14:paraId="30C65E4A" w14:textId="1D76F850" w:rsidTr="0033429D">
        <w:trPr>
          <w:trHeight w:val="357"/>
        </w:trPr>
        <w:tc>
          <w:tcPr>
            <w:tcW w:w="2089" w:type="pct"/>
            <w:shd w:val="clear" w:color="auto" w:fill="auto"/>
            <w:vAlign w:val="center"/>
          </w:tcPr>
          <w:p w14:paraId="15D80559" w14:textId="5A8166E8" w:rsidR="00085D89" w:rsidRPr="005C29F8" w:rsidRDefault="00085D89" w:rsidP="004369B2">
            <w:pPr>
              <w:rPr>
                <w:rFonts w:cs="Arial"/>
                <w:color w:val="000000" w:themeColor="text1"/>
                <w:szCs w:val="16"/>
              </w:rPr>
            </w:pPr>
            <w:r w:rsidRPr="005C29F8">
              <w:rPr>
                <w:rFonts w:cs="Arial"/>
                <w:color w:val="000000" w:themeColor="text1"/>
                <w:szCs w:val="16"/>
              </w:rPr>
              <w:t>Target &gt;=</w:t>
            </w:r>
          </w:p>
        </w:tc>
        <w:tc>
          <w:tcPr>
            <w:tcW w:w="2911" w:type="pct"/>
            <w:shd w:val="clear" w:color="auto" w:fill="auto"/>
            <w:vAlign w:val="center"/>
          </w:tcPr>
          <w:p w14:paraId="5C1E2097" w14:textId="7100F4DF" w:rsidR="00085D89" w:rsidRPr="005C29F8" w:rsidRDefault="00085D89" w:rsidP="004369B2">
            <w:pPr>
              <w:jc w:val="center"/>
              <w:rPr>
                <w:rFonts w:cs="Arial"/>
                <w:color w:val="000000" w:themeColor="text1"/>
                <w:szCs w:val="16"/>
              </w:rPr>
            </w:pPr>
            <w:r w:rsidRPr="005C29F8">
              <w:rPr>
                <w:rFonts w:cs="Arial"/>
                <w:color w:val="000000" w:themeColor="text1"/>
                <w:szCs w:val="16"/>
              </w:rPr>
              <w:t>73.36%</w:t>
            </w:r>
          </w:p>
        </w:tc>
      </w:tr>
    </w:tbl>
    <w:p w14:paraId="346A80A2" w14:textId="77777777" w:rsidR="00654A4B" w:rsidRPr="005C29F8" w:rsidRDefault="00654A4B" w:rsidP="004369B2">
      <w:pPr>
        <w:rPr>
          <w:color w:val="000000" w:themeColor="text1"/>
        </w:rPr>
      </w:pPr>
    </w:p>
    <w:p w14:paraId="451C0051" w14:textId="1929A141" w:rsidR="005E59DB" w:rsidRDefault="005E59DB">
      <w:pPr>
        <w:rPr>
          <w:b/>
          <w:color w:val="000000" w:themeColor="text1"/>
        </w:rPr>
      </w:pPr>
      <w:r w:rsidRPr="005C29F8">
        <w:rPr>
          <w:b/>
          <w:color w:val="000000" w:themeColor="text1"/>
        </w:rPr>
        <w:t xml:space="preserve">Targets: Description of Stakeholder Input </w:t>
      </w:r>
    </w:p>
    <w:p w14:paraId="2B946CE6" w14:textId="3BAAFC14" w:rsidR="0051170F" w:rsidRDefault="0051170F" w:rsidP="004369B2">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6F475956" w14:textId="6AAE3895" w:rsidR="000C24C2" w:rsidRPr="005C29F8" w:rsidRDefault="002B7490" w:rsidP="001011BB">
      <w:pPr>
        <w:rPr>
          <w:rFonts w:cs="Arial"/>
          <w:color w:val="000000" w:themeColor="text1"/>
          <w:szCs w:val="16"/>
        </w:rPr>
      </w:pPr>
      <w:r w:rsidRPr="005C29F8">
        <w:rPr>
          <w:rFonts w:cs="Arial"/>
          <w:color w:val="000000" w:themeColor="text1"/>
          <w:szCs w:val="16"/>
        </w:rPr>
        <w:t xml:space="preserve">The targets for this reporting year (2019) were revised in FFY2018 report according to stakeholder input and to correspond with the annual graduation rate targets for children with disabilities under Title I of the ESEA. These targets were accepted by OSEP.  </w:t>
      </w:r>
    </w:p>
    <w:p w14:paraId="4026D322" w14:textId="77777777" w:rsidR="00654A4B" w:rsidRPr="005C29F8" w:rsidRDefault="00654A4B" w:rsidP="00B65C2C">
      <w:pPr>
        <w:rPr>
          <w:color w:val="000000" w:themeColor="text1"/>
        </w:rPr>
      </w:pPr>
    </w:p>
    <w:p w14:paraId="5BFE0C1F" w14:textId="74D590F4" w:rsidR="00995737" w:rsidRPr="005C29F8" w:rsidRDefault="00995737" w:rsidP="00B65C2C">
      <w:pPr>
        <w:rPr>
          <w:b/>
          <w:bCs/>
          <w:color w:val="000000" w:themeColor="text1"/>
        </w:rPr>
      </w:pPr>
      <w:r w:rsidRPr="005C29F8">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5C29F8" w14:paraId="30F51C80" w14:textId="4B2A2ADB" w:rsidTr="00044B5C">
        <w:trPr>
          <w:trHeight w:val="372"/>
          <w:tblHeader/>
        </w:trPr>
        <w:tc>
          <w:tcPr>
            <w:tcW w:w="1348" w:type="pct"/>
            <w:shd w:val="clear" w:color="auto" w:fill="auto"/>
          </w:tcPr>
          <w:p w14:paraId="323D50E8" w14:textId="6779F814" w:rsidR="00866B4D" w:rsidRPr="005C29F8" w:rsidRDefault="00866B4D" w:rsidP="000B4AA4">
            <w:pPr>
              <w:spacing w:after="0"/>
              <w:jc w:val="center"/>
              <w:rPr>
                <w:rFonts w:cs="Arial"/>
                <w:b/>
                <w:color w:val="000000" w:themeColor="text1"/>
                <w:szCs w:val="16"/>
              </w:rPr>
            </w:pPr>
            <w:r w:rsidRPr="005C29F8">
              <w:rPr>
                <w:rFonts w:cs="Arial"/>
                <w:b/>
                <w:color w:val="000000" w:themeColor="text1"/>
                <w:szCs w:val="16"/>
              </w:rPr>
              <w:t>Source</w:t>
            </w:r>
          </w:p>
        </w:tc>
        <w:tc>
          <w:tcPr>
            <w:tcW w:w="987" w:type="pct"/>
            <w:shd w:val="clear" w:color="auto" w:fill="auto"/>
          </w:tcPr>
          <w:p w14:paraId="01C2B5F0" w14:textId="1D5140A6" w:rsidR="00866B4D" w:rsidRPr="005C29F8" w:rsidRDefault="00866B4D" w:rsidP="000B4AA4">
            <w:pPr>
              <w:spacing w:after="0"/>
              <w:jc w:val="center"/>
              <w:rPr>
                <w:rFonts w:cs="Arial"/>
                <w:b/>
                <w:color w:val="000000" w:themeColor="text1"/>
                <w:szCs w:val="16"/>
              </w:rPr>
            </w:pPr>
            <w:r w:rsidRPr="005C29F8">
              <w:rPr>
                <w:rFonts w:cs="Arial"/>
                <w:b/>
                <w:color w:val="000000" w:themeColor="text1"/>
                <w:szCs w:val="16"/>
              </w:rPr>
              <w:t>Date</w:t>
            </w:r>
          </w:p>
        </w:tc>
        <w:tc>
          <w:tcPr>
            <w:tcW w:w="1625" w:type="pct"/>
            <w:shd w:val="clear" w:color="auto" w:fill="auto"/>
          </w:tcPr>
          <w:p w14:paraId="1FC5546A" w14:textId="059B9945" w:rsidR="00866B4D" w:rsidRPr="005C29F8" w:rsidRDefault="00866B4D" w:rsidP="000B4AA4">
            <w:pPr>
              <w:spacing w:after="0"/>
              <w:jc w:val="center"/>
              <w:rPr>
                <w:rFonts w:cs="Arial"/>
                <w:b/>
                <w:color w:val="000000" w:themeColor="text1"/>
                <w:szCs w:val="16"/>
              </w:rPr>
            </w:pPr>
            <w:r w:rsidRPr="005C29F8">
              <w:rPr>
                <w:rFonts w:cs="Arial"/>
                <w:b/>
                <w:color w:val="000000" w:themeColor="text1"/>
                <w:szCs w:val="16"/>
              </w:rPr>
              <w:t>Description</w:t>
            </w:r>
          </w:p>
        </w:tc>
        <w:tc>
          <w:tcPr>
            <w:tcW w:w="1040" w:type="pct"/>
            <w:shd w:val="clear" w:color="auto" w:fill="auto"/>
          </w:tcPr>
          <w:p w14:paraId="189AD2F4" w14:textId="2C14B569" w:rsidR="00866B4D" w:rsidRPr="005C29F8" w:rsidRDefault="00866B4D" w:rsidP="000B4AA4">
            <w:pPr>
              <w:spacing w:after="0"/>
              <w:jc w:val="center"/>
              <w:rPr>
                <w:rFonts w:cs="Arial"/>
                <w:b/>
                <w:color w:val="000000" w:themeColor="text1"/>
                <w:szCs w:val="16"/>
              </w:rPr>
            </w:pPr>
            <w:r w:rsidRPr="005C29F8">
              <w:rPr>
                <w:rFonts w:cs="Arial"/>
                <w:b/>
                <w:color w:val="000000" w:themeColor="text1"/>
                <w:szCs w:val="16"/>
              </w:rPr>
              <w:t>Data</w:t>
            </w:r>
          </w:p>
        </w:tc>
      </w:tr>
      <w:tr w:rsidR="005C29F8" w:rsidRPr="005C29F8" w14:paraId="30B629CE" w14:textId="3D9C8EF1" w:rsidTr="00044B5C">
        <w:trPr>
          <w:trHeight w:val="380"/>
        </w:trPr>
        <w:tc>
          <w:tcPr>
            <w:tcW w:w="1348" w:type="pct"/>
            <w:shd w:val="clear" w:color="auto" w:fill="auto"/>
          </w:tcPr>
          <w:p w14:paraId="73323AED" w14:textId="3C409C4B" w:rsidR="00866B4D" w:rsidRPr="005C29F8" w:rsidRDefault="006A08B4" w:rsidP="00A018D4">
            <w:pPr>
              <w:jc w:val="center"/>
              <w:rPr>
                <w:rFonts w:cs="Arial"/>
                <w:color w:val="000000" w:themeColor="text1"/>
                <w:szCs w:val="16"/>
              </w:rPr>
            </w:pPr>
            <w:r>
              <w:rPr>
                <w:rFonts w:cs="Arial"/>
                <w:color w:val="000000" w:themeColor="text1"/>
                <w:szCs w:val="16"/>
              </w:rPr>
              <w:t>SY 2018-19 Cohorts for Regulatory Adjusted-Cohort Graduation Rate (EDFacts file spec FS151; Data group 696)</w:t>
            </w:r>
          </w:p>
        </w:tc>
        <w:tc>
          <w:tcPr>
            <w:tcW w:w="987" w:type="pct"/>
            <w:shd w:val="clear" w:color="auto" w:fill="auto"/>
          </w:tcPr>
          <w:p w14:paraId="5E976CB4" w14:textId="3D33251C" w:rsidR="00866B4D" w:rsidRPr="005C29F8" w:rsidRDefault="006A08B4" w:rsidP="00A018D4">
            <w:pPr>
              <w:jc w:val="center"/>
              <w:rPr>
                <w:rFonts w:cs="Arial"/>
                <w:color w:val="000000" w:themeColor="text1"/>
                <w:szCs w:val="16"/>
              </w:rPr>
            </w:pPr>
            <w:r w:rsidRPr="006A08B4">
              <w:rPr>
                <w:rFonts w:cs="Arial"/>
                <w:color w:val="000000" w:themeColor="text1"/>
                <w:szCs w:val="16"/>
              </w:rPr>
              <w:t>07/27/2020</w:t>
            </w:r>
          </w:p>
        </w:tc>
        <w:tc>
          <w:tcPr>
            <w:tcW w:w="1625" w:type="pct"/>
            <w:shd w:val="clear" w:color="auto" w:fill="auto"/>
          </w:tcPr>
          <w:p w14:paraId="01C211E9" w14:textId="1E5E1F15" w:rsidR="00866B4D" w:rsidRPr="005C29F8" w:rsidRDefault="00866B4D" w:rsidP="0038054C">
            <w:pPr>
              <w:rPr>
                <w:rFonts w:cs="Arial"/>
                <w:color w:val="000000" w:themeColor="text1"/>
                <w:szCs w:val="16"/>
              </w:rPr>
            </w:pPr>
            <w:r w:rsidRPr="005C29F8">
              <w:rPr>
                <w:rFonts w:cs="Arial"/>
                <w:color w:val="000000" w:themeColor="text1"/>
                <w:szCs w:val="16"/>
              </w:rPr>
              <w:t>Number of youth with IEPs graduating with a regular diploma</w:t>
            </w:r>
          </w:p>
        </w:tc>
        <w:tc>
          <w:tcPr>
            <w:tcW w:w="1040" w:type="pct"/>
            <w:shd w:val="clear" w:color="auto" w:fill="auto"/>
          </w:tcPr>
          <w:p w14:paraId="18434B19" w14:textId="17BE4871" w:rsidR="00866B4D" w:rsidRPr="005C29F8" w:rsidRDefault="002B7490" w:rsidP="00A018D4">
            <w:pPr>
              <w:jc w:val="center"/>
              <w:rPr>
                <w:rFonts w:cs="Arial"/>
                <w:color w:val="000000" w:themeColor="text1"/>
                <w:szCs w:val="16"/>
              </w:rPr>
            </w:pPr>
            <w:r w:rsidRPr="005C29F8">
              <w:rPr>
                <w:rFonts w:cs="Arial"/>
                <w:color w:val="000000" w:themeColor="text1"/>
                <w:szCs w:val="16"/>
              </w:rPr>
              <w:t>10,943</w:t>
            </w:r>
          </w:p>
        </w:tc>
      </w:tr>
      <w:tr w:rsidR="005C29F8" w:rsidRPr="005C29F8" w14:paraId="2E9BAC4B" w14:textId="77777777" w:rsidTr="00044B5C">
        <w:trPr>
          <w:trHeight w:val="380"/>
        </w:trPr>
        <w:tc>
          <w:tcPr>
            <w:tcW w:w="1348" w:type="pct"/>
            <w:shd w:val="clear" w:color="auto" w:fill="auto"/>
          </w:tcPr>
          <w:p w14:paraId="019DE2CA" w14:textId="0D3814B3" w:rsidR="00866B4D" w:rsidRPr="005C29F8" w:rsidRDefault="006A08B4" w:rsidP="00A018D4">
            <w:pPr>
              <w:jc w:val="center"/>
              <w:rPr>
                <w:rFonts w:cs="Arial"/>
                <w:color w:val="000000" w:themeColor="text1"/>
                <w:szCs w:val="16"/>
              </w:rPr>
            </w:pPr>
            <w:r>
              <w:rPr>
                <w:rFonts w:cs="Arial"/>
                <w:color w:val="000000" w:themeColor="text1"/>
                <w:szCs w:val="16"/>
              </w:rPr>
              <w:t xml:space="preserve">SY 2018-19 Cohorts for Regulatory Adjusted-Cohort Graduation Rate </w:t>
            </w:r>
            <w:r>
              <w:rPr>
                <w:rFonts w:cs="Arial"/>
                <w:color w:val="000000" w:themeColor="text1"/>
                <w:szCs w:val="16"/>
              </w:rPr>
              <w:lastRenderedPageBreak/>
              <w:t>(EDFacts file spec FS151; Data group 696)</w:t>
            </w:r>
          </w:p>
        </w:tc>
        <w:tc>
          <w:tcPr>
            <w:tcW w:w="987" w:type="pct"/>
            <w:shd w:val="clear" w:color="auto" w:fill="auto"/>
          </w:tcPr>
          <w:p w14:paraId="21121509" w14:textId="6E236B8D" w:rsidR="00866B4D" w:rsidRPr="005C29F8" w:rsidRDefault="006A08B4" w:rsidP="00A018D4">
            <w:pPr>
              <w:jc w:val="center"/>
              <w:rPr>
                <w:rFonts w:cs="Arial"/>
                <w:color w:val="000000" w:themeColor="text1"/>
                <w:szCs w:val="16"/>
              </w:rPr>
            </w:pPr>
            <w:r w:rsidRPr="006A08B4">
              <w:rPr>
                <w:rFonts w:cs="Arial"/>
                <w:color w:val="000000" w:themeColor="text1"/>
                <w:szCs w:val="16"/>
              </w:rPr>
              <w:lastRenderedPageBreak/>
              <w:t>07/27/2020</w:t>
            </w:r>
          </w:p>
        </w:tc>
        <w:tc>
          <w:tcPr>
            <w:tcW w:w="1625" w:type="pct"/>
            <w:shd w:val="clear" w:color="auto" w:fill="auto"/>
          </w:tcPr>
          <w:p w14:paraId="4DBDAFD8" w14:textId="376D7506" w:rsidR="00866B4D" w:rsidRPr="005C29F8" w:rsidRDefault="00866B4D" w:rsidP="0038054C">
            <w:pPr>
              <w:rPr>
                <w:rFonts w:cs="Arial"/>
                <w:color w:val="000000" w:themeColor="text1"/>
                <w:szCs w:val="16"/>
              </w:rPr>
            </w:pPr>
            <w:r w:rsidRPr="005C29F8">
              <w:rPr>
                <w:rFonts w:cs="Arial"/>
                <w:color w:val="000000" w:themeColor="text1"/>
                <w:szCs w:val="16"/>
              </w:rPr>
              <w:t>Number of youth with IEPs eligible to graduate</w:t>
            </w:r>
          </w:p>
        </w:tc>
        <w:tc>
          <w:tcPr>
            <w:tcW w:w="1040" w:type="pct"/>
            <w:shd w:val="clear" w:color="auto" w:fill="auto"/>
          </w:tcPr>
          <w:p w14:paraId="010FD1F1" w14:textId="0E54DB3F" w:rsidR="00866B4D" w:rsidRPr="005C29F8" w:rsidRDefault="002B7490" w:rsidP="00A018D4">
            <w:pPr>
              <w:jc w:val="center"/>
              <w:rPr>
                <w:rFonts w:cs="Arial"/>
                <w:color w:val="000000" w:themeColor="text1"/>
                <w:szCs w:val="16"/>
              </w:rPr>
            </w:pPr>
            <w:r w:rsidRPr="005C29F8">
              <w:rPr>
                <w:rFonts w:cs="Arial"/>
                <w:color w:val="000000" w:themeColor="text1"/>
                <w:szCs w:val="16"/>
              </w:rPr>
              <w:t>14,799</w:t>
            </w:r>
          </w:p>
        </w:tc>
      </w:tr>
      <w:tr w:rsidR="005C29F8" w:rsidRPr="005C29F8" w14:paraId="032776B0" w14:textId="77777777" w:rsidTr="00044B5C">
        <w:trPr>
          <w:trHeight w:val="380"/>
        </w:trPr>
        <w:tc>
          <w:tcPr>
            <w:tcW w:w="1348" w:type="pct"/>
            <w:shd w:val="clear" w:color="auto" w:fill="auto"/>
          </w:tcPr>
          <w:p w14:paraId="5813DAD1" w14:textId="18D03529" w:rsidR="00866B4D" w:rsidRPr="005C29F8" w:rsidRDefault="00053795" w:rsidP="00A018D4">
            <w:pPr>
              <w:jc w:val="center"/>
              <w:rPr>
                <w:rFonts w:cs="Arial"/>
                <w:color w:val="000000" w:themeColor="text1"/>
                <w:szCs w:val="16"/>
              </w:rPr>
            </w:pPr>
            <w:r>
              <w:rPr>
                <w:rFonts w:cs="Arial"/>
                <w:color w:val="000000" w:themeColor="text1"/>
                <w:szCs w:val="16"/>
              </w:rPr>
              <w:t>SY 2018-19 Regulatory Adjusted Cohort Graduation Rate (EDFacts file spec FS150; Data group 695)</w:t>
            </w:r>
          </w:p>
        </w:tc>
        <w:tc>
          <w:tcPr>
            <w:tcW w:w="987" w:type="pct"/>
            <w:shd w:val="clear" w:color="auto" w:fill="auto"/>
          </w:tcPr>
          <w:p w14:paraId="0CBE5647" w14:textId="5FE1EBE5" w:rsidR="00866B4D" w:rsidRPr="005C29F8" w:rsidRDefault="00053795" w:rsidP="00A018D4">
            <w:pPr>
              <w:jc w:val="center"/>
              <w:rPr>
                <w:rFonts w:cs="Arial"/>
                <w:color w:val="000000" w:themeColor="text1"/>
                <w:szCs w:val="16"/>
              </w:rPr>
            </w:pPr>
            <w:r w:rsidRPr="00053795">
              <w:rPr>
                <w:rFonts w:cs="Arial"/>
                <w:color w:val="000000" w:themeColor="text1"/>
                <w:szCs w:val="16"/>
              </w:rPr>
              <w:t>07/27/2020</w:t>
            </w:r>
          </w:p>
        </w:tc>
        <w:tc>
          <w:tcPr>
            <w:tcW w:w="1625" w:type="pct"/>
            <w:shd w:val="clear" w:color="auto" w:fill="auto"/>
          </w:tcPr>
          <w:p w14:paraId="7D0086CE" w14:textId="25EA4DFA" w:rsidR="00866B4D" w:rsidRPr="005C29F8" w:rsidRDefault="00866B4D" w:rsidP="0038054C">
            <w:pPr>
              <w:rPr>
                <w:rFonts w:cs="Arial"/>
                <w:color w:val="000000" w:themeColor="text1"/>
                <w:szCs w:val="16"/>
              </w:rPr>
            </w:pPr>
            <w:r w:rsidRPr="005C29F8">
              <w:rPr>
                <w:rFonts w:cs="Arial"/>
                <w:color w:val="000000" w:themeColor="text1"/>
                <w:szCs w:val="16"/>
              </w:rPr>
              <w:t>Regulatory four-year adjusted-cohort graduation rate table</w:t>
            </w:r>
          </w:p>
        </w:tc>
        <w:tc>
          <w:tcPr>
            <w:tcW w:w="1040" w:type="pct"/>
            <w:shd w:val="clear" w:color="auto" w:fill="auto"/>
          </w:tcPr>
          <w:p w14:paraId="184082B3" w14:textId="00A26563" w:rsidR="00866B4D" w:rsidRPr="005C29F8" w:rsidRDefault="002B7490" w:rsidP="00A018D4">
            <w:pPr>
              <w:jc w:val="center"/>
              <w:rPr>
                <w:rFonts w:cs="Arial"/>
                <w:color w:val="000000" w:themeColor="text1"/>
                <w:szCs w:val="16"/>
              </w:rPr>
            </w:pPr>
            <w:r w:rsidRPr="005C29F8">
              <w:rPr>
                <w:rFonts w:cs="Arial"/>
                <w:color w:val="000000" w:themeColor="text1"/>
                <w:szCs w:val="16"/>
              </w:rPr>
              <w:t>73.94%</w:t>
            </w:r>
          </w:p>
        </w:tc>
      </w:tr>
    </w:tbl>
    <w:p w14:paraId="0D2CDC7B" w14:textId="77777777" w:rsidR="00654A4B" w:rsidRPr="005C29F8" w:rsidRDefault="00654A4B" w:rsidP="00B65C2C">
      <w:pPr>
        <w:rPr>
          <w:color w:val="000000" w:themeColor="text1"/>
        </w:rPr>
      </w:pPr>
    </w:p>
    <w:p w14:paraId="7939D078" w14:textId="6A6C574F" w:rsidR="00995737" w:rsidRPr="005C29F8" w:rsidRDefault="0098478C" w:rsidP="00C74928">
      <w:pPr>
        <w:keepNext/>
        <w:rPr>
          <w:b/>
          <w:bCs/>
          <w:color w:val="000000" w:themeColor="text1"/>
        </w:rPr>
      </w:pPr>
      <w:r w:rsidRPr="005C29F8">
        <w:rPr>
          <w:b/>
          <w:bCs/>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788"/>
        <w:gridCol w:w="2113"/>
        <w:gridCol w:w="1167"/>
        <w:gridCol w:w="1739"/>
        <w:gridCol w:w="1366"/>
        <w:gridCol w:w="1329"/>
        <w:gridCol w:w="1288"/>
      </w:tblGrid>
      <w:tr w:rsidR="005C29F8" w:rsidRPr="005C29F8" w14:paraId="02722994" w14:textId="4BCF686A" w:rsidTr="004348BB">
        <w:trPr>
          <w:trHeight w:val="333"/>
          <w:tblHeader/>
        </w:trPr>
        <w:tc>
          <w:tcPr>
            <w:tcW w:w="828" w:type="pct"/>
            <w:shd w:val="clear" w:color="auto" w:fill="auto"/>
            <w:vAlign w:val="bottom"/>
          </w:tcPr>
          <w:p w14:paraId="272BBF68" w14:textId="70DA2E92" w:rsidR="0098478C" w:rsidRPr="005C29F8" w:rsidRDefault="0098478C" w:rsidP="00681BA6">
            <w:pPr>
              <w:spacing w:after="0"/>
              <w:jc w:val="center"/>
              <w:rPr>
                <w:rFonts w:cs="Arial"/>
                <w:b/>
                <w:color w:val="000000" w:themeColor="text1"/>
                <w:szCs w:val="16"/>
              </w:rPr>
            </w:pPr>
            <w:r w:rsidRPr="005C29F8">
              <w:rPr>
                <w:rFonts w:cs="Arial"/>
                <w:b/>
                <w:color w:val="000000" w:themeColor="text1"/>
                <w:szCs w:val="16"/>
              </w:rPr>
              <w:t>Number of youth with IEPs in the current year’s adjusted cohort graduating with a regular diploma</w:t>
            </w:r>
          </w:p>
        </w:tc>
        <w:tc>
          <w:tcPr>
            <w:tcW w:w="979" w:type="pct"/>
            <w:shd w:val="clear" w:color="auto" w:fill="auto"/>
            <w:vAlign w:val="bottom"/>
          </w:tcPr>
          <w:p w14:paraId="055EF61F" w14:textId="54D07BD1" w:rsidR="0098478C" w:rsidRPr="005C29F8" w:rsidRDefault="0098478C" w:rsidP="00681BA6">
            <w:pPr>
              <w:spacing w:after="0"/>
              <w:jc w:val="center"/>
              <w:rPr>
                <w:rFonts w:cs="Arial"/>
                <w:b/>
                <w:color w:val="000000" w:themeColor="text1"/>
                <w:szCs w:val="16"/>
              </w:rPr>
            </w:pPr>
            <w:r w:rsidRPr="005C29F8">
              <w:rPr>
                <w:rFonts w:cs="Arial"/>
                <w:b/>
                <w:color w:val="000000" w:themeColor="text1"/>
                <w:szCs w:val="16"/>
              </w:rPr>
              <w:t>Number of youth with IEPs in the current year’s adjusted cohort eligible to graduate</w:t>
            </w:r>
          </w:p>
        </w:tc>
        <w:tc>
          <w:tcPr>
            <w:tcW w:w="541" w:type="pct"/>
            <w:shd w:val="clear" w:color="auto" w:fill="auto"/>
            <w:vAlign w:val="bottom"/>
          </w:tcPr>
          <w:p w14:paraId="74998318" w14:textId="595E66E3" w:rsidR="0098478C" w:rsidRPr="005C29F8" w:rsidRDefault="002602A9" w:rsidP="00681BA6">
            <w:pPr>
              <w:spacing w:after="0"/>
              <w:jc w:val="center"/>
              <w:rPr>
                <w:rFonts w:cs="Arial"/>
                <w:b/>
                <w:color w:val="000000" w:themeColor="text1"/>
                <w:szCs w:val="16"/>
              </w:rPr>
            </w:pPr>
            <w:r w:rsidRPr="005C29F8">
              <w:rPr>
                <w:rFonts w:cs="Arial"/>
                <w:b/>
                <w:color w:val="000000" w:themeColor="text1"/>
                <w:szCs w:val="16"/>
              </w:rPr>
              <w:t>FFY 2018 Data</w:t>
            </w:r>
          </w:p>
        </w:tc>
        <w:tc>
          <w:tcPr>
            <w:tcW w:w="806" w:type="pct"/>
            <w:shd w:val="clear" w:color="auto" w:fill="auto"/>
            <w:vAlign w:val="bottom"/>
          </w:tcPr>
          <w:p w14:paraId="5A1C61A6" w14:textId="159DEF9B" w:rsidR="0098478C" w:rsidRPr="005C29F8" w:rsidRDefault="0098478C" w:rsidP="00681BA6">
            <w:pPr>
              <w:spacing w:after="0"/>
              <w:jc w:val="center"/>
              <w:rPr>
                <w:rFonts w:cs="Arial"/>
                <w:b/>
                <w:color w:val="000000" w:themeColor="text1"/>
                <w:szCs w:val="16"/>
              </w:rPr>
            </w:pPr>
            <w:r w:rsidRPr="005C29F8">
              <w:rPr>
                <w:rFonts w:cs="Arial"/>
                <w:b/>
                <w:color w:val="000000" w:themeColor="text1"/>
                <w:szCs w:val="16"/>
              </w:rPr>
              <w:t>FFY 2019 Target</w:t>
            </w:r>
          </w:p>
        </w:tc>
        <w:tc>
          <w:tcPr>
            <w:tcW w:w="633" w:type="pct"/>
            <w:shd w:val="clear" w:color="auto" w:fill="auto"/>
            <w:vAlign w:val="bottom"/>
          </w:tcPr>
          <w:p w14:paraId="51DD5A1B" w14:textId="66FDB851" w:rsidR="0098478C" w:rsidRPr="005C29F8" w:rsidRDefault="0098478C" w:rsidP="00681BA6">
            <w:pPr>
              <w:spacing w:after="0"/>
              <w:jc w:val="center"/>
              <w:rPr>
                <w:rFonts w:cs="Arial"/>
                <w:b/>
                <w:color w:val="000000" w:themeColor="text1"/>
                <w:szCs w:val="16"/>
              </w:rPr>
            </w:pPr>
            <w:r w:rsidRPr="005C29F8">
              <w:rPr>
                <w:rFonts w:cs="Arial"/>
                <w:b/>
                <w:color w:val="000000" w:themeColor="text1"/>
                <w:szCs w:val="16"/>
              </w:rPr>
              <w:t>FFY 2019 Data</w:t>
            </w:r>
          </w:p>
        </w:tc>
        <w:tc>
          <w:tcPr>
            <w:tcW w:w="616" w:type="pct"/>
            <w:shd w:val="clear" w:color="auto" w:fill="auto"/>
            <w:vAlign w:val="bottom"/>
          </w:tcPr>
          <w:p w14:paraId="23C86FAA" w14:textId="7FC8D54B" w:rsidR="0098478C" w:rsidRPr="005C29F8" w:rsidRDefault="0098478C" w:rsidP="00681BA6">
            <w:pPr>
              <w:spacing w:after="0"/>
              <w:jc w:val="center"/>
              <w:rPr>
                <w:rFonts w:cs="Arial"/>
                <w:b/>
                <w:color w:val="000000" w:themeColor="text1"/>
                <w:szCs w:val="16"/>
              </w:rPr>
            </w:pPr>
            <w:r w:rsidRPr="005C29F8">
              <w:rPr>
                <w:rFonts w:cs="Arial"/>
                <w:b/>
                <w:color w:val="000000" w:themeColor="text1"/>
                <w:szCs w:val="16"/>
              </w:rPr>
              <w:t>Status</w:t>
            </w:r>
          </w:p>
        </w:tc>
        <w:tc>
          <w:tcPr>
            <w:tcW w:w="597" w:type="pct"/>
            <w:shd w:val="clear" w:color="auto" w:fill="auto"/>
            <w:vAlign w:val="bottom"/>
          </w:tcPr>
          <w:p w14:paraId="6EE58552" w14:textId="4AA8F220" w:rsidR="0098478C" w:rsidRPr="005C29F8" w:rsidRDefault="0098478C" w:rsidP="00681BA6">
            <w:pPr>
              <w:spacing w:after="0"/>
              <w:jc w:val="center"/>
              <w:rPr>
                <w:rFonts w:cs="Arial"/>
                <w:b/>
                <w:color w:val="000000" w:themeColor="text1"/>
                <w:szCs w:val="16"/>
              </w:rPr>
            </w:pPr>
            <w:r w:rsidRPr="005C29F8">
              <w:rPr>
                <w:rFonts w:cs="Arial"/>
                <w:b/>
                <w:color w:val="000000" w:themeColor="text1"/>
                <w:szCs w:val="16"/>
              </w:rPr>
              <w:t>Slippage</w:t>
            </w:r>
          </w:p>
        </w:tc>
      </w:tr>
      <w:tr w:rsidR="005C29F8" w:rsidRPr="005C29F8" w14:paraId="601A0599" w14:textId="76387A52" w:rsidTr="004348BB">
        <w:trPr>
          <w:trHeight w:val="340"/>
        </w:trPr>
        <w:tc>
          <w:tcPr>
            <w:tcW w:w="828" w:type="pct"/>
            <w:shd w:val="clear" w:color="auto" w:fill="auto"/>
            <w:vAlign w:val="center"/>
          </w:tcPr>
          <w:p w14:paraId="70B1C138" w14:textId="54874107" w:rsidR="0098478C" w:rsidRPr="005C29F8" w:rsidRDefault="002B7490" w:rsidP="00A018D4">
            <w:pPr>
              <w:jc w:val="center"/>
              <w:rPr>
                <w:rFonts w:cs="Arial"/>
                <w:color w:val="000000" w:themeColor="text1"/>
                <w:szCs w:val="16"/>
              </w:rPr>
            </w:pPr>
            <w:r w:rsidRPr="005C29F8">
              <w:rPr>
                <w:rFonts w:cs="Arial"/>
                <w:color w:val="000000" w:themeColor="text1"/>
                <w:szCs w:val="16"/>
              </w:rPr>
              <w:t>10,943</w:t>
            </w:r>
          </w:p>
        </w:tc>
        <w:tc>
          <w:tcPr>
            <w:tcW w:w="979" w:type="pct"/>
            <w:shd w:val="clear" w:color="auto" w:fill="auto"/>
          </w:tcPr>
          <w:p w14:paraId="614E7B59" w14:textId="0DD580CD" w:rsidR="0098478C" w:rsidRPr="005C29F8" w:rsidRDefault="002B7490" w:rsidP="00A018D4">
            <w:pPr>
              <w:jc w:val="center"/>
              <w:rPr>
                <w:rFonts w:cs="Arial"/>
                <w:color w:val="000000" w:themeColor="text1"/>
                <w:szCs w:val="16"/>
              </w:rPr>
            </w:pPr>
            <w:r w:rsidRPr="005C29F8">
              <w:rPr>
                <w:rFonts w:cs="Arial"/>
                <w:color w:val="000000" w:themeColor="text1"/>
                <w:szCs w:val="16"/>
              </w:rPr>
              <w:t>14,799</w:t>
            </w:r>
          </w:p>
        </w:tc>
        <w:tc>
          <w:tcPr>
            <w:tcW w:w="541" w:type="pct"/>
            <w:shd w:val="clear" w:color="auto" w:fill="auto"/>
          </w:tcPr>
          <w:p w14:paraId="02406DF0" w14:textId="52BAECC6" w:rsidR="0098478C" w:rsidRPr="005C29F8" w:rsidRDefault="002B7490" w:rsidP="00A018D4">
            <w:pPr>
              <w:jc w:val="center"/>
              <w:rPr>
                <w:rFonts w:cs="Arial"/>
                <w:color w:val="000000" w:themeColor="text1"/>
                <w:szCs w:val="16"/>
              </w:rPr>
            </w:pPr>
            <w:r w:rsidRPr="005C29F8">
              <w:rPr>
                <w:rFonts w:cs="Arial"/>
                <w:color w:val="000000" w:themeColor="text1"/>
                <w:szCs w:val="16"/>
              </w:rPr>
              <w:t>72.36%</w:t>
            </w:r>
          </w:p>
        </w:tc>
        <w:tc>
          <w:tcPr>
            <w:tcW w:w="806" w:type="pct"/>
            <w:shd w:val="clear" w:color="auto" w:fill="auto"/>
          </w:tcPr>
          <w:p w14:paraId="2398C001" w14:textId="76ED9E04" w:rsidR="0098478C" w:rsidRPr="005C29F8" w:rsidRDefault="002B7490" w:rsidP="00A018D4">
            <w:pPr>
              <w:jc w:val="center"/>
              <w:rPr>
                <w:rFonts w:cs="Arial"/>
                <w:color w:val="000000" w:themeColor="text1"/>
                <w:szCs w:val="16"/>
              </w:rPr>
            </w:pPr>
            <w:r w:rsidRPr="005C29F8">
              <w:rPr>
                <w:rFonts w:cs="Arial"/>
                <w:color w:val="000000" w:themeColor="text1"/>
                <w:szCs w:val="16"/>
              </w:rPr>
              <w:t>73.36%</w:t>
            </w:r>
          </w:p>
        </w:tc>
        <w:tc>
          <w:tcPr>
            <w:tcW w:w="633" w:type="pct"/>
            <w:shd w:val="clear" w:color="auto" w:fill="auto"/>
          </w:tcPr>
          <w:p w14:paraId="4A53AF2D" w14:textId="67419FF6" w:rsidR="0098478C" w:rsidRPr="005C29F8" w:rsidRDefault="002B7490" w:rsidP="00A018D4">
            <w:pPr>
              <w:jc w:val="center"/>
              <w:rPr>
                <w:rFonts w:cs="Arial"/>
                <w:color w:val="000000" w:themeColor="text1"/>
                <w:szCs w:val="16"/>
              </w:rPr>
            </w:pPr>
            <w:r w:rsidRPr="005C29F8">
              <w:rPr>
                <w:rFonts w:cs="Arial"/>
                <w:color w:val="000000" w:themeColor="text1"/>
                <w:szCs w:val="16"/>
              </w:rPr>
              <w:t>73.94%</w:t>
            </w:r>
          </w:p>
        </w:tc>
        <w:tc>
          <w:tcPr>
            <w:tcW w:w="616" w:type="pct"/>
            <w:shd w:val="clear" w:color="auto" w:fill="auto"/>
          </w:tcPr>
          <w:p w14:paraId="0A60DC85" w14:textId="479F7096" w:rsidR="0098478C" w:rsidRPr="005C29F8" w:rsidRDefault="002B7490" w:rsidP="00A018D4">
            <w:pPr>
              <w:jc w:val="center"/>
              <w:rPr>
                <w:rFonts w:cs="Arial"/>
                <w:color w:val="000000" w:themeColor="text1"/>
                <w:szCs w:val="16"/>
              </w:rPr>
            </w:pPr>
            <w:r w:rsidRPr="005C29F8">
              <w:rPr>
                <w:rFonts w:cs="Arial"/>
                <w:color w:val="000000" w:themeColor="text1"/>
                <w:szCs w:val="16"/>
              </w:rPr>
              <w:t>Met Target</w:t>
            </w:r>
          </w:p>
        </w:tc>
        <w:tc>
          <w:tcPr>
            <w:tcW w:w="597" w:type="pct"/>
            <w:shd w:val="clear" w:color="auto" w:fill="auto"/>
          </w:tcPr>
          <w:p w14:paraId="6FB98C67" w14:textId="68AEDB07" w:rsidR="0098478C"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bl>
    <w:p w14:paraId="2BB119D0" w14:textId="3E18DB6F" w:rsidR="005E59DB" w:rsidRPr="005C29F8" w:rsidRDefault="005E59DB" w:rsidP="004369B2">
      <w:pPr>
        <w:rPr>
          <w:color w:val="000000" w:themeColor="text1"/>
        </w:rPr>
      </w:pPr>
      <w:r w:rsidRPr="005C29F8">
        <w:rPr>
          <w:b/>
          <w:color w:val="000000" w:themeColor="text1"/>
        </w:rPr>
        <w:t xml:space="preserve">Graduation Conditions </w:t>
      </w:r>
    </w:p>
    <w:p w14:paraId="2E430405" w14:textId="158CCE2E" w:rsidR="00B302AC" w:rsidRPr="005C29F8" w:rsidRDefault="00C14D48" w:rsidP="00C14D48">
      <w:pPr>
        <w:rPr>
          <w:rFonts w:cs="Arial"/>
          <w:b/>
          <w:color w:val="000000" w:themeColor="text1"/>
          <w:szCs w:val="16"/>
        </w:rPr>
      </w:pPr>
      <w:r w:rsidRPr="005C29F8">
        <w:rPr>
          <w:rFonts w:cs="Arial"/>
          <w:b/>
          <w:color w:val="000000" w:themeColor="text1"/>
          <w:szCs w:val="16"/>
        </w:rPr>
        <w:t xml:space="preserve">Choose the length of Adjusted Cohort Graduation Rate your state is using: </w:t>
      </w:r>
    </w:p>
    <w:p w14:paraId="5AA71880" w14:textId="731CDAE4" w:rsidR="00C14D48" w:rsidRDefault="002B7490" w:rsidP="00C14D48">
      <w:pPr>
        <w:rPr>
          <w:rFonts w:cs="Arial"/>
          <w:color w:val="000000" w:themeColor="text1"/>
          <w:szCs w:val="16"/>
        </w:rPr>
      </w:pPr>
      <w:r w:rsidRPr="005C29F8">
        <w:rPr>
          <w:rFonts w:cs="Arial"/>
          <w:color w:val="000000" w:themeColor="text1"/>
          <w:szCs w:val="16"/>
        </w:rPr>
        <w:t>4-year ACGR</w:t>
      </w:r>
    </w:p>
    <w:p w14:paraId="44381070" w14:textId="5347D245" w:rsidR="005E59DB" w:rsidRPr="005C29F8" w:rsidRDefault="00C14D48" w:rsidP="00552927">
      <w:pPr>
        <w:rPr>
          <w:rFonts w:cs="Arial"/>
          <w:b/>
          <w:i/>
          <w:color w:val="000000" w:themeColor="text1"/>
          <w:szCs w:val="16"/>
        </w:rPr>
      </w:pPr>
      <w:r w:rsidRPr="005C29F8">
        <w:rPr>
          <w:rFonts w:cs="Arial"/>
          <w:b/>
          <w:color w:val="000000" w:themeColor="text1"/>
          <w:szCs w:val="16"/>
        </w:rPr>
        <w:t>Provide a narrative that describes the conditions youth must meet in order to graduate with a regular high school diploma and, if different, the conditions that youth with IEPs must meet in order to graduate with a regular high school diploma.  If there is a difference, explain</w:t>
      </w:r>
      <w:r w:rsidRPr="005C29F8">
        <w:rPr>
          <w:rFonts w:cs="Arial"/>
          <w:b/>
          <w:i/>
          <w:color w:val="000000" w:themeColor="text1"/>
          <w:szCs w:val="16"/>
        </w:rPr>
        <w:t>.</w:t>
      </w:r>
    </w:p>
    <w:p w14:paraId="7C1B3984" w14:textId="08BD1460" w:rsidR="002D145D" w:rsidRPr="005C29F8" w:rsidRDefault="002B7490" w:rsidP="006618C8">
      <w:pPr>
        <w:rPr>
          <w:rFonts w:cs="Arial"/>
          <w:color w:val="000000" w:themeColor="text1"/>
          <w:szCs w:val="16"/>
        </w:rPr>
      </w:pPr>
      <w:r w:rsidRPr="005C29F8">
        <w:rPr>
          <w:rFonts w:cs="Arial"/>
          <w:color w:val="000000" w:themeColor="text1"/>
          <w:szCs w:val="16"/>
        </w:rPr>
        <w:t>To receive a diploma from a public high school in Massachusetts, a student must:</w:t>
      </w:r>
      <w:r w:rsidRPr="005C29F8">
        <w:rPr>
          <w:rFonts w:cs="Arial"/>
          <w:color w:val="000000" w:themeColor="text1"/>
          <w:szCs w:val="16"/>
        </w:rPr>
        <w:br/>
        <w:t xml:space="preserve">1)  Earn a Competency Determination (CD) which means achieving a specified level of proficiency on Grade 10 English Language Arts (ELA); Mathematics; and Sience, Technology, and Engineering (STE) statewide assessments administered through the Massachusetts Comprehensive Assessment System (MCAS) or MCAS-Alt for students needing an alternate mode of testing; and </w:t>
      </w:r>
      <w:r w:rsidRPr="005C29F8">
        <w:rPr>
          <w:rFonts w:cs="Arial"/>
          <w:color w:val="000000" w:themeColor="text1"/>
          <w:szCs w:val="16"/>
        </w:rPr>
        <w:br/>
        <w:t>2)  Meet local graduation requirments for the LEA that is awarding the diploma .</w:t>
      </w:r>
      <w:r w:rsidRPr="005C29F8">
        <w:rPr>
          <w:rFonts w:cs="Arial"/>
          <w:color w:val="000000" w:themeColor="text1"/>
          <w:szCs w:val="16"/>
        </w:rPr>
        <w:br/>
      </w:r>
      <w:r w:rsidRPr="005C29F8">
        <w:rPr>
          <w:rFonts w:cs="Arial"/>
          <w:color w:val="000000" w:themeColor="text1"/>
          <w:szCs w:val="16"/>
        </w:rPr>
        <w:br/>
        <w:t>State graduation requirements are the same for students with and without IEPs.</w:t>
      </w:r>
      <w:r w:rsidRPr="005C29F8">
        <w:rPr>
          <w:rFonts w:cs="Arial"/>
          <w:color w:val="000000" w:themeColor="text1"/>
          <w:szCs w:val="16"/>
        </w:rPr>
        <w:br/>
      </w:r>
      <w:r w:rsidRPr="005C29F8">
        <w:rPr>
          <w:rFonts w:cs="Arial"/>
          <w:color w:val="000000" w:themeColor="text1"/>
          <w:szCs w:val="16"/>
        </w:rPr>
        <w:br/>
        <w:t xml:space="preserve">Students receiving a diploma in four years or less are counted as graduates for the purposes of reporting these data in the SPP/APR  </w:t>
      </w:r>
    </w:p>
    <w:p w14:paraId="58C36CC8" w14:textId="7DE9B0CE" w:rsidR="00F672DF" w:rsidRPr="005C29F8" w:rsidRDefault="00F672DF" w:rsidP="006618C8">
      <w:pPr>
        <w:rPr>
          <w:rFonts w:cs="Arial"/>
          <w:b/>
          <w:color w:val="000000" w:themeColor="text1"/>
          <w:szCs w:val="16"/>
        </w:rPr>
      </w:pPr>
      <w:r w:rsidRPr="005C29F8">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Default="00F672DF" w:rsidP="006618C8">
      <w:pPr>
        <w:rPr>
          <w:rFonts w:cs="Arial"/>
          <w:color w:val="000000" w:themeColor="text1"/>
          <w:szCs w:val="16"/>
        </w:rPr>
      </w:pPr>
      <w:r w:rsidRPr="005C29F8">
        <w:rPr>
          <w:rFonts w:cs="Arial"/>
          <w:color w:val="000000" w:themeColor="text1"/>
          <w:szCs w:val="16"/>
        </w:rPr>
        <w:t>NO</w:t>
      </w:r>
    </w:p>
    <w:p w14:paraId="51BF8B64" w14:textId="746664C9" w:rsidR="0098478C" w:rsidRPr="005C29F8" w:rsidRDefault="0098478C" w:rsidP="004369B2">
      <w:pPr>
        <w:rPr>
          <w:b/>
          <w:color w:val="000000" w:themeColor="text1"/>
        </w:rPr>
      </w:pPr>
      <w:r w:rsidRPr="005C29F8">
        <w:rPr>
          <w:b/>
          <w:color w:val="000000" w:themeColor="text1"/>
        </w:rPr>
        <w:t>Provide additional information about this indicator (optional)</w:t>
      </w:r>
    </w:p>
    <w:p w14:paraId="2CDAC437" w14:textId="58A5CDB2" w:rsidR="002D145D" w:rsidRPr="005C29F8" w:rsidRDefault="002B7490" w:rsidP="000E33D0">
      <w:pPr>
        <w:rPr>
          <w:rFonts w:cs="Arial"/>
          <w:color w:val="000000" w:themeColor="text1"/>
          <w:szCs w:val="16"/>
        </w:rPr>
      </w:pPr>
      <w:r w:rsidRPr="005C29F8">
        <w:rPr>
          <w:rFonts w:cs="Arial"/>
          <w:color w:val="000000" w:themeColor="text1"/>
          <w:szCs w:val="16"/>
        </w:rPr>
        <w:t xml:space="preserve">This indicator reports a 4-year Adjusted Cohort Graduation Rate.  However, MA DESE reports to their stakeholders and Special Education Advisory Panel (SEAP) a 5-year graduation rate as we value the determination many students with IEPs demonstrate by staying in school an additional year to receive their high school diploma.  For the school year 2018 the 5-year graduation rate is 76.36% an increase of 4 percentage points from the 4-year graduation rate.  This result is an additional 583 students with IEPs earning their high school diploma.  </w:t>
      </w:r>
    </w:p>
    <w:p w14:paraId="7D2A5658" w14:textId="39995CE7" w:rsidR="000C60E1" w:rsidRPr="0033429D" w:rsidRDefault="00B0742B" w:rsidP="008645AD">
      <w:pPr>
        <w:pStyle w:val="Heading2"/>
      </w:pPr>
      <w:bookmarkStart w:id="3" w:name="_Toc382082358"/>
      <w:r w:rsidRPr="0033429D">
        <w:t>1</w:t>
      </w:r>
      <w:r w:rsidR="00684B51" w:rsidRPr="0033429D">
        <w:t xml:space="preserve"> </w:t>
      </w:r>
      <w:r w:rsidRPr="0033429D">
        <w:t xml:space="preserve">- </w:t>
      </w:r>
      <w:r w:rsidR="002D145D" w:rsidRPr="0033429D">
        <w:t>Prior FFY Required Actions</w:t>
      </w:r>
    </w:p>
    <w:p w14:paraId="42534530" w14:textId="7BEF428C" w:rsidR="002D145D" w:rsidRPr="005C29F8" w:rsidRDefault="002B7490" w:rsidP="00CE5723">
      <w:pPr>
        <w:rPr>
          <w:rFonts w:cs="Arial"/>
          <w:color w:val="000000" w:themeColor="text1"/>
          <w:szCs w:val="16"/>
        </w:rPr>
      </w:pPr>
      <w:r w:rsidRPr="005C29F8">
        <w:rPr>
          <w:rFonts w:cs="Arial"/>
          <w:color w:val="000000" w:themeColor="text1"/>
          <w:szCs w:val="16"/>
        </w:rPr>
        <w:t>None</w:t>
      </w:r>
    </w:p>
    <w:p w14:paraId="12317A47" w14:textId="75A98BEA" w:rsidR="00A2794A" w:rsidRPr="005C29F8" w:rsidRDefault="00A2794A" w:rsidP="00CE5723">
      <w:pPr>
        <w:rPr>
          <w:rFonts w:cs="Arial"/>
          <w:color w:val="000000" w:themeColor="text1"/>
          <w:szCs w:val="16"/>
        </w:rPr>
      </w:pPr>
    </w:p>
    <w:p w14:paraId="0D99EF95" w14:textId="4B8DDAD7" w:rsidR="004C462E" w:rsidRPr="0033429D" w:rsidRDefault="00862B20" w:rsidP="008645AD">
      <w:pPr>
        <w:pStyle w:val="Heading2"/>
      </w:pPr>
      <w:r w:rsidRPr="0033429D">
        <w:t>1</w:t>
      </w:r>
      <w:r w:rsidR="00684B51" w:rsidRPr="0033429D">
        <w:t xml:space="preserve"> </w:t>
      </w:r>
      <w:r w:rsidRPr="0033429D">
        <w:t xml:space="preserve">- </w:t>
      </w:r>
      <w:r w:rsidR="004C462E" w:rsidRPr="0033429D">
        <w:t>OSEP Response</w:t>
      </w:r>
    </w:p>
    <w:p w14:paraId="47549565" w14:textId="0718C089" w:rsidR="002D145D" w:rsidRPr="005C29F8" w:rsidRDefault="002D145D" w:rsidP="001F692C">
      <w:pPr>
        <w:rPr>
          <w:rFonts w:cs="Arial"/>
          <w:color w:val="000000" w:themeColor="text1"/>
          <w:szCs w:val="16"/>
        </w:rPr>
      </w:pPr>
    </w:p>
    <w:p w14:paraId="5F7376D0" w14:textId="1C114A8A" w:rsidR="004C462E" w:rsidRPr="0033429D" w:rsidRDefault="00B0742B" w:rsidP="008645AD">
      <w:pPr>
        <w:pStyle w:val="Heading2"/>
      </w:pPr>
      <w:bookmarkStart w:id="4" w:name="_Hlk21352084"/>
      <w:r w:rsidRPr="0033429D">
        <w:t xml:space="preserve">1 - </w:t>
      </w:r>
      <w:bookmarkEnd w:id="4"/>
      <w:r w:rsidR="004C462E" w:rsidRPr="0033429D">
        <w:t>Required Actions</w:t>
      </w:r>
    </w:p>
    <w:p w14:paraId="1EB5204A" w14:textId="0BB66F29" w:rsidR="002D145D" w:rsidRPr="005C29F8" w:rsidRDefault="002D145D" w:rsidP="001F692C">
      <w:pPr>
        <w:rPr>
          <w:rFonts w:cs="Arial"/>
          <w:color w:val="000000" w:themeColor="text1"/>
          <w:szCs w:val="16"/>
        </w:rPr>
      </w:pPr>
    </w:p>
    <w:p w14:paraId="14062900" w14:textId="77777777" w:rsidR="00D37BF0" w:rsidRPr="005C29F8" w:rsidRDefault="00D37BF0">
      <w:pPr>
        <w:spacing w:before="0" w:after="200" w:line="276" w:lineRule="auto"/>
        <w:rPr>
          <w:rFonts w:eastAsiaTheme="majorEastAsia" w:cs="Arial"/>
          <w:b/>
          <w:bCs/>
          <w:color w:val="000000" w:themeColor="text1"/>
          <w:szCs w:val="16"/>
        </w:rPr>
      </w:pPr>
      <w:bookmarkStart w:id="5" w:name="_Toc392159262"/>
      <w:r w:rsidRPr="005C29F8">
        <w:rPr>
          <w:rFonts w:cs="Arial"/>
          <w:color w:val="000000" w:themeColor="text1"/>
          <w:szCs w:val="16"/>
        </w:rPr>
        <w:br w:type="page"/>
      </w:r>
    </w:p>
    <w:p w14:paraId="06F42DD3" w14:textId="793A19C1" w:rsidR="00D21EAA" w:rsidRPr="005C29F8" w:rsidRDefault="00D21EAA">
      <w:pPr>
        <w:pStyle w:val="Heading1"/>
        <w:rPr>
          <w:color w:val="000000" w:themeColor="text1"/>
          <w:sz w:val="22"/>
        </w:rPr>
      </w:pPr>
      <w:r w:rsidRPr="005C29F8">
        <w:rPr>
          <w:color w:val="000000" w:themeColor="text1"/>
          <w:sz w:val="22"/>
        </w:rPr>
        <w:lastRenderedPageBreak/>
        <w:t>Indicator 2: Drop Out</w:t>
      </w:r>
      <w:bookmarkEnd w:id="3"/>
      <w:bookmarkEnd w:id="5"/>
    </w:p>
    <w:p w14:paraId="7F31959F" w14:textId="6C15FFEB" w:rsidR="002C60D5" w:rsidRPr="005C29F8" w:rsidRDefault="002C60D5" w:rsidP="00A018D4">
      <w:pPr>
        <w:rPr>
          <w:color w:val="000000" w:themeColor="text1"/>
          <w:szCs w:val="20"/>
        </w:rPr>
      </w:pPr>
      <w:r w:rsidRPr="005C29F8">
        <w:rPr>
          <w:b/>
          <w:color w:val="000000" w:themeColor="text1"/>
          <w:sz w:val="20"/>
          <w:szCs w:val="20"/>
        </w:rPr>
        <w:t>Instructions and Measurement</w:t>
      </w:r>
    </w:p>
    <w:p w14:paraId="608EBBFC" w14:textId="77777777" w:rsidR="004B782D" w:rsidRPr="005C29F8" w:rsidRDefault="004B782D" w:rsidP="004369B2">
      <w:pPr>
        <w:rPr>
          <w:color w:val="000000" w:themeColor="text1"/>
        </w:rPr>
      </w:pPr>
      <w:bookmarkStart w:id="6" w:name="_Toc392159263"/>
      <w:r w:rsidRPr="005C29F8">
        <w:rPr>
          <w:b/>
          <w:color w:val="000000" w:themeColor="text1"/>
        </w:rPr>
        <w:t>Monitoring Priority:</w:t>
      </w:r>
      <w:r w:rsidRPr="005C29F8">
        <w:rPr>
          <w:color w:val="000000" w:themeColor="text1"/>
        </w:rPr>
        <w:t xml:space="preserve"> FAPE in the LRE</w:t>
      </w:r>
    </w:p>
    <w:p w14:paraId="5ECEA58F" w14:textId="62AA4280" w:rsidR="004B782D" w:rsidRPr="005C29F8" w:rsidRDefault="004B782D" w:rsidP="009340E3">
      <w:pPr>
        <w:rPr>
          <w:color w:val="000000" w:themeColor="text1"/>
        </w:rPr>
      </w:pPr>
      <w:r w:rsidRPr="005C29F8">
        <w:rPr>
          <w:b/>
          <w:color w:val="000000" w:themeColor="text1"/>
        </w:rPr>
        <w:t>Results indicator:</w:t>
      </w:r>
      <w:r w:rsidR="00552927" w:rsidRPr="005C29F8">
        <w:rPr>
          <w:color w:val="000000" w:themeColor="text1"/>
        </w:rPr>
        <w:t xml:space="preserve"> </w:t>
      </w:r>
      <w:r w:rsidRPr="005C29F8">
        <w:rPr>
          <w:color w:val="000000" w:themeColor="text1"/>
        </w:rPr>
        <w:t>Percent of youth with IEPs dropping out of high school.</w:t>
      </w:r>
      <w:r w:rsidR="00552927" w:rsidRPr="005C29F8">
        <w:rPr>
          <w:color w:val="000000" w:themeColor="text1"/>
        </w:rPr>
        <w:t xml:space="preserve"> </w:t>
      </w:r>
      <w:r w:rsidRPr="005C29F8">
        <w:rPr>
          <w:color w:val="000000" w:themeColor="text1"/>
        </w:rPr>
        <w:t>(20 U.S.C. 1416 (a)(3)(A))</w:t>
      </w:r>
    </w:p>
    <w:p w14:paraId="0A0172CD" w14:textId="77777777" w:rsidR="00553544" w:rsidRPr="005C29F8" w:rsidRDefault="00553544" w:rsidP="004369B2">
      <w:pPr>
        <w:rPr>
          <w:color w:val="000000" w:themeColor="text1"/>
        </w:rPr>
      </w:pPr>
      <w:r w:rsidRPr="005C29F8">
        <w:rPr>
          <w:b/>
          <w:color w:val="000000" w:themeColor="text1"/>
        </w:rPr>
        <w:t>Data Source</w:t>
      </w:r>
    </w:p>
    <w:p w14:paraId="403134A2" w14:textId="77777777" w:rsidR="00553544" w:rsidRPr="005C29F8" w:rsidRDefault="00553544" w:rsidP="00296D74">
      <w:pPr>
        <w:rPr>
          <w:rFonts w:cs="Arial"/>
          <w:color w:val="000000" w:themeColor="text1"/>
          <w:szCs w:val="16"/>
        </w:rPr>
      </w:pPr>
      <w:r w:rsidRPr="005C29F8">
        <w:rPr>
          <w:rFonts w:cs="Arial"/>
          <w:color w:val="000000" w:themeColor="text1"/>
          <w:szCs w:val="16"/>
        </w:rPr>
        <w:t>OPTION 1:</w:t>
      </w:r>
    </w:p>
    <w:p w14:paraId="3ABD013F" w14:textId="6B60845D" w:rsidR="00553544" w:rsidRPr="005C29F8" w:rsidRDefault="00553544" w:rsidP="00296D74">
      <w:pPr>
        <w:rPr>
          <w:rFonts w:cs="Arial"/>
          <w:color w:val="000000" w:themeColor="text1"/>
          <w:szCs w:val="16"/>
        </w:rPr>
      </w:pPr>
      <w:r w:rsidRPr="005C29F8">
        <w:rPr>
          <w:rFonts w:cs="Arial"/>
          <w:color w:val="000000" w:themeColor="text1"/>
          <w:szCs w:val="16"/>
        </w:rPr>
        <w:t>Same data as used for reporting to the Department under section 618 of the Individuals with Disabilities Education Act (IDEA), using the definitions in EDFacts file specification FS009.</w:t>
      </w:r>
    </w:p>
    <w:p w14:paraId="7FE591EB" w14:textId="77777777" w:rsidR="00553544" w:rsidRPr="005C29F8" w:rsidRDefault="00553544" w:rsidP="00296D74">
      <w:pPr>
        <w:rPr>
          <w:rFonts w:cs="Arial"/>
          <w:color w:val="000000" w:themeColor="text1"/>
          <w:szCs w:val="16"/>
        </w:rPr>
      </w:pPr>
      <w:r w:rsidRPr="005C29F8">
        <w:rPr>
          <w:rFonts w:cs="Arial"/>
          <w:color w:val="000000" w:themeColor="text1"/>
          <w:szCs w:val="16"/>
        </w:rPr>
        <w:t>OPTION 2:</w:t>
      </w:r>
    </w:p>
    <w:p w14:paraId="251BE1E1" w14:textId="77777777" w:rsidR="00553544" w:rsidRPr="005C29F8" w:rsidRDefault="00553544" w:rsidP="00296D74">
      <w:pPr>
        <w:rPr>
          <w:rFonts w:cs="Arial"/>
          <w:color w:val="000000" w:themeColor="text1"/>
          <w:szCs w:val="16"/>
        </w:rPr>
      </w:pPr>
      <w:r w:rsidRPr="005C29F8">
        <w:rPr>
          <w:rFonts w:cs="Arial"/>
          <w:color w:val="000000" w:themeColor="text1"/>
          <w:szCs w:val="16"/>
        </w:rPr>
        <w:t>Use same data source and measurement that the State used to report in its FFY 2010 SPP/APR that was submitted on February 1, 2012.</w:t>
      </w:r>
    </w:p>
    <w:p w14:paraId="660E9DFB" w14:textId="77777777" w:rsidR="00553544" w:rsidRPr="005C29F8" w:rsidRDefault="00553544" w:rsidP="004369B2">
      <w:pPr>
        <w:rPr>
          <w:color w:val="000000" w:themeColor="text1"/>
        </w:rPr>
      </w:pPr>
      <w:r w:rsidRPr="005C29F8">
        <w:rPr>
          <w:b/>
          <w:color w:val="000000" w:themeColor="text1"/>
        </w:rPr>
        <w:t>Measurement</w:t>
      </w:r>
    </w:p>
    <w:p w14:paraId="2DDFA00B" w14:textId="77777777" w:rsidR="00553544" w:rsidRPr="005C29F8" w:rsidRDefault="00553544" w:rsidP="00296D74">
      <w:pPr>
        <w:rPr>
          <w:rFonts w:cs="Arial"/>
          <w:color w:val="000000" w:themeColor="text1"/>
          <w:szCs w:val="16"/>
        </w:rPr>
      </w:pPr>
      <w:r w:rsidRPr="005C29F8">
        <w:rPr>
          <w:rFonts w:cs="Arial"/>
          <w:color w:val="000000" w:themeColor="text1"/>
          <w:szCs w:val="16"/>
        </w:rPr>
        <w:t>OPTION 1:</w:t>
      </w:r>
    </w:p>
    <w:p w14:paraId="770B9C89" w14:textId="77777777" w:rsidR="00553544" w:rsidRPr="005C29F8" w:rsidRDefault="00553544" w:rsidP="00296D74">
      <w:pPr>
        <w:rPr>
          <w:rFonts w:cs="Arial"/>
          <w:color w:val="000000" w:themeColor="text1"/>
          <w:szCs w:val="16"/>
        </w:rPr>
      </w:pPr>
      <w:r w:rsidRPr="005C29F8">
        <w:rPr>
          <w:rFonts w:cs="Arial"/>
          <w:color w:val="000000" w:themeColor="text1"/>
          <w:szCs w:val="16"/>
        </w:rPr>
        <w:t>States must report a percentage using the number of youth with IEPs (ages 14-21) who exited special education due to dropping out in the numerator and the number of all youth with IEPs who left high school (ages 14-21) in the denominator.</w:t>
      </w:r>
    </w:p>
    <w:p w14:paraId="13812C1B" w14:textId="77777777" w:rsidR="00553544" w:rsidRPr="005C29F8" w:rsidRDefault="00553544" w:rsidP="00296D74">
      <w:pPr>
        <w:rPr>
          <w:rFonts w:cs="Arial"/>
          <w:color w:val="000000" w:themeColor="text1"/>
          <w:szCs w:val="16"/>
        </w:rPr>
      </w:pPr>
      <w:r w:rsidRPr="005C29F8">
        <w:rPr>
          <w:rFonts w:cs="Arial"/>
          <w:color w:val="000000" w:themeColor="text1"/>
          <w:szCs w:val="16"/>
        </w:rPr>
        <w:t>OPTION 2:</w:t>
      </w:r>
    </w:p>
    <w:p w14:paraId="5D85D6DB" w14:textId="77777777" w:rsidR="00553544" w:rsidRPr="005C29F8" w:rsidRDefault="00553544" w:rsidP="00296D74">
      <w:pPr>
        <w:rPr>
          <w:rFonts w:cs="Arial"/>
          <w:color w:val="000000" w:themeColor="text1"/>
          <w:szCs w:val="16"/>
        </w:rPr>
      </w:pPr>
      <w:r w:rsidRPr="005C29F8">
        <w:rPr>
          <w:rFonts w:cs="Arial"/>
          <w:color w:val="000000" w:themeColor="text1"/>
          <w:szCs w:val="16"/>
        </w:rPr>
        <w:t>Use same data source and measurement that the State used to report in its FFY 2010 SPP/APR that was submitted on February 1, 2012.</w:t>
      </w:r>
    </w:p>
    <w:p w14:paraId="0D547F78" w14:textId="77777777" w:rsidR="00553544" w:rsidRPr="005C29F8" w:rsidRDefault="00553544" w:rsidP="004369B2">
      <w:pPr>
        <w:rPr>
          <w:color w:val="000000" w:themeColor="text1"/>
        </w:rPr>
      </w:pPr>
      <w:r w:rsidRPr="005C29F8">
        <w:rPr>
          <w:b/>
          <w:color w:val="000000" w:themeColor="text1"/>
        </w:rPr>
        <w:t>Instructions</w:t>
      </w:r>
    </w:p>
    <w:p w14:paraId="64E3DDA2" w14:textId="77777777" w:rsidR="00553544" w:rsidRPr="005C29F8" w:rsidRDefault="00553544" w:rsidP="00296D74">
      <w:pPr>
        <w:rPr>
          <w:rFonts w:cs="Arial"/>
          <w:color w:val="000000" w:themeColor="text1"/>
          <w:szCs w:val="16"/>
        </w:rPr>
      </w:pPr>
      <w:r w:rsidRPr="005C29F8">
        <w:rPr>
          <w:rFonts w:cs="Arial"/>
          <w:color w:val="000000" w:themeColor="text1"/>
          <w:szCs w:val="16"/>
        </w:rPr>
        <w:t>Sampling is not allowed.</w:t>
      </w:r>
    </w:p>
    <w:p w14:paraId="14BA6A38" w14:textId="77777777" w:rsidR="00553544" w:rsidRPr="005C29F8" w:rsidRDefault="00553544" w:rsidP="00296D74">
      <w:pPr>
        <w:rPr>
          <w:rFonts w:cs="Arial"/>
          <w:color w:val="000000" w:themeColor="text1"/>
          <w:szCs w:val="16"/>
        </w:rPr>
      </w:pPr>
      <w:r w:rsidRPr="005C29F8">
        <w:rPr>
          <w:rFonts w:cs="Arial"/>
          <w:color w:val="000000" w:themeColor="text1"/>
          <w:szCs w:val="16"/>
        </w:rPr>
        <w:t>OPTION 1:</w:t>
      </w:r>
    </w:p>
    <w:p w14:paraId="4E899C11" w14:textId="7C1C3BD5" w:rsidR="00553544" w:rsidRPr="005C29F8" w:rsidRDefault="00A14B5D" w:rsidP="00296D74">
      <w:pPr>
        <w:rPr>
          <w:rFonts w:cs="Arial"/>
          <w:color w:val="000000" w:themeColor="text1"/>
          <w:szCs w:val="16"/>
        </w:rPr>
      </w:pPr>
      <w:r w:rsidRPr="005C29F8">
        <w:rPr>
          <w:rFonts w:cs="Arial"/>
          <w:color w:val="000000" w:themeColor="text1"/>
          <w:szCs w:val="16"/>
        </w:rPr>
        <w:t>Use 618 exiting data for the year before the reporting year (e.g., for the FFY 2019 SPP/APR, use data from 2018-2019). Include in the denominator the following exiting categories: (a) graduated with a regular high school diploma; (b) received a certificate; (c) reached maximum age; (d) dropped out; or (e) died.</w:t>
      </w:r>
    </w:p>
    <w:p w14:paraId="10351B16" w14:textId="77777777" w:rsidR="00553544" w:rsidRPr="005C29F8" w:rsidRDefault="00553544" w:rsidP="00296D74">
      <w:pPr>
        <w:rPr>
          <w:rFonts w:cs="Arial"/>
          <w:color w:val="000000" w:themeColor="text1"/>
          <w:szCs w:val="16"/>
        </w:rPr>
      </w:pPr>
      <w:r w:rsidRPr="005C29F8">
        <w:rPr>
          <w:rFonts w:cs="Arial"/>
          <w:color w:val="000000" w:themeColor="text1"/>
          <w:szCs w:val="16"/>
        </w:rPr>
        <w:t>Do not include in the denominator the number of youths with IEPs who exited special education due to: (a) transferring to regular education; or (b) who moved, but are known to be continuing in an educational program.</w:t>
      </w:r>
    </w:p>
    <w:p w14:paraId="605CC57A" w14:textId="77777777" w:rsidR="00553544" w:rsidRPr="005C29F8" w:rsidRDefault="00553544" w:rsidP="00296D74">
      <w:pPr>
        <w:rPr>
          <w:rFonts w:cs="Arial"/>
          <w:color w:val="000000" w:themeColor="text1"/>
          <w:szCs w:val="16"/>
        </w:rPr>
      </w:pPr>
      <w:r w:rsidRPr="005C29F8">
        <w:rPr>
          <w:rFonts w:cs="Arial"/>
          <w:color w:val="000000" w:themeColor="text1"/>
          <w:szCs w:val="16"/>
        </w:rPr>
        <w:t>OPTION 2:</w:t>
      </w:r>
    </w:p>
    <w:p w14:paraId="6210B2C8" w14:textId="77777777" w:rsidR="00553544" w:rsidRPr="005C29F8" w:rsidRDefault="00553544" w:rsidP="00296D74">
      <w:pPr>
        <w:rPr>
          <w:rFonts w:cs="Arial"/>
          <w:color w:val="000000" w:themeColor="text1"/>
          <w:szCs w:val="16"/>
        </w:rPr>
      </w:pPr>
      <w:r w:rsidRPr="005C29F8">
        <w:rPr>
          <w:rFonts w:cs="Arial"/>
          <w:color w:val="000000" w:themeColor="text1"/>
          <w:szCs w:val="16"/>
        </w:rPr>
        <w:t>Use the annual event school dropout rate for students leaving a school in a single year determined in accordance with the National Center for Education Statistic's Common Core of Data.</w:t>
      </w:r>
    </w:p>
    <w:p w14:paraId="35A79E37" w14:textId="77777777" w:rsidR="00553544" w:rsidRPr="005C29F8" w:rsidRDefault="00553544" w:rsidP="00296D74">
      <w:pPr>
        <w:rPr>
          <w:rFonts w:cs="Arial"/>
          <w:color w:val="000000" w:themeColor="text1"/>
          <w:szCs w:val="16"/>
        </w:rPr>
      </w:pPr>
      <w:r w:rsidRPr="005C29F8">
        <w:rPr>
          <w:rFonts w:cs="Arial"/>
          <w:color w:val="000000" w:themeColor="text1"/>
          <w:szCs w:val="16"/>
        </w:rPr>
        <w:t>If the State has made or proposes to make changes to the data source or measurement under Option 2, when compared to the information reported in its FFY 2010 SPP/APR submitted on February 1, 2012, the State should include a justification as to why such changes are warranted.</w:t>
      </w:r>
    </w:p>
    <w:p w14:paraId="7A6D6B9C" w14:textId="77777777" w:rsidR="00553544" w:rsidRPr="005C29F8" w:rsidRDefault="00553544" w:rsidP="00296D74">
      <w:pPr>
        <w:rPr>
          <w:rFonts w:cs="Arial"/>
          <w:color w:val="000000" w:themeColor="text1"/>
          <w:szCs w:val="16"/>
        </w:rPr>
      </w:pPr>
      <w:r w:rsidRPr="005C29F8">
        <w:rPr>
          <w:rFonts w:cs="Arial"/>
          <w:color w:val="000000" w:themeColor="text1"/>
          <w:szCs w:val="16"/>
        </w:rPr>
        <w:t>Options 1 and 2:</w:t>
      </w:r>
    </w:p>
    <w:p w14:paraId="52C63263" w14:textId="758B46CD" w:rsidR="00553544" w:rsidRPr="005C29F8" w:rsidRDefault="00A14B5D" w:rsidP="00296D74">
      <w:pPr>
        <w:rPr>
          <w:rFonts w:cs="Arial"/>
          <w:color w:val="000000" w:themeColor="text1"/>
          <w:szCs w:val="16"/>
        </w:rPr>
      </w:pPr>
      <w:r w:rsidRPr="005C29F8">
        <w:rPr>
          <w:rFonts w:cs="Arial"/>
          <w:color w:val="000000" w:themeColor="text1"/>
          <w:szCs w:val="16"/>
        </w:rPr>
        <w:t>Data for this indicator are “lag” data. Describe the results of the State’s examination of the data for the year before the reporting year (e.g., for the FFY 2019 SPP/APR, use data from 2018-2019), and compare the results to the target.</w:t>
      </w:r>
    </w:p>
    <w:p w14:paraId="1887DD67" w14:textId="77777777" w:rsidR="00553544" w:rsidRPr="005C29F8" w:rsidRDefault="00553544" w:rsidP="00296D74">
      <w:pPr>
        <w:rPr>
          <w:rFonts w:cs="Arial"/>
          <w:color w:val="000000" w:themeColor="text1"/>
          <w:szCs w:val="16"/>
        </w:rPr>
      </w:pPr>
      <w:r w:rsidRPr="005C29F8">
        <w:rPr>
          <w:rFonts w:cs="Arial"/>
          <w:color w:val="000000" w:themeColor="text1"/>
          <w:szCs w:val="16"/>
        </w:rPr>
        <w:t>Provide a narrative that describes what counts as dropping out for all youth and, if different, what counts as dropping out for youth with IEPs. If there is a difference, explain.</w:t>
      </w:r>
    </w:p>
    <w:bookmarkEnd w:id="6"/>
    <w:p w14:paraId="7F3C4C70" w14:textId="5E656134" w:rsidR="002C60D5" w:rsidRPr="0033429D" w:rsidRDefault="00F914B4" w:rsidP="008645AD">
      <w:pPr>
        <w:pStyle w:val="Heading2"/>
      </w:pPr>
      <w:r w:rsidRPr="0033429D">
        <w:t>2</w:t>
      </w:r>
      <w:r w:rsidR="00684B51" w:rsidRPr="0033429D">
        <w:t xml:space="preserve"> </w:t>
      </w:r>
      <w:r w:rsidRPr="0033429D">
        <w:t xml:space="preserve">- </w:t>
      </w:r>
      <w:r w:rsidR="002C60D5" w:rsidRPr="0033429D">
        <w:t>Indicator Data</w:t>
      </w:r>
    </w:p>
    <w:p w14:paraId="6F5DCECF" w14:textId="739F0BA3" w:rsidR="00907A35" w:rsidRDefault="00907A35" w:rsidP="004369B2">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14:paraId="628BEDAF" w14:textId="77777777" w:rsidTr="0033429D">
        <w:trPr>
          <w:trHeight w:val="311"/>
          <w:tblHeader/>
        </w:trPr>
        <w:tc>
          <w:tcPr>
            <w:tcW w:w="1797" w:type="dxa"/>
          </w:tcPr>
          <w:p w14:paraId="43FEF78C" w14:textId="77777777" w:rsidR="008F3F33" w:rsidRDefault="008F3F33" w:rsidP="002B6965">
            <w:pPr>
              <w:jc w:val="center"/>
              <w:rPr>
                <w:b/>
                <w:color w:val="000000" w:themeColor="text1"/>
              </w:rPr>
            </w:pPr>
            <w:r w:rsidRPr="005C29F8">
              <w:rPr>
                <w:rFonts w:cs="Arial"/>
                <w:b/>
                <w:color w:val="000000" w:themeColor="text1"/>
                <w:szCs w:val="16"/>
              </w:rPr>
              <w:t>Baseline Year</w:t>
            </w:r>
          </w:p>
        </w:tc>
        <w:tc>
          <w:tcPr>
            <w:tcW w:w="1798" w:type="dxa"/>
          </w:tcPr>
          <w:p w14:paraId="276B82F6" w14:textId="77777777" w:rsidR="008F3F33" w:rsidRDefault="008F3F33" w:rsidP="002B6965">
            <w:pPr>
              <w:jc w:val="center"/>
              <w:rPr>
                <w:b/>
                <w:color w:val="000000" w:themeColor="text1"/>
              </w:rPr>
            </w:pPr>
            <w:r>
              <w:rPr>
                <w:b/>
                <w:color w:val="000000" w:themeColor="text1"/>
              </w:rPr>
              <w:t>Baseline Data</w:t>
            </w:r>
          </w:p>
        </w:tc>
      </w:tr>
      <w:tr w:rsidR="008F3F33" w14:paraId="4706A01B" w14:textId="77777777" w:rsidTr="0033429D">
        <w:trPr>
          <w:trHeight w:val="311"/>
        </w:trPr>
        <w:tc>
          <w:tcPr>
            <w:tcW w:w="1797" w:type="dxa"/>
            <w:vAlign w:val="center"/>
          </w:tcPr>
          <w:p w14:paraId="2D2A3601" w14:textId="2E05C132" w:rsidR="008F3F33" w:rsidRPr="0033429D" w:rsidRDefault="008F3F33" w:rsidP="002B6965">
            <w:pPr>
              <w:jc w:val="center"/>
              <w:rPr>
                <w:bCs/>
                <w:color w:val="000000" w:themeColor="text1"/>
              </w:rPr>
            </w:pPr>
            <w:r w:rsidRPr="0033429D">
              <w:rPr>
                <w:bCs/>
                <w:color w:val="000000" w:themeColor="text1"/>
              </w:rPr>
              <w:t>2011</w:t>
            </w:r>
          </w:p>
        </w:tc>
        <w:tc>
          <w:tcPr>
            <w:tcW w:w="1798" w:type="dxa"/>
            <w:vAlign w:val="center"/>
          </w:tcPr>
          <w:p w14:paraId="47669FA0" w14:textId="71ECEF5D" w:rsidR="008F3F33" w:rsidRPr="0033429D" w:rsidRDefault="008F3F33" w:rsidP="002B6965">
            <w:pPr>
              <w:jc w:val="center"/>
              <w:rPr>
                <w:bCs/>
                <w:color w:val="000000" w:themeColor="text1"/>
              </w:rPr>
            </w:pPr>
            <w:r w:rsidRPr="0033429D">
              <w:rPr>
                <w:bCs/>
                <w:color w:val="000000" w:themeColor="text1"/>
              </w:rPr>
              <w:t>4.60%</w:t>
            </w:r>
          </w:p>
        </w:tc>
      </w:tr>
    </w:tbl>
    <w:p w14:paraId="1D724648" w14:textId="77777777" w:rsidR="008F3F33" w:rsidRPr="005C29F8"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5C29F8" w14:paraId="4B5BBF62" w14:textId="77777777" w:rsidTr="0033429D">
        <w:trPr>
          <w:trHeight w:val="350"/>
        </w:trPr>
        <w:tc>
          <w:tcPr>
            <w:tcW w:w="833" w:type="pct"/>
            <w:tcBorders>
              <w:bottom w:val="single" w:sz="4" w:space="0" w:color="auto"/>
            </w:tcBorders>
            <w:shd w:val="clear" w:color="auto" w:fill="auto"/>
          </w:tcPr>
          <w:p w14:paraId="7CE940CD" w14:textId="77777777" w:rsidR="00907A35" w:rsidRPr="005C29F8" w:rsidRDefault="00907A35" w:rsidP="004369B2">
            <w:pPr>
              <w:jc w:val="center"/>
              <w:rPr>
                <w:b/>
                <w:color w:val="000000" w:themeColor="text1"/>
              </w:rPr>
            </w:pPr>
            <w:r w:rsidRPr="005C29F8">
              <w:rPr>
                <w:b/>
                <w:color w:val="000000" w:themeColor="text1"/>
              </w:rPr>
              <w:t>FFY</w:t>
            </w:r>
          </w:p>
        </w:tc>
        <w:tc>
          <w:tcPr>
            <w:tcW w:w="833" w:type="pct"/>
            <w:shd w:val="clear" w:color="auto" w:fill="auto"/>
          </w:tcPr>
          <w:p w14:paraId="1B67E69F" w14:textId="56F9072E" w:rsidR="00907A35" w:rsidRPr="005C29F8" w:rsidRDefault="002B7490" w:rsidP="00894709">
            <w:pPr>
              <w:jc w:val="center"/>
              <w:rPr>
                <w:b/>
                <w:color w:val="000000" w:themeColor="text1"/>
              </w:rPr>
            </w:pPr>
            <w:r w:rsidRPr="005C29F8">
              <w:rPr>
                <w:b/>
                <w:color w:val="000000" w:themeColor="text1"/>
              </w:rPr>
              <w:t>2014</w:t>
            </w:r>
          </w:p>
        </w:tc>
        <w:tc>
          <w:tcPr>
            <w:tcW w:w="833" w:type="pct"/>
            <w:shd w:val="clear" w:color="auto" w:fill="auto"/>
          </w:tcPr>
          <w:p w14:paraId="7C0715D5" w14:textId="197F633E" w:rsidR="00907A35" w:rsidRPr="005C29F8" w:rsidRDefault="002B7490" w:rsidP="00894709">
            <w:pPr>
              <w:jc w:val="center"/>
              <w:rPr>
                <w:b/>
                <w:color w:val="000000" w:themeColor="text1"/>
              </w:rPr>
            </w:pPr>
            <w:r w:rsidRPr="005C29F8">
              <w:rPr>
                <w:b/>
                <w:color w:val="000000" w:themeColor="text1"/>
              </w:rPr>
              <w:t>2015</w:t>
            </w:r>
          </w:p>
        </w:tc>
        <w:tc>
          <w:tcPr>
            <w:tcW w:w="833" w:type="pct"/>
            <w:shd w:val="clear" w:color="auto" w:fill="auto"/>
          </w:tcPr>
          <w:p w14:paraId="36DD95CC" w14:textId="1D95C11E" w:rsidR="00907A35" w:rsidRPr="005C29F8" w:rsidRDefault="002B7490" w:rsidP="00894709">
            <w:pPr>
              <w:jc w:val="center"/>
              <w:rPr>
                <w:b/>
                <w:color w:val="000000" w:themeColor="text1"/>
              </w:rPr>
            </w:pPr>
            <w:r w:rsidRPr="005C29F8">
              <w:rPr>
                <w:b/>
                <w:color w:val="000000" w:themeColor="text1"/>
              </w:rPr>
              <w:t>2016</w:t>
            </w:r>
          </w:p>
        </w:tc>
        <w:tc>
          <w:tcPr>
            <w:tcW w:w="833" w:type="pct"/>
            <w:shd w:val="clear" w:color="auto" w:fill="auto"/>
          </w:tcPr>
          <w:p w14:paraId="6DC8920B" w14:textId="560E0E60" w:rsidR="00907A35" w:rsidRPr="005C29F8" w:rsidRDefault="002B7490" w:rsidP="00894709">
            <w:pPr>
              <w:jc w:val="center"/>
              <w:rPr>
                <w:b/>
                <w:color w:val="000000" w:themeColor="text1"/>
              </w:rPr>
            </w:pPr>
            <w:r w:rsidRPr="005C29F8">
              <w:rPr>
                <w:b/>
                <w:color w:val="000000" w:themeColor="text1"/>
              </w:rPr>
              <w:t>2017</w:t>
            </w:r>
          </w:p>
        </w:tc>
        <w:tc>
          <w:tcPr>
            <w:tcW w:w="834" w:type="pct"/>
            <w:shd w:val="clear" w:color="auto" w:fill="auto"/>
          </w:tcPr>
          <w:p w14:paraId="42978F28" w14:textId="43280835" w:rsidR="00907A35" w:rsidRPr="005C29F8" w:rsidRDefault="002B7490" w:rsidP="00894709">
            <w:pPr>
              <w:jc w:val="center"/>
              <w:rPr>
                <w:b/>
                <w:color w:val="000000" w:themeColor="text1"/>
              </w:rPr>
            </w:pPr>
            <w:r w:rsidRPr="005C29F8">
              <w:rPr>
                <w:b/>
                <w:color w:val="000000" w:themeColor="text1"/>
              </w:rPr>
              <w:t>2018</w:t>
            </w:r>
          </w:p>
        </w:tc>
      </w:tr>
      <w:tr w:rsidR="005C29F8" w:rsidRPr="005C29F8" w14:paraId="58F3D93E" w14:textId="77777777" w:rsidTr="0033429D">
        <w:trPr>
          <w:trHeight w:val="357"/>
        </w:trPr>
        <w:tc>
          <w:tcPr>
            <w:tcW w:w="833" w:type="pct"/>
            <w:shd w:val="clear" w:color="auto" w:fill="auto"/>
            <w:vAlign w:val="center"/>
          </w:tcPr>
          <w:p w14:paraId="19C9E1E1" w14:textId="72240B64" w:rsidR="00907A35" w:rsidRPr="005C29F8" w:rsidRDefault="00907A35" w:rsidP="001F692C">
            <w:pPr>
              <w:rPr>
                <w:rFonts w:cs="Arial"/>
                <w:color w:val="000000" w:themeColor="text1"/>
                <w:szCs w:val="16"/>
              </w:rPr>
            </w:pPr>
            <w:r w:rsidRPr="005C29F8">
              <w:rPr>
                <w:rFonts w:cs="Arial"/>
                <w:color w:val="000000" w:themeColor="text1"/>
                <w:szCs w:val="16"/>
              </w:rPr>
              <w:t xml:space="preserve">Target </w:t>
            </w:r>
            <w:r w:rsidR="0051170F" w:rsidRPr="005C29F8">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5C29F8" w:rsidRDefault="002B7490" w:rsidP="00E0321D">
            <w:pPr>
              <w:jc w:val="center"/>
              <w:rPr>
                <w:rFonts w:cs="Arial"/>
                <w:color w:val="000000" w:themeColor="text1"/>
                <w:szCs w:val="16"/>
              </w:rPr>
            </w:pPr>
            <w:r w:rsidRPr="005C29F8">
              <w:rPr>
                <w:rFonts w:cs="Arial"/>
                <w:color w:val="000000" w:themeColor="text1"/>
                <w:szCs w:val="16"/>
              </w:rPr>
              <w:t>3.00%</w:t>
            </w:r>
          </w:p>
        </w:tc>
        <w:tc>
          <w:tcPr>
            <w:tcW w:w="833" w:type="pct"/>
            <w:shd w:val="clear" w:color="auto" w:fill="auto"/>
            <w:vAlign w:val="center"/>
          </w:tcPr>
          <w:p w14:paraId="09754C04" w14:textId="6AA1C908" w:rsidR="00907A35" w:rsidRPr="005C29F8" w:rsidRDefault="002B7490" w:rsidP="00E0321D">
            <w:pPr>
              <w:jc w:val="center"/>
              <w:rPr>
                <w:rFonts w:cs="Arial"/>
                <w:color w:val="000000" w:themeColor="text1"/>
                <w:szCs w:val="16"/>
              </w:rPr>
            </w:pPr>
            <w:r w:rsidRPr="005C29F8">
              <w:rPr>
                <w:rFonts w:cs="Arial"/>
                <w:color w:val="000000" w:themeColor="text1"/>
                <w:szCs w:val="16"/>
              </w:rPr>
              <w:t>2.70%</w:t>
            </w:r>
          </w:p>
        </w:tc>
        <w:tc>
          <w:tcPr>
            <w:tcW w:w="833" w:type="pct"/>
            <w:shd w:val="clear" w:color="auto" w:fill="auto"/>
            <w:vAlign w:val="center"/>
          </w:tcPr>
          <w:p w14:paraId="73F1F537" w14:textId="213B7CF6" w:rsidR="00907A35" w:rsidRPr="005C29F8" w:rsidRDefault="002B7490" w:rsidP="00E0321D">
            <w:pPr>
              <w:jc w:val="center"/>
              <w:rPr>
                <w:rFonts w:cs="Arial"/>
                <w:color w:val="000000" w:themeColor="text1"/>
                <w:szCs w:val="16"/>
              </w:rPr>
            </w:pPr>
            <w:r w:rsidRPr="005C29F8">
              <w:rPr>
                <w:rFonts w:cs="Arial"/>
                <w:color w:val="000000" w:themeColor="text1"/>
                <w:szCs w:val="16"/>
              </w:rPr>
              <w:t>2.40%</w:t>
            </w:r>
          </w:p>
        </w:tc>
        <w:tc>
          <w:tcPr>
            <w:tcW w:w="833" w:type="pct"/>
            <w:shd w:val="clear" w:color="auto" w:fill="auto"/>
            <w:vAlign w:val="center"/>
          </w:tcPr>
          <w:p w14:paraId="24592EED" w14:textId="5BE30DC5" w:rsidR="00907A35" w:rsidRPr="005C29F8" w:rsidRDefault="002B7490" w:rsidP="00E0321D">
            <w:pPr>
              <w:jc w:val="center"/>
              <w:rPr>
                <w:rFonts w:cs="Arial"/>
                <w:color w:val="000000" w:themeColor="text1"/>
                <w:szCs w:val="16"/>
              </w:rPr>
            </w:pPr>
            <w:r w:rsidRPr="005C29F8">
              <w:rPr>
                <w:rFonts w:cs="Arial"/>
                <w:color w:val="000000" w:themeColor="text1"/>
                <w:szCs w:val="16"/>
              </w:rPr>
              <w:t>2.10%</w:t>
            </w:r>
          </w:p>
        </w:tc>
        <w:tc>
          <w:tcPr>
            <w:tcW w:w="834" w:type="pct"/>
            <w:shd w:val="clear" w:color="auto" w:fill="auto"/>
            <w:vAlign w:val="center"/>
          </w:tcPr>
          <w:p w14:paraId="0C69FBF7" w14:textId="5FED7341" w:rsidR="00907A35" w:rsidRPr="005C29F8" w:rsidRDefault="002B7490" w:rsidP="00E0321D">
            <w:pPr>
              <w:jc w:val="center"/>
              <w:rPr>
                <w:rFonts w:cs="Arial"/>
                <w:color w:val="000000" w:themeColor="text1"/>
                <w:szCs w:val="16"/>
              </w:rPr>
            </w:pPr>
            <w:r w:rsidRPr="005C29F8">
              <w:rPr>
                <w:rFonts w:cs="Arial"/>
                <w:color w:val="000000" w:themeColor="text1"/>
                <w:szCs w:val="16"/>
              </w:rPr>
              <w:t>1.70%</w:t>
            </w:r>
          </w:p>
        </w:tc>
      </w:tr>
      <w:tr w:rsidR="005C29F8" w:rsidRPr="005C29F8" w14:paraId="06558B7E" w14:textId="77777777" w:rsidTr="0033429D">
        <w:trPr>
          <w:trHeight w:val="85"/>
        </w:trPr>
        <w:tc>
          <w:tcPr>
            <w:tcW w:w="833" w:type="pct"/>
            <w:shd w:val="clear" w:color="auto" w:fill="auto"/>
            <w:vAlign w:val="center"/>
          </w:tcPr>
          <w:p w14:paraId="1DE2074D" w14:textId="77777777" w:rsidR="00907A35" w:rsidRPr="005C29F8" w:rsidRDefault="00907A35" w:rsidP="001F692C">
            <w:pPr>
              <w:rPr>
                <w:rFonts w:cs="Arial"/>
                <w:color w:val="000000" w:themeColor="text1"/>
                <w:szCs w:val="16"/>
              </w:rPr>
            </w:pPr>
            <w:r w:rsidRPr="005C29F8">
              <w:rPr>
                <w:rFonts w:cs="Arial"/>
                <w:color w:val="000000" w:themeColor="text1"/>
                <w:szCs w:val="16"/>
              </w:rPr>
              <w:t>Data</w:t>
            </w:r>
          </w:p>
        </w:tc>
        <w:tc>
          <w:tcPr>
            <w:tcW w:w="833" w:type="pct"/>
            <w:shd w:val="clear" w:color="auto" w:fill="auto"/>
            <w:vAlign w:val="center"/>
          </w:tcPr>
          <w:p w14:paraId="033EDE68" w14:textId="28E51F4E" w:rsidR="00907A35" w:rsidRPr="005C29F8" w:rsidRDefault="002B7490" w:rsidP="00E0321D">
            <w:pPr>
              <w:jc w:val="center"/>
              <w:rPr>
                <w:rFonts w:cs="Arial"/>
                <w:color w:val="000000" w:themeColor="text1"/>
                <w:szCs w:val="16"/>
              </w:rPr>
            </w:pPr>
            <w:r w:rsidRPr="005C29F8">
              <w:rPr>
                <w:rFonts w:cs="Arial"/>
                <w:color w:val="000000" w:themeColor="text1"/>
                <w:szCs w:val="16"/>
              </w:rPr>
              <w:t>3.32%</w:t>
            </w:r>
          </w:p>
        </w:tc>
        <w:tc>
          <w:tcPr>
            <w:tcW w:w="833" w:type="pct"/>
            <w:shd w:val="clear" w:color="auto" w:fill="auto"/>
            <w:vAlign w:val="center"/>
          </w:tcPr>
          <w:p w14:paraId="1DE6EF8F" w14:textId="2C6399B2" w:rsidR="00907A35" w:rsidRPr="005C29F8" w:rsidRDefault="002B7490" w:rsidP="00E0321D">
            <w:pPr>
              <w:jc w:val="center"/>
              <w:rPr>
                <w:rFonts w:cs="Arial"/>
                <w:color w:val="000000" w:themeColor="text1"/>
                <w:szCs w:val="16"/>
              </w:rPr>
            </w:pPr>
            <w:r w:rsidRPr="005C29F8">
              <w:rPr>
                <w:rFonts w:cs="Arial"/>
                <w:color w:val="000000" w:themeColor="text1"/>
                <w:szCs w:val="16"/>
              </w:rPr>
              <w:t>3.50%</w:t>
            </w:r>
          </w:p>
        </w:tc>
        <w:tc>
          <w:tcPr>
            <w:tcW w:w="833" w:type="pct"/>
            <w:tcBorders>
              <w:bottom w:val="single" w:sz="4" w:space="0" w:color="auto"/>
            </w:tcBorders>
            <w:shd w:val="clear" w:color="auto" w:fill="auto"/>
            <w:vAlign w:val="center"/>
          </w:tcPr>
          <w:p w14:paraId="3F810822" w14:textId="70D15FEC" w:rsidR="00907A35" w:rsidRPr="005C29F8" w:rsidRDefault="002B7490" w:rsidP="00E0321D">
            <w:pPr>
              <w:jc w:val="center"/>
              <w:rPr>
                <w:rFonts w:cs="Arial"/>
                <w:color w:val="000000" w:themeColor="text1"/>
                <w:szCs w:val="16"/>
              </w:rPr>
            </w:pPr>
            <w:r w:rsidRPr="005C29F8">
              <w:rPr>
                <w:rFonts w:cs="Arial"/>
                <w:color w:val="000000" w:themeColor="text1"/>
                <w:szCs w:val="16"/>
              </w:rPr>
              <w:t>3.13%</w:t>
            </w:r>
          </w:p>
        </w:tc>
        <w:tc>
          <w:tcPr>
            <w:tcW w:w="833" w:type="pct"/>
            <w:tcBorders>
              <w:bottom w:val="single" w:sz="4" w:space="0" w:color="auto"/>
            </w:tcBorders>
            <w:shd w:val="clear" w:color="auto" w:fill="auto"/>
            <w:vAlign w:val="center"/>
          </w:tcPr>
          <w:p w14:paraId="5421E042" w14:textId="6AE010E9" w:rsidR="00907A35" w:rsidRPr="005C29F8" w:rsidRDefault="002B7490" w:rsidP="00E0321D">
            <w:pPr>
              <w:jc w:val="center"/>
              <w:rPr>
                <w:rFonts w:cs="Arial"/>
                <w:color w:val="000000" w:themeColor="text1"/>
                <w:szCs w:val="16"/>
              </w:rPr>
            </w:pPr>
            <w:r w:rsidRPr="005C29F8">
              <w:rPr>
                <w:rFonts w:cs="Arial"/>
                <w:color w:val="000000" w:themeColor="text1"/>
                <w:szCs w:val="16"/>
              </w:rPr>
              <w:t>3.29%</w:t>
            </w:r>
          </w:p>
        </w:tc>
        <w:tc>
          <w:tcPr>
            <w:tcW w:w="834" w:type="pct"/>
            <w:tcBorders>
              <w:bottom w:val="single" w:sz="4" w:space="0" w:color="auto"/>
            </w:tcBorders>
            <w:shd w:val="clear" w:color="auto" w:fill="auto"/>
            <w:vAlign w:val="center"/>
          </w:tcPr>
          <w:p w14:paraId="32A53100" w14:textId="125B9065" w:rsidR="00907A35" w:rsidRPr="005C29F8" w:rsidRDefault="002B7490" w:rsidP="00E0321D">
            <w:pPr>
              <w:jc w:val="center"/>
              <w:rPr>
                <w:rFonts w:cs="Arial"/>
                <w:color w:val="000000" w:themeColor="text1"/>
                <w:szCs w:val="16"/>
              </w:rPr>
            </w:pPr>
            <w:r w:rsidRPr="005C29F8">
              <w:rPr>
                <w:rFonts w:cs="Arial"/>
                <w:color w:val="000000" w:themeColor="text1"/>
                <w:szCs w:val="16"/>
              </w:rPr>
              <w:t>3.36%</w:t>
            </w:r>
          </w:p>
        </w:tc>
      </w:tr>
    </w:tbl>
    <w:p w14:paraId="2E8ED284" w14:textId="77777777" w:rsidR="00654A4B" w:rsidRPr="005C29F8" w:rsidRDefault="00654A4B" w:rsidP="004369B2">
      <w:pPr>
        <w:rPr>
          <w:color w:val="000000" w:themeColor="text1"/>
        </w:rPr>
      </w:pPr>
    </w:p>
    <w:p w14:paraId="1AD526FC" w14:textId="0D130AB7" w:rsidR="00907A35" w:rsidRPr="005C29F8" w:rsidRDefault="00907A35" w:rsidP="004369B2">
      <w:pPr>
        <w:rPr>
          <w:color w:val="000000" w:themeColor="text1"/>
        </w:rPr>
      </w:pPr>
      <w:r w:rsidRPr="005C29F8">
        <w:rPr>
          <w:b/>
          <w:color w:val="000000" w:themeColor="text1"/>
        </w:rPr>
        <w:t>Targets</w:t>
      </w:r>
    </w:p>
    <w:tbl>
      <w:tblPr>
        <w:tblW w:w="1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984"/>
        <w:gridCol w:w="2251"/>
      </w:tblGrid>
      <w:tr w:rsidR="00085D89" w:rsidRPr="005C29F8" w14:paraId="029A4CCE" w14:textId="210CC16E" w:rsidTr="00085D89">
        <w:trPr>
          <w:trHeight w:val="350"/>
        </w:trPr>
        <w:tc>
          <w:tcPr>
            <w:tcW w:w="1521" w:type="pct"/>
            <w:tcBorders>
              <w:bottom w:val="single" w:sz="4" w:space="0" w:color="auto"/>
            </w:tcBorders>
            <w:shd w:val="clear" w:color="auto" w:fill="auto"/>
          </w:tcPr>
          <w:p w14:paraId="7E454C96" w14:textId="77777777" w:rsidR="00085D89" w:rsidRPr="005C29F8" w:rsidRDefault="00085D89" w:rsidP="004369B2">
            <w:pPr>
              <w:jc w:val="center"/>
              <w:rPr>
                <w:b/>
                <w:color w:val="000000" w:themeColor="text1"/>
              </w:rPr>
            </w:pPr>
            <w:r w:rsidRPr="005C29F8">
              <w:rPr>
                <w:b/>
                <w:color w:val="000000" w:themeColor="text1"/>
              </w:rPr>
              <w:t>FFY</w:t>
            </w:r>
          </w:p>
        </w:tc>
        <w:tc>
          <w:tcPr>
            <w:tcW w:w="3479" w:type="pct"/>
            <w:shd w:val="clear" w:color="auto" w:fill="auto"/>
            <w:vAlign w:val="center"/>
          </w:tcPr>
          <w:p w14:paraId="43981BCA" w14:textId="46BADE94" w:rsidR="00085D89" w:rsidRPr="005C29F8" w:rsidRDefault="00085D89" w:rsidP="004369B2">
            <w:pPr>
              <w:jc w:val="center"/>
              <w:rPr>
                <w:b/>
                <w:color w:val="000000" w:themeColor="text1"/>
              </w:rPr>
            </w:pPr>
            <w:r w:rsidRPr="005C29F8">
              <w:rPr>
                <w:b/>
                <w:color w:val="000000" w:themeColor="text1"/>
              </w:rPr>
              <w:t>2019</w:t>
            </w:r>
          </w:p>
        </w:tc>
      </w:tr>
      <w:tr w:rsidR="00085D89" w:rsidRPr="005C29F8" w14:paraId="74AFE5A4" w14:textId="29DB4C33" w:rsidTr="00043AAB">
        <w:trPr>
          <w:trHeight w:val="357"/>
        </w:trPr>
        <w:tc>
          <w:tcPr>
            <w:tcW w:w="1521" w:type="pct"/>
            <w:shd w:val="clear" w:color="auto" w:fill="auto"/>
            <w:vAlign w:val="center"/>
          </w:tcPr>
          <w:p w14:paraId="74812D09" w14:textId="3A67082C" w:rsidR="00085D89" w:rsidRPr="005C29F8" w:rsidRDefault="00085D89" w:rsidP="007D7A20">
            <w:pPr>
              <w:rPr>
                <w:rFonts w:cs="Arial"/>
                <w:color w:val="000000" w:themeColor="text1"/>
                <w:szCs w:val="16"/>
              </w:rPr>
            </w:pPr>
            <w:r w:rsidRPr="005C29F8">
              <w:rPr>
                <w:rFonts w:cs="Arial"/>
                <w:color w:val="000000" w:themeColor="text1"/>
                <w:szCs w:val="16"/>
              </w:rPr>
              <w:t>Target &lt;=</w:t>
            </w:r>
          </w:p>
        </w:tc>
        <w:tc>
          <w:tcPr>
            <w:tcW w:w="3479" w:type="pct"/>
            <w:shd w:val="clear" w:color="auto" w:fill="auto"/>
            <w:vAlign w:val="center"/>
          </w:tcPr>
          <w:p w14:paraId="1AA9A6F0" w14:textId="23F8F955" w:rsidR="00085D89" w:rsidRPr="005C29F8" w:rsidRDefault="00085D89" w:rsidP="00A018D4">
            <w:pPr>
              <w:jc w:val="center"/>
              <w:rPr>
                <w:rFonts w:cs="Arial"/>
                <w:color w:val="000000" w:themeColor="text1"/>
                <w:szCs w:val="16"/>
              </w:rPr>
            </w:pPr>
            <w:r w:rsidRPr="005C29F8">
              <w:rPr>
                <w:rFonts w:cs="Arial"/>
                <w:color w:val="000000" w:themeColor="text1"/>
                <w:szCs w:val="16"/>
              </w:rPr>
              <w:t>1.70%</w:t>
            </w:r>
          </w:p>
        </w:tc>
      </w:tr>
    </w:tbl>
    <w:p w14:paraId="23C212C7" w14:textId="54B31D84" w:rsidR="002D145D" w:rsidRDefault="002D145D">
      <w:pPr>
        <w:rPr>
          <w:b/>
          <w:color w:val="000000" w:themeColor="text1"/>
        </w:rPr>
      </w:pPr>
      <w:r w:rsidRPr="005C29F8">
        <w:rPr>
          <w:b/>
          <w:color w:val="000000" w:themeColor="text1"/>
        </w:rPr>
        <w:t>Targets: Description of Stakeholder Input</w:t>
      </w:r>
    </w:p>
    <w:p w14:paraId="713FE3D9" w14:textId="115A66E3" w:rsidR="0051170F" w:rsidRDefault="0051170F" w:rsidP="004369B2">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t>
      </w:r>
      <w:r w:rsidRPr="005C29F8">
        <w:rPr>
          <w:rFonts w:cs="Arial"/>
          <w:color w:val="000000" w:themeColor="text1"/>
          <w:szCs w:val="16"/>
        </w:rPr>
        <w:lastRenderedPageBreak/>
        <w:t>workgroup, and a secondary transition stakeholder group. MA DESE also consults with educators, parents, advocates, and others on an ad hoc basis to inform policy and practice. Stakeholder engagement is an essential component of MA DESE’s special education agenda.</w:t>
      </w:r>
    </w:p>
    <w:p w14:paraId="1646393A" w14:textId="2F9E8E4A" w:rsidR="002D145D" w:rsidRPr="005C29F8" w:rsidRDefault="002B7490" w:rsidP="002D145D">
      <w:pPr>
        <w:rPr>
          <w:rFonts w:cs="Arial"/>
          <w:color w:val="000000" w:themeColor="text1"/>
          <w:szCs w:val="16"/>
        </w:rPr>
      </w:pPr>
      <w:r w:rsidRPr="005C29F8">
        <w:rPr>
          <w:rFonts w:cs="Arial"/>
          <w:color w:val="000000" w:themeColor="text1"/>
          <w:szCs w:val="16"/>
        </w:rPr>
        <w:t>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schools, and educational collaboratives; representatives of higher education; and health care and related service providers.</w:t>
      </w:r>
      <w:r w:rsidRPr="005C29F8">
        <w:rPr>
          <w:rFonts w:cs="Arial"/>
          <w:color w:val="000000" w:themeColor="text1"/>
          <w:szCs w:val="16"/>
        </w:rPr>
        <w:br/>
      </w:r>
      <w:r w:rsidRPr="005C29F8">
        <w:rPr>
          <w:rFonts w:cs="Arial"/>
          <w:color w:val="000000" w:themeColor="text1"/>
          <w:szCs w:val="16"/>
        </w:rPr>
        <w:br/>
        <w:t>The SEAP met most recently in January 2021 to review current data and discuss future actions to improve the State’s performance.  As needed, MA DESE also convenes stakeholder working groups throughout the year to provide focused input on specific projects and policy priorities. MA DESE also consults with educators, parents, advocates, and other stakeholders on an ad hoc basis to inform policy and practice. Stakeholder engagement is an essential component of MA DESE’s special education agenda.</w:t>
      </w:r>
    </w:p>
    <w:p w14:paraId="540DBFAE" w14:textId="34D983B2" w:rsidR="00A2794A" w:rsidRPr="005C29F8" w:rsidRDefault="00A87A9D" w:rsidP="00DF30F0">
      <w:pPr>
        <w:rPr>
          <w:rFonts w:cs="Arial"/>
          <w:b/>
          <w:color w:val="000000" w:themeColor="text1"/>
          <w:szCs w:val="16"/>
        </w:rPr>
      </w:pPr>
      <w:r w:rsidRPr="005C29F8">
        <w:rPr>
          <w:rFonts w:cs="Arial"/>
          <w:b/>
          <w:color w:val="000000" w:themeColor="text1"/>
          <w:szCs w:val="16"/>
        </w:rPr>
        <w:t xml:space="preserve">Please indicate the reporting option used on this indicator </w:t>
      </w:r>
    </w:p>
    <w:p w14:paraId="4B2134EC" w14:textId="312D44C1" w:rsidR="006E3F55" w:rsidRPr="005C29F8" w:rsidRDefault="003D7F56" w:rsidP="0087456C">
      <w:pPr>
        <w:rPr>
          <w:color w:val="000000" w:themeColor="text1"/>
        </w:rPr>
      </w:pPr>
      <w:r w:rsidRPr="005C29F8">
        <w:rPr>
          <w:color w:val="000000" w:themeColor="text1"/>
        </w:rPr>
        <w:t>Option 2</w:t>
      </w:r>
    </w:p>
    <w:p w14:paraId="68E34693" w14:textId="382EE918" w:rsidR="00002962" w:rsidRPr="005C29F8" w:rsidRDefault="00002962" w:rsidP="004369B2">
      <w:pPr>
        <w:rPr>
          <w:color w:val="000000" w:themeColor="text1"/>
        </w:rPr>
      </w:pPr>
      <w:r w:rsidRPr="005C29F8">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5C29F8" w14:paraId="60D7260E" w14:textId="77777777" w:rsidTr="00044B5C">
        <w:trPr>
          <w:trHeight w:val="372"/>
          <w:tblHeader/>
        </w:trPr>
        <w:tc>
          <w:tcPr>
            <w:tcW w:w="1003" w:type="pct"/>
            <w:shd w:val="clear" w:color="auto" w:fill="auto"/>
          </w:tcPr>
          <w:p w14:paraId="7217614C" w14:textId="77777777" w:rsidR="001D55EC" w:rsidRPr="005C29F8" w:rsidRDefault="001D55EC" w:rsidP="000B4AA4">
            <w:pPr>
              <w:spacing w:after="0"/>
              <w:jc w:val="center"/>
              <w:rPr>
                <w:rFonts w:cs="Arial"/>
                <w:b/>
                <w:color w:val="000000" w:themeColor="text1"/>
                <w:szCs w:val="16"/>
              </w:rPr>
            </w:pPr>
            <w:r w:rsidRPr="005C29F8">
              <w:rPr>
                <w:rFonts w:cs="Arial"/>
                <w:b/>
                <w:color w:val="000000" w:themeColor="text1"/>
                <w:szCs w:val="16"/>
              </w:rPr>
              <w:t>Source</w:t>
            </w:r>
          </w:p>
        </w:tc>
        <w:tc>
          <w:tcPr>
            <w:tcW w:w="987" w:type="pct"/>
            <w:shd w:val="clear" w:color="auto" w:fill="auto"/>
          </w:tcPr>
          <w:p w14:paraId="05FC9008" w14:textId="77777777" w:rsidR="001D55EC" w:rsidRPr="005C29F8" w:rsidRDefault="001D55EC" w:rsidP="000B4AA4">
            <w:pPr>
              <w:spacing w:after="0"/>
              <w:jc w:val="center"/>
              <w:rPr>
                <w:rFonts w:cs="Arial"/>
                <w:b/>
                <w:color w:val="000000" w:themeColor="text1"/>
                <w:szCs w:val="16"/>
              </w:rPr>
            </w:pPr>
            <w:r w:rsidRPr="005C29F8">
              <w:rPr>
                <w:rFonts w:cs="Arial"/>
                <w:b/>
                <w:color w:val="000000" w:themeColor="text1"/>
                <w:szCs w:val="16"/>
              </w:rPr>
              <w:t>Date</w:t>
            </w:r>
          </w:p>
        </w:tc>
        <w:tc>
          <w:tcPr>
            <w:tcW w:w="2284" w:type="pct"/>
            <w:shd w:val="clear" w:color="auto" w:fill="auto"/>
          </w:tcPr>
          <w:p w14:paraId="452E3A47" w14:textId="77777777" w:rsidR="001D55EC" w:rsidRPr="005C29F8" w:rsidRDefault="001D55EC" w:rsidP="000B4AA4">
            <w:pPr>
              <w:spacing w:after="0"/>
              <w:jc w:val="center"/>
              <w:rPr>
                <w:rFonts w:cs="Arial"/>
                <w:b/>
                <w:color w:val="000000" w:themeColor="text1"/>
                <w:szCs w:val="16"/>
              </w:rPr>
            </w:pPr>
            <w:r w:rsidRPr="005C29F8">
              <w:rPr>
                <w:rFonts w:cs="Arial"/>
                <w:b/>
                <w:color w:val="000000" w:themeColor="text1"/>
                <w:szCs w:val="16"/>
              </w:rPr>
              <w:t>Description</w:t>
            </w:r>
          </w:p>
        </w:tc>
        <w:tc>
          <w:tcPr>
            <w:tcW w:w="727" w:type="pct"/>
            <w:shd w:val="clear" w:color="auto" w:fill="auto"/>
          </w:tcPr>
          <w:p w14:paraId="197E988D" w14:textId="77777777" w:rsidR="001D55EC" w:rsidRPr="005C29F8" w:rsidRDefault="001D55EC" w:rsidP="000B4AA4">
            <w:pPr>
              <w:spacing w:after="0"/>
              <w:jc w:val="center"/>
              <w:rPr>
                <w:rFonts w:cs="Arial"/>
                <w:b/>
                <w:color w:val="000000" w:themeColor="text1"/>
                <w:szCs w:val="16"/>
              </w:rPr>
            </w:pPr>
            <w:r w:rsidRPr="005C29F8">
              <w:rPr>
                <w:rFonts w:cs="Arial"/>
                <w:b/>
                <w:color w:val="000000" w:themeColor="text1"/>
                <w:szCs w:val="16"/>
              </w:rPr>
              <w:t>Data</w:t>
            </w:r>
          </w:p>
        </w:tc>
      </w:tr>
      <w:tr w:rsidR="005C29F8" w:rsidRPr="005C29F8" w14:paraId="20549B53" w14:textId="77777777" w:rsidTr="00044B5C">
        <w:trPr>
          <w:trHeight w:val="380"/>
        </w:trPr>
        <w:tc>
          <w:tcPr>
            <w:tcW w:w="1003" w:type="pct"/>
            <w:shd w:val="clear" w:color="auto" w:fill="auto"/>
          </w:tcPr>
          <w:p w14:paraId="38DBE1E5" w14:textId="4B654FBA" w:rsidR="001D55EC" w:rsidRPr="005C29F8" w:rsidRDefault="008A2533" w:rsidP="00A018D4">
            <w:pPr>
              <w:jc w:val="center"/>
              <w:rPr>
                <w:rFonts w:cs="Arial"/>
                <w:color w:val="000000" w:themeColor="text1"/>
                <w:szCs w:val="16"/>
              </w:rPr>
            </w:pPr>
            <w:r w:rsidRPr="005C29F8">
              <w:rPr>
                <w:rFonts w:cs="Arial"/>
                <w:color w:val="000000" w:themeColor="text1"/>
                <w:szCs w:val="16"/>
              </w:rPr>
              <w:t>SY 2018-19 Exiting Data Groups (EDFacts file spec FS009; Data Group 85)</w:t>
            </w:r>
          </w:p>
        </w:tc>
        <w:tc>
          <w:tcPr>
            <w:tcW w:w="987" w:type="pct"/>
            <w:shd w:val="clear" w:color="auto" w:fill="auto"/>
          </w:tcPr>
          <w:p w14:paraId="6675DCDD" w14:textId="08B07A76" w:rsidR="001D55EC" w:rsidRPr="005C29F8" w:rsidRDefault="008A2533" w:rsidP="00A018D4">
            <w:pPr>
              <w:jc w:val="center"/>
              <w:rPr>
                <w:rFonts w:cs="Arial"/>
                <w:color w:val="000000" w:themeColor="text1"/>
                <w:szCs w:val="16"/>
              </w:rPr>
            </w:pPr>
            <w:r w:rsidRPr="005C29F8">
              <w:rPr>
                <w:rFonts w:cs="Arial"/>
                <w:color w:val="000000" w:themeColor="text1"/>
                <w:szCs w:val="16"/>
              </w:rPr>
              <w:t>05/27/2020</w:t>
            </w:r>
          </w:p>
        </w:tc>
        <w:tc>
          <w:tcPr>
            <w:tcW w:w="2284" w:type="pct"/>
            <w:shd w:val="clear" w:color="auto" w:fill="auto"/>
          </w:tcPr>
          <w:p w14:paraId="52A6FFD9" w14:textId="722CDF17" w:rsidR="001D55EC" w:rsidRPr="005C29F8" w:rsidRDefault="00E619AC" w:rsidP="001D55EC">
            <w:pPr>
              <w:rPr>
                <w:rFonts w:cs="Arial"/>
                <w:color w:val="000000" w:themeColor="text1"/>
                <w:szCs w:val="16"/>
              </w:rPr>
            </w:pPr>
            <w:r w:rsidRPr="005C29F8">
              <w:rPr>
                <w:rFonts w:cs="Arial"/>
                <w:color w:val="000000" w:themeColor="text1"/>
                <w:szCs w:val="16"/>
              </w:rPr>
              <w:t>Number of youth with IEPs (ages 14-21) who exited special education by graduating with a regular high school diploma (a)</w:t>
            </w:r>
          </w:p>
        </w:tc>
        <w:tc>
          <w:tcPr>
            <w:tcW w:w="727" w:type="pct"/>
            <w:shd w:val="clear" w:color="auto" w:fill="auto"/>
          </w:tcPr>
          <w:p w14:paraId="6BB20172" w14:textId="320EF4B9" w:rsidR="001D55EC" w:rsidRPr="005C29F8" w:rsidRDefault="002B7490" w:rsidP="00A018D4">
            <w:pPr>
              <w:jc w:val="center"/>
              <w:rPr>
                <w:rFonts w:cs="Arial"/>
                <w:color w:val="000000" w:themeColor="text1"/>
                <w:szCs w:val="16"/>
              </w:rPr>
            </w:pPr>
            <w:r w:rsidRPr="005C29F8">
              <w:rPr>
                <w:rFonts w:cs="Arial"/>
                <w:color w:val="000000" w:themeColor="text1"/>
                <w:szCs w:val="16"/>
              </w:rPr>
              <w:t>8,645</w:t>
            </w:r>
          </w:p>
        </w:tc>
      </w:tr>
      <w:tr w:rsidR="005C29F8" w:rsidRPr="005C29F8" w14:paraId="7531005B" w14:textId="77777777" w:rsidTr="00044B5C">
        <w:trPr>
          <w:trHeight w:val="380"/>
        </w:trPr>
        <w:tc>
          <w:tcPr>
            <w:tcW w:w="1003" w:type="pct"/>
            <w:shd w:val="clear" w:color="auto" w:fill="auto"/>
          </w:tcPr>
          <w:p w14:paraId="68D79338" w14:textId="7556C19A" w:rsidR="00C470E8" w:rsidRPr="005C29F8" w:rsidRDefault="008A2533" w:rsidP="00A018D4">
            <w:pPr>
              <w:jc w:val="center"/>
              <w:rPr>
                <w:rFonts w:cs="Arial"/>
                <w:color w:val="000000" w:themeColor="text1"/>
                <w:szCs w:val="16"/>
              </w:rPr>
            </w:pPr>
            <w:r w:rsidRPr="005C29F8">
              <w:rPr>
                <w:rFonts w:cs="Arial"/>
                <w:color w:val="000000" w:themeColor="text1"/>
                <w:szCs w:val="16"/>
              </w:rPr>
              <w:t>SY 2018-19 Exiting Data Groups (EDFacts file spec FS009; Data Group 85)</w:t>
            </w:r>
          </w:p>
        </w:tc>
        <w:tc>
          <w:tcPr>
            <w:tcW w:w="987" w:type="pct"/>
            <w:shd w:val="clear" w:color="auto" w:fill="auto"/>
          </w:tcPr>
          <w:p w14:paraId="3137C3E8" w14:textId="1C4E2EC1" w:rsidR="00C470E8" w:rsidRPr="005C29F8" w:rsidRDefault="008A2533" w:rsidP="00A018D4">
            <w:pPr>
              <w:jc w:val="center"/>
              <w:rPr>
                <w:rFonts w:cs="Arial"/>
                <w:color w:val="000000" w:themeColor="text1"/>
                <w:szCs w:val="16"/>
              </w:rPr>
            </w:pPr>
            <w:r w:rsidRPr="005C29F8">
              <w:rPr>
                <w:rFonts w:cs="Arial"/>
                <w:color w:val="000000" w:themeColor="text1"/>
                <w:szCs w:val="16"/>
              </w:rPr>
              <w:t>05/27/2020</w:t>
            </w:r>
          </w:p>
        </w:tc>
        <w:tc>
          <w:tcPr>
            <w:tcW w:w="2284" w:type="pct"/>
            <w:shd w:val="clear" w:color="auto" w:fill="auto"/>
          </w:tcPr>
          <w:p w14:paraId="436358B9" w14:textId="0EC41849" w:rsidR="00C470E8" w:rsidRPr="005C29F8" w:rsidRDefault="00C470E8" w:rsidP="00C470E8">
            <w:pPr>
              <w:rPr>
                <w:rFonts w:cs="Arial"/>
                <w:color w:val="000000" w:themeColor="text1"/>
                <w:szCs w:val="16"/>
              </w:rPr>
            </w:pPr>
            <w:r w:rsidRPr="005C29F8">
              <w:rPr>
                <w:rFonts w:cs="Arial"/>
                <w:color w:val="000000" w:themeColor="text1"/>
                <w:szCs w:val="16"/>
              </w:rPr>
              <w:t>Number of youth with IEPs (ages 14-21) who exited special education by receiving a certificate (b)</w:t>
            </w:r>
          </w:p>
        </w:tc>
        <w:tc>
          <w:tcPr>
            <w:tcW w:w="727" w:type="pct"/>
            <w:shd w:val="clear" w:color="auto" w:fill="auto"/>
          </w:tcPr>
          <w:p w14:paraId="554F88F2" w14:textId="3F66A169" w:rsidR="00C470E8" w:rsidRPr="005C29F8" w:rsidRDefault="002B7490" w:rsidP="00A018D4">
            <w:pPr>
              <w:jc w:val="center"/>
              <w:rPr>
                <w:rFonts w:cs="Arial"/>
                <w:color w:val="000000" w:themeColor="text1"/>
                <w:szCs w:val="16"/>
              </w:rPr>
            </w:pPr>
            <w:r w:rsidRPr="005C29F8">
              <w:rPr>
                <w:rFonts w:cs="Arial"/>
                <w:color w:val="000000" w:themeColor="text1"/>
                <w:szCs w:val="16"/>
              </w:rPr>
              <w:t>592</w:t>
            </w:r>
          </w:p>
        </w:tc>
      </w:tr>
      <w:tr w:rsidR="005C29F8" w:rsidRPr="005C29F8" w14:paraId="56B284E9" w14:textId="77777777" w:rsidTr="00044B5C">
        <w:trPr>
          <w:trHeight w:val="380"/>
        </w:trPr>
        <w:tc>
          <w:tcPr>
            <w:tcW w:w="1003" w:type="pct"/>
            <w:shd w:val="clear" w:color="auto" w:fill="auto"/>
          </w:tcPr>
          <w:p w14:paraId="73E78D27" w14:textId="6A11D514" w:rsidR="00C470E8" w:rsidRPr="005C29F8" w:rsidRDefault="008A2533" w:rsidP="00A018D4">
            <w:pPr>
              <w:jc w:val="center"/>
              <w:rPr>
                <w:rFonts w:cs="Arial"/>
                <w:color w:val="000000" w:themeColor="text1"/>
                <w:szCs w:val="16"/>
              </w:rPr>
            </w:pPr>
            <w:r w:rsidRPr="005C29F8">
              <w:rPr>
                <w:rFonts w:cs="Arial"/>
                <w:color w:val="000000" w:themeColor="text1"/>
                <w:szCs w:val="16"/>
              </w:rPr>
              <w:t>SY 2018-19 Exiting Data Groups (EDFacts file spec FS009; Data Group 85)</w:t>
            </w:r>
          </w:p>
        </w:tc>
        <w:tc>
          <w:tcPr>
            <w:tcW w:w="987" w:type="pct"/>
            <w:shd w:val="clear" w:color="auto" w:fill="auto"/>
          </w:tcPr>
          <w:p w14:paraId="151F192A" w14:textId="492844E5" w:rsidR="00C470E8" w:rsidRPr="005C29F8" w:rsidRDefault="008A2533" w:rsidP="00A018D4">
            <w:pPr>
              <w:jc w:val="center"/>
              <w:rPr>
                <w:rFonts w:cs="Arial"/>
                <w:color w:val="000000" w:themeColor="text1"/>
                <w:szCs w:val="16"/>
              </w:rPr>
            </w:pPr>
            <w:r w:rsidRPr="005C29F8">
              <w:rPr>
                <w:rFonts w:cs="Arial"/>
                <w:color w:val="000000" w:themeColor="text1"/>
                <w:szCs w:val="16"/>
              </w:rPr>
              <w:t>05/27/2020</w:t>
            </w:r>
          </w:p>
        </w:tc>
        <w:tc>
          <w:tcPr>
            <w:tcW w:w="2284" w:type="pct"/>
            <w:shd w:val="clear" w:color="auto" w:fill="auto"/>
          </w:tcPr>
          <w:p w14:paraId="65152DCF" w14:textId="71719DBD" w:rsidR="00C470E8" w:rsidRPr="005C29F8" w:rsidRDefault="00C470E8" w:rsidP="00C470E8">
            <w:pPr>
              <w:rPr>
                <w:rFonts w:cs="Arial"/>
                <w:color w:val="000000" w:themeColor="text1"/>
                <w:szCs w:val="16"/>
              </w:rPr>
            </w:pPr>
            <w:r w:rsidRPr="005C29F8">
              <w:rPr>
                <w:rFonts w:cs="Arial"/>
                <w:color w:val="000000" w:themeColor="text1"/>
                <w:szCs w:val="16"/>
              </w:rPr>
              <w:t>Number of youth with IEPs (ages 14-21) who exited special education by reaching maximum age (c)</w:t>
            </w:r>
          </w:p>
        </w:tc>
        <w:tc>
          <w:tcPr>
            <w:tcW w:w="727" w:type="pct"/>
            <w:shd w:val="clear" w:color="auto" w:fill="auto"/>
          </w:tcPr>
          <w:p w14:paraId="788B37F6" w14:textId="5A91DAD0" w:rsidR="00C470E8" w:rsidRPr="005C29F8" w:rsidRDefault="002B7490" w:rsidP="00A018D4">
            <w:pPr>
              <w:jc w:val="center"/>
              <w:rPr>
                <w:rFonts w:cs="Arial"/>
                <w:color w:val="000000" w:themeColor="text1"/>
                <w:szCs w:val="16"/>
              </w:rPr>
            </w:pPr>
            <w:r w:rsidRPr="005C29F8">
              <w:rPr>
                <w:rFonts w:cs="Arial"/>
                <w:color w:val="000000" w:themeColor="text1"/>
                <w:szCs w:val="16"/>
              </w:rPr>
              <w:t>507</w:t>
            </w:r>
          </w:p>
        </w:tc>
      </w:tr>
      <w:tr w:rsidR="005C29F8" w:rsidRPr="005C29F8" w14:paraId="245FE023" w14:textId="77777777" w:rsidTr="00044B5C">
        <w:trPr>
          <w:trHeight w:val="380"/>
        </w:trPr>
        <w:tc>
          <w:tcPr>
            <w:tcW w:w="1003" w:type="pct"/>
            <w:shd w:val="clear" w:color="auto" w:fill="auto"/>
          </w:tcPr>
          <w:p w14:paraId="67B529F8" w14:textId="28E7DCDC" w:rsidR="00C470E8" w:rsidRPr="005C29F8" w:rsidRDefault="008A2533" w:rsidP="00A018D4">
            <w:pPr>
              <w:jc w:val="center"/>
              <w:rPr>
                <w:rFonts w:cs="Arial"/>
                <w:color w:val="000000" w:themeColor="text1"/>
                <w:szCs w:val="16"/>
              </w:rPr>
            </w:pPr>
            <w:r w:rsidRPr="005C29F8">
              <w:rPr>
                <w:rFonts w:cs="Arial"/>
                <w:color w:val="000000" w:themeColor="text1"/>
                <w:szCs w:val="16"/>
              </w:rPr>
              <w:t>SY 2018-19 Exiting Data Groups (EDFacts file spec FS009; Data Group 85)</w:t>
            </w:r>
          </w:p>
        </w:tc>
        <w:tc>
          <w:tcPr>
            <w:tcW w:w="987" w:type="pct"/>
            <w:shd w:val="clear" w:color="auto" w:fill="auto"/>
          </w:tcPr>
          <w:p w14:paraId="2C17EFE7" w14:textId="6210AB54" w:rsidR="00C470E8" w:rsidRPr="005C29F8" w:rsidRDefault="008A2533" w:rsidP="00A018D4">
            <w:pPr>
              <w:jc w:val="center"/>
              <w:rPr>
                <w:rFonts w:cs="Arial"/>
                <w:color w:val="000000" w:themeColor="text1"/>
                <w:szCs w:val="16"/>
              </w:rPr>
            </w:pPr>
            <w:r w:rsidRPr="005C29F8">
              <w:rPr>
                <w:rFonts w:cs="Arial"/>
                <w:color w:val="000000" w:themeColor="text1"/>
                <w:szCs w:val="16"/>
              </w:rPr>
              <w:t>05/27/2020</w:t>
            </w:r>
          </w:p>
        </w:tc>
        <w:tc>
          <w:tcPr>
            <w:tcW w:w="2284" w:type="pct"/>
            <w:shd w:val="clear" w:color="auto" w:fill="auto"/>
          </w:tcPr>
          <w:p w14:paraId="2D5B3E78" w14:textId="33A0054A" w:rsidR="00C470E8" w:rsidRPr="005C29F8" w:rsidRDefault="00C470E8" w:rsidP="00C470E8">
            <w:pPr>
              <w:rPr>
                <w:rFonts w:cs="Arial"/>
                <w:color w:val="000000" w:themeColor="text1"/>
                <w:szCs w:val="16"/>
              </w:rPr>
            </w:pPr>
            <w:r w:rsidRPr="005C29F8">
              <w:rPr>
                <w:rFonts w:cs="Arial"/>
                <w:color w:val="000000" w:themeColor="text1"/>
                <w:szCs w:val="16"/>
              </w:rPr>
              <w:t>Number of youth with IEPs (ages 14-21) who exited special education due to dropping out (d)</w:t>
            </w:r>
          </w:p>
        </w:tc>
        <w:tc>
          <w:tcPr>
            <w:tcW w:w="727" w:type="pct"/>
            <w:shd w:val="clear" w:color="auto" w:fill="auto"/>
          </w:tcPr>
          <w:p w14:paraId="20785B5C" w14:textId="4D7352C6" w:rsidR="00C470E8" w:rsidRPr="005C29F8" w:rsidRDefault="002B7490" w:rsidP="00A018D4">
            <w:pPr>
              <w:jc w:val="center"/>
              <w:rPr>
                <w:rFonts w:cs="Arial"/>
                <w:color w:val="000000" w:themeColor="text1"/>
                <w:szCs w:val="16"/>
              </w:rPr>
            </w:pPr>
            <w:r w:rsidRPr="005C29F8">
              <w:rPr>
                <w:rFonts w:cs="Arial"/>
                <w:color w:val="000000" w:themeColor="text1"/>
                <w:szCs w:val="16"/>
              </w:rPr>
              <w:t>1,582</w:t>
            </w:r>
          </w:p>
        </w:tc>
      </w:tr>
      <w:tr w:rsidR="005C29F8" w:rsidRPr="005C29F8" w14:paraId="5C11E618" w14:textId="77777777" w:rsidTr="00044B5C">
        <w:trPr>
          <w:trHeight w:val="380"/>
        </w:trPr>
        <w:tc>
          <w:tcPr>
            <w:tcW w:w="1003" w:type="pct"/>
            <w:shd w:val="clear" w:color="auto" w:fill="auto"/>
          </w:tcPr>
          <w:p w14:paraId="091C0770" w14:textId="34899354" w:rsidR="00C470E8" w:rsidRPr="005C29F8" w:rsidRDefault="008A2533" w:rsidP="00A018D4">
            <w:pPr>
              <w:jc w:val="center"/>
              <w:rPr>
                <w:rFonts w:cs="Arial"/>
                <w:color w:val="000000" w:themeColor="text1"/>
                <w:szCs w:val="16"/>
              </w:rPr>
            </w:pPr>
            <w:r w:rsidRPr="005C29F8">
              <w:rPr>
                <w:rFonts w:cs="Arial"/>
                <w:color w:val="000000" w:themeColor="text1"/>
                <w:szCs w:val="16"/>
              </w:rPr>
              <w:t>SY 2018-19 Exiting Data Groups (EDFacts file spec FS009; Data Group 85)</w:t>
            </w:r>
          </w:p>
        </w:tc>
        <w:tc>
          <w:tcPr>
            <w:tcW w:w="987" w:type="pct"/>
            <w:shd w:val="clear" w:color="auto" w:fill="auto"/>
          </w:tcPr>
          <w:p w14:paraId="13561567" w14:textId="1CE5C0E1" w:rsidR="00C470E8" w:rsidRPr="005C29F8" w:rsidRDefault="008A2533" w:rsidP="00A018D4">
            <w:pPr>
              <w:jc w:val="center"/>
              <w:rPr>
                <w:rFonts w:cs="Arial"/>
                <w:color w:val="000000" w:themeColor="text1"/>
                <w:szCs w:val="16"/>
              </w:rPr>
            </w:pPr>
            <w:r w:rsidRPr="005C29F8">
              <w:rPr>
                <w:rFonts w:cs="Arial"/>
                <w:color w:val="000000" w:themeColor="text1"/>
                <w:szCs w:val="16"/>
              </w:rPr>
              <w:t>05/27/2020</w:t>
            </w:r>
          </w:p>
        </w:tc>
        <w:tc>
          <w:tcPr>
            <w:tcW w:w="2284" w:type="pct"/>
            <w:shd w:val="clear" w:color="auto" w:fill="auto"/>
          </w:tcPr>
          <w:p w14:paraId="687FCF5B" w14:textId="5083A482" w:rsidR="00C470E8" w:rsidRPr="005C29F8" w:rsidRDefault="00C470E8" w:rsidP="00C470E8">
            <w:pPr>
              <w:rPr>
                <w:rFonts w:cs="Arial"/>
                <w:color w:val="000000" w:themeColor="text1"/>
                <w:szCs w:val="16"/>
              </w:rPr>
            </w:pPr>
            <w:r w:rsidRPr="005C29F8">
              <w:rPr>
                <w:rFonts w:cs="Arial"/>
                <w:color w:val="000000" w:themeColor="text1"/>
                <w:szCs w:val="16"/>
              </w:rPr>
              <w:t>Number of youth with IEPs (ages 14-21) who exited special education as a result of death (e)</w:t>
            </w:r>
          </w:p>
        </w:tc>
        <w:tc>
          <w:tcPr>
            <w:tcW w:w="727" w:type="pct"/>
            <w:shd w:val="clear" w:color="auto" w:fill="auto"/>
          </w:tcPr>
          <w:p w14:paraId="0A42C614" w14:textId="63E17EC0" w:rsidR="00C470E8" w:rsidRPr="005C29F8" w:rsidRDefault="002B7490" w:rsidP="00A018D4">
            <w:pPr>
              <w:jc w:val="center"/>
              <w:rPr>
                <w:rFonts w:cs="Arial"/>
                <w:color w:val="000000" w:themeColor="text1"/>
                <w:szCs w:val="16"/>
              </w:rPr>
            </w:pPr>
            <w:r w:rsidRPr="005C29F8">
              <w:rPr>
                <w:rFonts w:cs="Arial"/>
                <w:color w:val="000000" w:themeColor="text1"/>
                <w:szCs w:val="16"/>
              </w:rPr>
              <w:t>16</w:t>
            </w:r>
          </w:p>
        </w:tc>
      </w:tr>
    </w:tbl>
    <w:p w14:paraId="7CE42756" w14:textId="445D9372" w:rsidR="00654A4B" w:rsidRPr="005C29F8" w:rsidRDefault="00654A4B" w:rsidP="004369B2">
      <w:pPr>
        <w:rPr>
          <w:color w:val="000000" w:themeColor="text1"/>
        </w:rPr>
      </w:pPr>
    </w:p>
    <w:p w14:paraId="5F523C2B" w14:textId="45088C60" w:rsidR="00944C45" w:rsidRPr="005C29F8" w:rsidRDefault="00944C45" w:rsidP="004369B2">
      <w:pPr>
        <w:rPr>
          <w:b/>
          <w:color w:val="000000" w:themeColor="text1"/>
        </w:rPr>
      </w:pPr>
      <w:r w:rsidRPr="005C29F8">
        <w:rPr>
          <w:b/>
          <w:color w:val="000000" w:themeColor="text1"/>
        </w:rPr>
        <w:t>Has your State made or proposes to make changes to the data source under Option 2, when compared to the information reported in its FFY 2010 SPP/APR submitted on February 1, 2012? (yes/no)</w:t>
      </w:r>
    </w:p>
    <w:p w14:paraId="3EA5B07E" w14:textId="49F46C0D" w:rsidR="00944C45" w:rsidRPr="005C29F8" w:rsidRDefault="00944C45" w:rsidP="004369B2">
      <w:pPr>
        <w:rPr>
          <w:color w:val="000000" w:themeColor="text1"/>
        </w:rPr>
      </w:pPr>
      <w:r w:rsidRPr="005C29F8">
        <w:rPr>
          <w:color w:val="000000" w:themeColor="text1"/>
        </w:rPr>
        <w:t>NO</w:t>
      </w:r>
    </w:p>
    <w:p w14:paraId="5230F2BA" w14:textId="48082C5C" w:rsidR="0051170F" w:rsidRPr="005C29F8" w:rsidRDefault="0051170F" w:rsidP="0051170F">
      <w:pPr>
        <w:rPr>
          <w:rFonts w:cs="Arial"/>
          <w:b/>
          <w:color w:val="000000" w:themeColor="text1"/>
          <w:szCs w:val="16"/>
        </w:rPr>
      </w:pPr>
      <w:r w:rsidRPr="005C29F8">
        <w:rPr>
          <w:rFonts w:cs="Arial"/>
          <w:b/>
          <w:color w:val="000000" w:themeColor="text1"/>
          <w:szCs w:val="16"/>
        </w:rPr>
        <w:t>Use a different calculation methodology (yes/no)</w:t>
      </w:r>
    </w:p>
    <w:p w14:paraId="7C9AA806" w14:textId="5DCA8C43" w:rsidR="0051170F" w:rsidRPr="005C29F8" w:rsidRDefault="0051170F" w:rsidP="0051170F">
      <w:pPr>
        <w:rPr>
          <w:rFonts w:cs="Arial"/>
          <w:color w:val="000000" w:themeColor="text1"/>
          <w:szCs w:val="16"/>
        </w:rPr>
      </w:pPr>
      <w:r w:rsidRPr="005C29F8">
        <w:rPr>
          <w:rFonts w:cs="Arial"/>
          <w:color w:val="000000" w:themeColor="text1"/>
          <w:szCs w:val="16"/>
        </w:rPr>
        <w:t>YES</w:t>
      </w:r>
    </w:p>
    <w:p w14:paraId="3E73D84E" w14:textId="7D3E0CBD" w:rsidR="0051170F" w:rsidRPr="005C29F8" w:rsidRDefault="0051170F" w:rsidP="004369B2">
      <w:pPr>
        <w:rPr>
          <w:b/>
          <w:color w:val="000000" w:themeColor="text1"/>
        </w:rPr>
      </w:pPr>
      <w:r w:rsidRPr="005C29F8">
        <w:rPr>
          <w:rFonts w:cs="Arial"/>
          <w:b/>
          <w:color w:val="000000" w:themeColor="text1"/>
          <w:szCs w:val="16"/>
        </w:rPr>
        <w:t>Change numerator description in data table (yes/no)</w:t>
      </w:r>
    </w:p>
    <w:p w14:paraId="4010191C" w14:textId="0957938D" w:rsidR="00944C45" w:rsidRPr="005C29F8" w:rsidRDefault="0051170F" w:rsidP="00212954">
      <w:pPr>
        <w:rPr>
          <w:rFonts w:cs="Arial"/>
          <w:color w:val="000000" w:themeColor="text1"/>
          <w:szCs w:val="16"/>
        </w:rPr>
      </w:pPr>
      <w:r w:rsidRPr="005C29F8">
        <w:rPr>
          <w:rFonts w:cs="Arial"/>
          <w:color w:val="000000" w:themeColor="text1"/>
          <w:szCs w:val="16"/>
        </w:rPr>
        <w:t>NO</w:t>
      </w:r>
    </w:p>
    <w:p w14:paraId="7FC447FC" w14:textId="55411AE4" w:rsidR="0051170F" w:rsidRPr="005C29F8" w:rsidRDefault="0051170F" w:rsidP="00212954">
      <w:pPr>
        <w:rPr>
          <w:rFonts w:cs="Arial"/>
          <w:b/>
          <w:color w:val="000000" w:themeColor="text1"/>
          <w:szCs w:val="16"/>
        </w:rPr>
      </w:pPr>
      <w:r w:rsidRPr="005C29F8">
        <w:rPr>
          <w:rFonts w:cs="Arial"/>
          <w:b/>
          <w:color w:val="000000" w:themeColor="text1"/>
          <w:szCs w:val="16"/>
        </w:rPr>
        <w:t>Change denominator description in data table (yes/no)</w:t>
      </w:r>
    </w:p>
    <w:p w14:paraId="3DB180DC" w14:textId="5DA93E34" w:rsidR="0051170F" w:rsidRPr="005C29F8" w:rsidRDefault="0051170F" w:rsidP="00212954">
      <w:pPr>
        <w:rPr>
          <w:rFonts w:cs="Arial"/>
          <w:color w:val="000000" w:themeColor="text1"/>
          <w:szCs w:val="16"/>
        </w:rPr>
      </w:pPr>
      <w:r w:rsidRPr="005C29F8">
        <w:rPr>
          <w:rFonts w:cs="Arial"/>
          <w:color w:val="000000" w:themeColor="text1"/>
          <w:szCs w:val="16"/>
        </w:rPr>
        <w:t>YES</w:t>
      </w:r>
    </w:p>
    <w:p w14:paraId="21474394" w14:textId="40432B1A" w:rsidR="00FF244B" w:rsidRPr="005C29F8" w:rsidRDefault="0083500D" w:rsidP="004369B2">
      <w:pPr>
        <w:rPr>
          <w:b/>
          <w:color w:val="000000" w:themeColor="text1"/>
        </w:rPr>
      </w:pPr>
      <w:r w:rsidRPr="005C29F8">
        <w:rPr>
          <w:b/>
          <w:color w:val="000000" w:themeColor="text1"/>
        </w:rPr>
        <w:t xml:space="preserve">If use a different calculation methodology is yes, provide an explanation of the different calculation methodology </w:t>
      </w:r>
    </w:p>
    <w:p w14:paraId="363E1724" w14:textId="1F2E7EE3" w:rsidR="00A869E9" w:rsidRPr="005C29F8" w:rsidRDefault="002B7490" w:rsidP="000E33D0">
      <w:pPr>
        <w:rPr>
          <w:rFonts w:cs="Arial"/>
          <w:color w:val="000000" w:themeColor="text1"/>
          <w:szCs w:val="16"/>
          <w:shd w:val="clear" w:color="auto" w:fill="FFFFFF"/>
        </w:rPr>
      </w:pPr>
      <w:bookmarkStart w:id="7" w:name="_Hlk494379356"/>
      <w:r w:rsidRPr="005C29F8">
        <w:rPr>
          <w:rFonts w:cs="Arial"/>
          <w:color w:val="000000" w:themeColor="text1"/>
          <w:szCs w:val="16"/>
          <w:shd w:val="clear" w:color="auto" w:fill="FFFFFF"/>
        </w:rPr>
        <w:t xml:space="preserve">OSEP allows states to use the same data source and measurement that the State used to report in its FFY10 APR that was submitted on February 1, 2012 (identified as "Option 2" in the Part B Indicator Measurement Table). In Massachusetts, dropout rate calculations are based on an annual event. Using the calculation of the number of students with IEPs enrolled in grades 9-12 during the 2017-2018 school year as the denominator, and the number of students with IEPs enrolled in grades 9-12 who dropped out during the 2017-2018 school year in the numerator, MA DESE calculates a dropout of 3.36%. This does not meet the annual target of 1.7 and is a slight increase over FFY17 (3.29%). </w:t>
      </w:r>
    </w:p>
    <w:p w14:paraId="6A9FCB17" w14:textId="22AC7EEF" w:rsidR="00E22454" w:rsidRPr="005C29F8" w:rsidRDefault="0051170F" w:rsidP="000E33D0">
      <w:pPr>
        <w:rPr>
          <w:rFonts w:cs="Arial"/>
          <w:color w:val="000000" w:themeColor="text1"/>
          <w:szCs w:val="16"/>
        </w:rPr>
      </w:pPr>
      <w:r w:rsidRPr="005C29F8" w:rsidDel="0051170F">
        <w:rPr>
          <w:color w:val="000000" w:themeColor="text1"/>
        </w:rPr>
        <w:t xml:space="preserve"> </w:t>
      </w:r>
    </w:p>
    <w:p w14:paraId="36990D6B" w14:textId="60917C30" w:rsidR="007F337D" w:rsidRPr="005C29F8" w:rsidRDefault="007F337D" w:rsidP="004369B2">
      <w:pPr>
        <w:rPr>
          <w:color w:val="000000" w:themeColor="text1"/>
        </w:rPr>
      </w:pPr>
      <w:bookmarkStart w:id="8" w:name="_Toc392159265"/>
      <w:bookmarkEnd w:id="7"/>
      <w:r w:rsidRPr="005C29F8">
        <w:rPr>
          <w:b/>
          <w:color w:val="000000" w:themeColor="text1"/>
        </w:rPr>
        <w:t>FFY 2019 SPP/APR Data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2"/>
      </w:tblPr>
      <w:tblGrid>
        <w:gridCol w:w="1854"/>
        <w:gridCol w:w="2086"/>
        <w:gridCol w:w="1211"/>
        <w:gridCol w:w="1453"/>
        <w:gridCol w:w="1310"/>
        <w:gridCol w:w="1657"/>
        <w:gridCol w:w="1088"/>
      </w:tblGrid>
      <w:tr w:rsidR="005C29F8" w:rsidRPr="005C29F8" w14:paraId="503F69A4" w14:textId="77777777" w:rsidTr="004D0044">
        <w:trPr>
          <w:trHeight w:val="359"/>
        </w:trPr>
        <w:tc>
          <w:tcPr>
            <w:tcW w:w="1854" w:type="dxa"/>
            <w:shd w:val="clear" w:color="auto" w:fill="auto"/>
            <w:vAlign w:val="bottom"/>
          </w:tcPr>
          <w:p w14:paraId="28A49B6A" w14:textId="2038C0A9" w:rsidR="00B6413B" w:rsidRPr="005C29F8" w:rsidRDefault="002B7490" w:rsidP="0051170F">
            <w:pPr>
              <w:jc w:val="center"/>
              <w:rPr>
                <w:rFonts w:cs="Arial"/>
                <w:color w:val="000000" w:themeColor="text1"/>
                <w:szCs w:val="16"/>
              </w:rPr>
            </w:pPr>
            <w:r w:rsidRPr="005C29F8">
              <w:rPr>
                <w:rFonts w:cs="Arial"/>
                <w:color w:val="000000" w:themeColor="text1"/>
                <w:szCs w:val="16"/>
              </w:rPr>
              <w:t>Number of youth with IEPs who exited special education due to dropping out</w:t>
            </w:r>
          </w:p>
        </w:tc>
        <w:tc>
          <w:tcPr>
            <w:tcW w:w="2086" w:type="dxa"/>
            <w:shd w:val="clear" w:color="auto" w:fill="auto"/>
            <w:vAlign w:val="bottom"/>
          </w:tcPr>
          <w:p w14:paraId="4DEAE74E" w14:textId="35A24CDB" w:rsidR="007F337D" w:rsidRPr="005C29F8" w:rsidRDefault="002B7490" w:rsidP="001F692C">
            <w:pPr>
              <w:jc w:val="center"/>
              <w:rPr>
                <w:rFonts w:cs="Arial"/>
                <w:color w:val="000000" w:themeColor="text1"/>
                <w:szCs w:val="16"/>
              </w:rPr>
            </w:pPr>
            <w:r w:rsidRPr="005C29F8">
              <w:rPr>
                <w:rFonts w:cs="Arial"/>
                <w:color w:val="000000" w:themeColor="text1"/>
                <w:szCs w:val="16"/>
              </w:rPr>
              <w:t>Total number of High School Students with IEPs by Cohort</w:t>
            </w:r>
          </w:p>
        </w:tc>
        <w:tc>
          <w:tcPr>
            <w:tcW w:w="1211" w:type="dxa"/>
            <w:shd w:val="clear" w:color="auto" w:fill="auto"/>
            <w:vAlign w:val="bottom"/>
          </w:tcPr>
          <w:p w14:paraId="47B88536" w14:textId="48562E34" w:rsidR="007F337D" w:rsidRPr="005C29F8" w:rsidRDefault="002602A9" w:rsidP="001F692C">
            <w:pPr>
              <w:jc w:val="center"/>
              <w:rPr>
                <w:rFonts w:cs="Arial"/>
                <w:b/>
                <w:color w:val="000000" w:themeColor="text1"/>
                <w:szCs w:val="16"/>
              </w:rPr>
            </w:pPr>
            <w:r w:rsidRPr="005C29F8">
              <w:rPr>
                <w:rFonts w:cs="Arial"/>
                <w:b/>
                <w:color w:val="000000" w:themeColor="text1"/>
                <w:szCs w:val="16"/>
              </w:rPr>
              <w:t>FFY</w:t>
            </w:r>
            <w:r w:rsidRPr="005C29F8">
              <w:rPr>
                <w:rFonts w:cs="Arial"/>
                <w:color w:val="000000" w:themeColor="text1"/>
                <w:szCs w:val="16"/>
              </w:rPr>
              <w:t xml:space="preserve"> </w:t>
            </w:r>
            <w:r w:rsidR="00CE6132">
              <w:rPr>
                <w:rFonts w:cs="Arial"/>
                <w:b/>
                <w:color w:val="000000" w:themeColor="text1"/>
                <w:szCs w:val="16"/>
              </w:rPr>
              <w:t>2018</w:t>
            </w:r>
            <w:r w:rsidR="007F337D" w:rsidRPr="005C29F8">
              <w:rPr>
                <w:rFonts w:cs="Arial"/>
                <w:b/>
                <w:color w:val="000000" w:themeColor="text1"/>
                <w:szCs w:val="16"/>
              </w:rPr>
              <w:t xml:space="preserve"> Data</w:t>
            </w:r>
          </w:p>
        </w:tc>
        <w:tc>
          <w:tcPr>
            <w:tcW w:w="0" w:type="auto"/>
            <w:shd w:val="clear" w:color="auto" w:fill="auto"/>
            <w:vAlign w:val="bottom"/>
          </w:tcPr>
          <w:p w14:paraId="0CDB3559" w14:textId="2D3768E4" w:rsidR="007F337D" w:rsidRPr="005C29F8" w:rsidRDefault="007F337D" w:rsidP="001F692C">
            <w:pPr>
              <w:jc w:val="center"/>
              <w:rPr>
                <w:rFonts w:cs="Arial"/>
                <w:b/>
                <w:color w:val="000000" w:themeColor="text1"/>
                <w:szCs w:val="16"/>
              </w:rPr>
            </w:pPr>
            <w:r w:rsidRPr="005C29F8">
              <w:rPr>
                <w:rFonts w:cs="Arial"/>
                <w:b/>
                <w:color w:val="000000" w:themeColor="text1"/>
                <w:szCs w:val="16"/>
              </w:rPr>
              <w:t>FFY 2019 Target</w:t>
            </w:r>
          </w:p>
        </w:tc>
        <w:tc>
          <w:tcPr>
            <w:tcW w:w="0" w:type="auto"/>
            <w:shd w:val="clear" w:color="auto" w:fill="auto"/>
            <w:vAlign w:val="bottom"/>
          </w:tcPr>
          <w:p w14:paraId="509A4ACF" w14:textId="41BFD12A" w:rsidR="007F337D" w:rsidRPr="005C29F8" w:rsidRDefault="007F337D" w:rsidP="001F692C">
            <w:pPr>
              <w:jc w:val="center"/>
              <w:rPr>
                <w:rFonts w:cs="Arial"/>
                <w:b/>
                <w:color w:val="000000" w:themeColor="text1"/>
                <w:szCs w:val="16"/>
              </w:rPr>
            </w:pPr>
            <w:r w:rsidRPr="005C29F8">
              <w:rPr>
                <w:rFonts w:cs="Arial"/>
                <w:b/>
                <w:color w:val="000000" w:themeColor="text1"/>
                <w:szCs w:val="16"/>
              </w:rPr>
              <w:t>FFY 2019 Data</w:t>
            </w:r>
          </w:p>
        </w:tc>
        <w:tc>
          <w:tcPr>
            <w:tcW w:w="0" w:type="auto"/>
            <w:shd w:val="clear" w:color="auto" w:fill="auto"/>
            <w:vAlign w:val="bottom"/>
          </w:tcPr>
          <w:p w14:paraId="4A34B8DF" w14:textId="77777777" w:rsidR="007F337D" w:rsidRPr="005C29F8" w:rsidRDefault="007F337D" w:rsidP="001F692C">
            <w:pPr>
              <w:jc w:val="center"/>
              <w:rPr>
                <w:rFonts w:cs="Arial"/>
                <w:b/>
                <w:color w:val="000000" w:themeColor="text1"/>
                <w:szCs w:val="16"/>
              </w:rPr>
            </w:pPr>
            <w:r w:rsidRPr="005C29F8">
              <w:rPr>
                <w:rFonts w:cs="Arial"/>
                <w:b/>
                <w:color w:val="000000" w:themeColor="text1"/>
                <w:szCs w:val="16"/>
              </w:rPr>
              <w:t>Status</w:t>
            </w:r>
          </w:p>
        </w:tc>
        <w:tc>
          <w:tcPr>
            <w:tcW w:w="0" w:type="auto"/>
            <w:shd w:val="clear" w:color="auto" w:fill="auto"/>
            <w:vAlign w:val="bottom"/>
          </w:tcPr>
          <w:p w14:paraId="63A51C66" w14:textId="77777777" w:rsidR="007F337D" w:rsidRPr="005C29F8" w:rsidRDefault="007F337D" w:rsidP="001F692C">
            <w:pPr>
              <w:jc w:val="center"/>
              <w:rPr>
                <w:rFonts w:cs="Arial"/>
                <w:b/>
                <w:color w:val="000000" w:themeColor="text1"/>
                <w:szCs w:val="16"/>
              </w:rPr>
            </w:pPr>
            <w:r w:rsidRPr="005C29F8">
              <w:rPr>
                <w:rFonts w:cs="Arial"/>
                <w:b/>
                <w:color w:val="000000" w:themeColor="text1"/>
                <w:szCs w:val="16"/>
              </w:rPr>
              <w:t>Slippage</w:t>
            </w:r>
          </w:p>
        </w:tc>
      </w:tr>
      <w:tr w:rsidR="005C29F8" w:rsidRPr="005C29F8" w14:paraId="72961044" w14:textId="77777777" w:rsidTr="004D0044">
        <w:trPr>
          <w:trHeight w:val="366"/>
        </w:trPr>
        <w:tc>
          <w:tcPr>
            <w:tcW w:w="1854" w:type="dxa"/>
            <w:shd w:val="clear" w:color="auto" w:fill="auto"/>
            <w:vAlign w:val="center"/>
          </w:tcPr>
          <w:p w14:paraId="2BC4AAB2" w14:textId="50CBDBA3" w:rsidR="00CD5D37" w:rsidRPr="005C29F8" w:rsidRDefault="002B7490" w:rsidP="00A018D4">
            <w:pPr>
              <w:jc w:val="center"/>
              <w:rPr>
                <w:rFonts w:cs="Arial"/>
                <w:color w:val="000000" w:themeColor="text1"/>
                <w:szCs w:val="16"/>
              </w:rPr>
            </w:pPr>
            <w:r w:rsidRPr="005C29F8">
              <w:rPr>
                <w:rFonts w:cs="Arial"/>
                <w:color w:val="000000" w:themeColor="text1"/>
                <w:szCs w:val="16"/>
              </w:rPr>
              <w:t>1,582</w:t>
            </w:r>
          </w:p>
        </w:tc>
        <w:tc>
          <w:tcPr>
            <w:tcW w:w="2086" w:type="dxa"/>
            <w:shd w:val="clear" w:color="auto" w:fill="auto"/>
            <w:vAlign w:val="center"/>
          </w:tcPr>
          <w:p w14:paraId="32D53AA4" w14:textId="55BC4A70" w:rsidR="00CD5D37" w:rsidRPr="005C29F8" w:rsidRDefault="002B7490" w:rsidP="00A018D4">
            <w:pPr>
              <w:jc w:val="center"/>
              <w:rPr>
                <w:rFonts w:cs="Arial"/>
                <w:color w:val="000000" w:themeColor="text1"/>
                <w:szCs w:val="16"/>
              </w:rPr>
            </w:pPr>
            <w:r w:rsidRPr="005C29F8">
              <w:rPr>
                <w:rFonts w:cs="Arial"/>
                <w:color w:val="000000" w:themeColor="text1"/>
                <w:szCs w:val="16"/>
              </w:rPr>
              <w:t>46,135</w:t>
            </w:r>
          </w:p>
        </w:tc>
        <w:tc>
          <w:tcPr>
            <w:tcW w:w="1211" w:type="dxa"/>
            <w:shd w:val="clear" w:color="auto" w:fill="auto"/>
          </w:tcPr>
          <w:p w14:paraId="39378676" w14:textId="2E9734C1" w:rsidR="00CD5D37" w:rsidRPr="005C29F8" w:rsidRDefault="002B7490" w:rsidP="00A018D4">
            <w:pPr>
              <w:jc w:val="center"/>
              <w:rPr>
                <w:rFonts w:cs="Arial"/>
                <w:color w:val="000000" w:themeColor="text1"/>
                <w:szCs w:val="16"/>
              </w:rPr>
            </w:pPr>
            <w:r w:rsidRPr="005C29F8">
              <w:rPr>
                <w:rFonts w:cs="Arial"/>
                <w:color w:val="000000" w:themeColor="text1"/>
                <w:szCs w:val="16"/>
              </w:rPr>
              <w:t>3.36%</w:t>
            </w:r>
          </w:p>
        </w:tc>
        <w:tc>
          <w:tcPr>
            <w:tcW w:w="0" w:type="auto"/>
            <w:shd w:val="clear" w:color="auto" w:fill="auto"/>
          </w:tcPr>
          <w:p w14:paraId="222E3163" w14:textId="1A781E00" w:rsidR="00CD5D37" w:rsidRPr="005C29F8" w:rsidRDefault="002B7490" w:rsidP="00A018D4">
            <w:pPr>
              <w:jc w:val="center"/>
              <w:rPr>
                <w:rFonts w:cs="Arial"/>
                <w:color w:val="000000" w:themeColor="text1"/>
                <w:szCs w:val="16"/>
              </w:rPr>
            </w:pPr>
            <w:r w:rsidRPr="005C29F8">
              <w:rPr>
                <w:rFonts w:cs="Arial"/>
                <w:color w:val="000000" w:themeColor="text1"/>
                <w:szCs w:val="16"/>
              </w:rPr>
              <w:t>1.70%</w:t>
            </w:r>
          </w:p>
        </w:tc>
        <w:tc>
          <w:tcPr>
            <w:tcW w:w="0" w:type="auto"/>
            <w:shd w:val="clear" w:color="auto" w:fill="auto"/>
          </w:tcPr>
          <w:p w14:paraId="6129789B" w14:textId="45194B09" w:rsidR="00CD5D37" w:rsidRPr="005C29F8" w:rsidRDefault="002B7490" w:rsidP="00A018D4">
            <w:pPr>
              <w:jc w:val="center"/>
              <w:rPr>
                <w:rFonts w:cs="Arial"/>
                <w:color w:val="000000" w:themeColor="text1"/>
                <w:szCs w:val="16"/>
              </w:rPr>
            </w:pPr>
            <w:r w:rsidRPr="005C29F8">
              <w:rPr>
                <w:rFonts w:cs="Arial"/>
                <w:color w:val="000000" w:themeColor="text1"/>
                <w:szCs w:val="16"/>
              </w:rPr>
              <w:t>3.43%</w:t>
            </w:r>
          </w:p>
        </w:tc>
        <w:tc>
          <w:tcPr>
            <w:tcW w:w="0" w:type="auto"/>
            <w:shd w:val="clear" w:color="auto" w:fill="auto"/>
          </w:tcPr>
          <w:p w14:paraId="0F04C3C1" w14:textId="3380934A" w:rsidR="00CD5D37"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0" w:type="auto"/>
            <w:shd w:val="clear" w:color="auto" w:fill="auto"/>
          </w:tcPr>
          <w:p w14:paraId="44D676BD" w14:textId="669F473C" w:rsidR="00CD5D37"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bl>
    <w:p w14:paraId="58B37962" w14:textId="5B766A62" w:rsidR="000336AC" w:rsidRPr="005C29F8" w:rsidRDefault="00A869E9" w:rsidP="004369B2">
      <w:pPr>
        <w:rPr>
          <w:b/>
          <w:color w:val="000000" w:themeColor="text1"/>
        </w:rPr>
      </w:pPr>
      <w:r w:rsidRPr="005C29F8">
        <w:rPr>
          <w:b/>
          <w:color w:val="000000" w:themeColor="text1"/>
        </w:rPr>
        <w:t xml:space="preserve">Provide reasons for slippage, if applicable  </w:t>
      </w:r>
    </w:p>
    <w:p w14:paraId="28607D64" w14:textId="1BA39541" w:rsidR="00A869E9" w:rsidRPr="005C29F8" w:rsidRDefault="00A869E9" w:rsidP="000E33D0">
      <w:pPr>
        <w:rPr>
          <w:rFonts w:cs="Arial"/>
          <w:color w:val="000000" w:themeColor="text1"/>
          <w:szCs w:val="16"/>
          <w:shd w:val="clear" w:color="auto" w:fill="FFFFFF"/>
        </w:rPr>
      </w:pPr>
    </w:p>
    <w:p w14:paraId="27A2EAFB" w14:textId="5DAAB5B0" w:rsidR="00A87A9D" w:rsidRPr="005C29F8" w:rsidRDefault="0083500D" w:rsidP="00552927">
      <w:pPr>
        <w:rPr>
          <w:rFonts w:cs="Arial"/>
          <w:b/>
          <w:color w:val="000000" w:themeColor="text1"/>
          <w:szCs w:val="16"/>
        </w:rPr>
      </w:pPr>
      <w:r w:rsidRPr="005C29F8">
        <w:rPr>
          <w:rFonts w:cs="Arial"/>
          <w:b/>
          <w:color w:val="000000" w:themeColor="text1"/>
          <w:szCs w:val="16"/>
        </w:rPr>
        <w:t>Provide a narrative that describes what counts as dropping out for all youth</w:t>
      </w:r>
    </w:p>
    <w:p w14:paraId="32A15CDA" w14:textId="3CA05678" w:rsidR="00A869E9" w:rsidRPr="005C29F8" w:rsidRDefault="002B7490" w:rsidP="000E33D0">
      <w:pPr>
        <w:rPr>
          <w:rFonts w:cs="Arial"/>
          <w:color w:val="000000" w:themeColor="text1"/>
          <w:szCs w:val="16"/>
          <w:shd w:val="clear" w:color="auto" w:fill="FFFFFF"/>
        </w:rPr>
      </w:pPr>
      <w:r w:rsidRPr="005C29F8">
        <w:rPr>
          <w:rFonts w:cs="Arial"/>
          <w:color w:val="000000" w:themeColor="text1"/>
          <w:szCs w:val="16"/>
          <w:shd w:val="clear" w:color="auto" w:fill="FFFFFF"/>
        </w:rPr>
        <w:t xml:space="preserve">In Massachusetts, a dropout – regardless of disability status – is defined as a student in grades 9-12 in a public school who, prior to graduation, leaves school for reasons other than to transfer to another public school and who does not re-enroll before the following October 1 reporting.  </w:t>
      </w:r>
      <w:r w:rsidRPr="005C29F8">
        <w:rPr>
          <w:rFonts w:cs="Arial"/>
          <w:color w:val="000000" w:themeColor="text1"/>
          <w:szCs w:val="16"/>
          <w:shd w:val="clear" w:color="auto" w:fill="FFFFFF"/>
        </w:rPr>
        <w:br/>
        <w:t xml:space="preserve"> To calculate this rate, MA DESE uses dropout data obtained through the Student Information Management System (SIMS) October 1 enrollment report. </w:t>
      </w:r>
      <w:r w:rsidRPr="005C29F8">
        <w:rPr>
          <w:rFonts w:cs="Arial"/>
          <w:color w:val="000000" w:themeColor="text1"/>
          <w:szCs w:val="16"/>
          <w:shd w:val="clear" w:color="auto" w:fill="FFFFFF"/>
        </w:rPr>
        <w:lastRenderedPageBreak/>
        <w:t xml:space="preserve">Students who were reported as a “dropout” at the end of the previous year and then enrolled prior to the October 1 reporting date are removed from the dropout count. MA DESE also removes from the data set any student who dropped out of high school but earned a GED/HISET certificate.  </w:t>
      </w:r>
    </w:p>
    <w:p w14:paraId="6E220BF0" w14:textId="157218DF" w:rsidR="00DD051F" w:rsidRPr="005C29F8" w:rsidRDefault="00DD051F" w:rsidP="000E33D0">
      <w:pPr>
        <w:rPr>
          <w:rFonts w:cs="Arial"/>
          <w:b/>
          <w:color w:val="000000" w:themeColor="text1"/>
          <w:szCs w:val="16"/>
        </w:rPr>
      </w:pPr>
      <w:r w:rsidRPr="005C29F8">
        <w:rPr>
          <w:rFonts w:cs="Arial"/>
          <w:b/>
          <w:color w:val="000000" w:themeColor="text1"/>
          <w:szCs w:val="16"/>
        </w:rPr>
        <w:t>Is there a difference in what counts as dropping out for youth with IEPs? (yes/no)</w:t>
      </w:r>
    </w:p>
    <w:p w14:paraId="5530CE18" w14:textId="2E8B8BC5" w:rsidR="00DD051F" w:rsidRPr="005C29F8" w:rsidRDefault="00DD051F" w:rsidP="000E33D0">
      <w:pPr>
        <w:rPr>
          <w:rFonts w:cs="Arial"/>
          <w:color w:val="000000" w:themeColor="text1"/>
          <w:szCs w:val="16"/>
        </w:rPr>
      </w:pPr>
      <w:r w:rsidRPr="005C29F8">
        <w:rPr>
          <w:rFonts w:cs="Arial"/>
          <w:color w:val="000000" w:themeColor="text1"/>
          <w:szCs w:val="16"/>
        </w:rPr>
        <w:t>NO</w:t>
      </w:r>
    </w:p>
    <w:p w14:paraId="4903B3F9" w14:textId="59643C30" w:rsidR="00E418E6" w:rsidRPr="005C29F8" w:rsidRDefault="00B7068F" w:rsidP="004369B2">
      <w:pPr>
        <w:rPr>
          <w:b/>
          <w:color w:val="000000" w:themeColor="text1"/>
        </w:rPr>
      </w:pPr>
      <w:r w:rsidRPr="005C29F8">
        <w:rPr>
          <w:b/>
          <w:color w:val="000000" w:themeColor="text1"/>
        </w:rPr>
        <w:t>If yes, explain the difference in what counts as dropping out for youth with IEPs below.</w:t>
      </w:r>
    </w:p>
    <w:p w14:paraId="79A7C25A" w14:textId="1EDF1407" w:rsidR="00A869E9" w:rsidRPr="005C29F8" w:rsidRDefault="00A869E9" w:rsidP="000E33D0">
      <w:pPr>
        <w:rPr>
          <w:rFonts w:cs="Arial"/>
          <w:color w:val="000000" w:themeColor="text1"/>
          <w:szCs w:val="16"/>
          <w:shd w:val="clear" w:color="auto" w:fill="FFFFFF"/>
        </w:rPr>
      </w:pPr>
    </w:p>
    <w:p w14:paraId="44F7B282" w14:textId="77777777" w:rsidR="00F56834" w:rsidRPr="005C29F8" w:rsidRDefault="00F56834" w:rsidP="004369B2">
      <w:pPr>
        <w:rPr>
          <w:b/>
          <w:color w:val="000000" w:themeColor="text1"/>
        </w:rPr>
      </w:pPr>
      <w:bookmarkStart w:id="9" w:name="_Toc382082362"/>
      <w:bookmarkStart w:id="10" w:name="_Toc392159270"/>
      <w:bookmarkStart w:id="11" w:name="_Toc365403651"/>
      <w:bookmarkEnd w:id="8"/>
      <w:r w:rsidRPr="005C29F8">
        <w:rPr>
          <w:b/>
          <w:color w:val="000000" w:themeColor="text1"/>
        </w:rPr>
        <w:t>Provide additional information about this indicator (optional)</w:t>
      </w:r>
    </w:p>
    <w:p w14:paraId="4492AB5A" w14:textId="63C5DA7E" w:rsidR="00A869E9" w:rsidRPr="005C29F8" w:rsidRDefault="00A869E9" w:rsidP="000E33D0">
      <w:pPr>
        <w:rPr>
          <w:rFonts w:cs="Arial"/>
          <w:color w:val="000000" w:themeColor="text1"/>
          <w:szCs w:val="16"/>
        </w:rPr>
      </w:pPr>
    </w:p>
    <w:p w14:paraId="6E187388" w14:textId="724EF642" w:rsidR="000A2C83" w:rsidRPr="0033429D" w:rsidRDefault="00F914B4" w:rsidP="008645AD">
      <w:pPr>
        <w:pStyle w:val="Heading2"/>
      </w:pPr>
      <w:r w:rsidRPr="0033429D">
        <w:t>2</w:t>
      </w:r>
      <w:r w:rsidR="00684B51" w:rsidRPr="0033429D">
        <w:t xml:space="preserve"> </w:t>
      </w:r>
      <w:r w:rsidRPr="0033429D">
        <w:t xml:space="preserve">- </w:t>
      </w:r>
      <w:r w:rsidR="000A2C83" w:rsidRPr="0033429D">
        <w:t>Prior FFY Required Actions</w:t>
      </w:r>
    </w:p>
    <w:p w14:paraId="3B152B02" w14:textId="0A6719CC" w:rsidR="000A2C83" w:rsidRPr="005C29F8" w:rsidRDefault="002B7490" w:rsidP="000A2C83">
      <w:pPr>
        <w:rPr>
          <w:rFonts w:cs="Arial"/>
          <w:color w:val="000000" w:themeColor="text1"/>
          <w:szCs w:val="16"/>
        </w:rPr>
      </w:pPr>
      <w:r w:rsidRPr="005C29F8">
        <w:rPr>
          <w:rFonts w:cs="Arial"/>
          <w:color w:val="000000" w:themeColor="text1"/>
          <w:szCs w:val="16"/>
        </w:rPr>
        <w:t>None</w:t>
      </w:r>
    </w:p>
    <w:p w14:paraId="7896DD52" w14:textId="585814D8" w:rsidR="00DD051F" w:rsidRPr="005C29F8" w:rsidRDefault="00DD051F" w:rsidP="000A2C83">
      <w:pPr>
        <w:rPr>
          <w:rFonts w:cs="Arial"/>
          <w:color w:val="000000" w:themeColor="text1"/>
          <w:szCs w:val="16"/>
        </w:rPr>
      </w:pPr>
    </w:p>
    <w:p w14:paraId="306FF021" w14:textId="5A4A312B" w:rsidR="00F56834" w:rsidRPr="0033429D" w:rsidRDefault="000D2287" w:rsidP="008645AD">
      <w:pPr>
        <w:pStyle w:val="Heading2"/>
      </w:pPr>
      <w:r w:rsidRPr="0033429D">
        <w:t>2</w:t>
      </w:r>
      <w:r w:rsidR="00684B51" w:rsidRPr="0033429D">
        <w:t xml:space="preserve"> </w:t>
      </w:r>
      <w:r w:rsidRPr="0033429D">
        <w:t xml:space="preserve">- </w:t>
      </w:r>
      <w:r w:rsidR="00F56834" w:rsidRPr="0033429D">
        <w:t>OSEP Response</w:t>
      </w:r>
    </w:p>
    <w:p w14:paraId="079F48D0" w14:textId="5CDDFF24" w:rsidR="00A869E9" w:rsidRPr="005C29F8" w:rsidRDefault="00A869E9" w:rsidP="001F692C">
      <w:pPr>
        <w:rPr>
          <w:rFonts w:cs="Arial"/>
          <w:color w:val="000000" w:themeColor="text1"/>
          <w:szCs w:val="16"/>
        </w:rPr>
      </w:pPr>
    </w:p>
    <w:p w14:paraId="6A1E3D87" w14:textId="6B4D2DBD" w:rsidR="00F56834" w:rsidRPr="0033429D" w:rsidRDefault="000105C5" w:rsidP="008645AD">
      <w:pPr>
        <w:pStyle w:val="Heading2"/>
      </w:pPr>
      <w:r w:rsidRPr="0033429D">
        <w:t>2 - Required Actions</w:t>
      </w:r>
    </w:p>
    <w:p w14:paraId="6C7960E7" w14:textId="06463459" w:rsidR="00A869E9" w:rsidRPr="005C29F8" w:rsidRDefault="00A869E9" w:rsidP="001F692C">
      <w:pPr>
        <w:rPr>
          <w:rFonts w:cs="Arial"/>
          <w:color w:val="000000" w:themeColor="text1"/>
          <w:szCs w:val="16"/>
        </w:rPr>
      </w:pPr>
    </w:p>
    <w:p w14:paraId="4B525DFA" w14:textId="066D4970" w:rsidR="009D378C" w:rsidRPr="005C29F8" w:rsidRDefault="00D37BF0" w:rsidP="004369B2">
      <w:pPr>
        <w:pStyle w:val="Heading1"/>
        <w:rPr>
          <w:color w:val="000000" w:themeColor="text1"/>
          <w:sz w:val="22"/>
        </w:rPr>
      </w:pPr>
      <w:r w:rsidRPr="005C29F8">
        <w:rPr>
          <w:color w:val="000000" w:themeColor="text1"/>
          <w:szCs w:val="16"/>
        </w:rPr>
        <w:br w:type="page"/>
      </w:r>
      <w:r w:rsidR="009D378C" w:rsidRPr="005C29F8">
        <w:rPr>
          <w:color w:val="000000" w:themeColor="text1"/>
          <w:sz w:val="22"/>
        </w:rPr>
        <w:lastRenderedPageBreak/>
        <w:t>Indicator 3B: Participation for Students with IEPs</w:t>
      </w:r>
      <w:bookmarkEnd w:id="9"/>
      <w:bookmarkEnd w:id="10"/>
    </w:p>
    <w:p w14:paraId="66C662B8" w14:textId="77777777" w:rsidR="007C3C89" w:rsidRPr="005C29F8" w:rsidRDefault="007C3C89" w:rsidP="00A018D4">
      <w:pPr>
        <w:rPr>
          <w:color w:val="000000" w:themeColor="text1"/>
          <w:szCs w:val="20"/>
        </w:rPr>
      </w:pPr>
      <w:bookmarkStart w:id="12" w:name="_Toc392159271"/>
      <w:r w:rsidRPr="005C29F8">
        <w:rPr>
          <w:b/>
          <w:color w:val="000000" w:themeColor="text1"/>
          <w:sz w:val="20"/>
          <w:szCs w:val="20"/>
        </w:rPr>
        <w:t>Instructions and Measurement</w:t>
      </w:r>
    </w:p>
    <w:p w14:paraId="31EC23C7" w14:textId="5EB5B691" w:rsidR="0085119E" w:rsidRPr="005C29F8" w:rsidRDefault="0085119E" w:rsidP="004369B2">
      <w:pPr>
        <w:rPr>
          <w:color w:val="000000" w:themeColor="text1"/>
        </w:rPr>
      </w:pPr>
      <w:r w:rsidRPr="005C29F8">
        <w:rPr>
          <w:b/>
          <w:color w:val="000000" w:themeColor="text1"/>
        </w:rPr>
        <w:t>Monitoring Priority:</w:t>
      </w:r>
      <w:r w:rsidRPr="005C29F8">
        <w:rPr>
          <w:color w:val="000000" w:themeColor="text1"/>
        </w:rPr>
        <w:t xml:space="preserve"> FAPE in the LRE</w:t>
      </w:r>
    </w:p>
    <w:p w14:paraId="2F546D74" w14:textId="7751A5DC" w:rsidR="005873EB" w:rsidRPr="005C29F8" w:rsidRDefault="0085119E" w:rsidP="00552927">
      <w:pPr>
        <w:rPr>
          <w:rFonts w:cs="Arial"/>
          <w:color w:val="000000" w:themeColor="text1"/>
          <w:szCs w:val="16"/>
        </w:rPr>
      </w:pPr>
      <w:r w:rsidRPr="005C29F8">
        <w:rPr>
          <w:rFonts w:cs="Arial"/>
          <w:b/>
          <w:color w:val="000000" w:themeColor="text1"/>
          <w:szCs w:val="16"/>
        </w:rPr>
        <w:t>Results indicator</w:t>
      </w:r>
      <w:r w:rsidRPr="005C29F8">
        <w:rPr>
          <w:rFonts w:cs="Arial"/>
          <w:color w:val="000000" w:themeColor="text1"/>
          <w:szCs w:val="16"/>
        </w:rPr>
        <w:t>:</w:t>
      </w:r>
      <w:r w:rsidR="00131842" w:rsidRPr="005C29F8">
        <w:rPr>
          <w:rFonts w:cs="Arial"/>
          <w:color w:val="000000" w:themeColor="text1"/>
          <w:szCs w:val="16"/>
        </w:rPr>
        <w:t xml:space="preserve"> </w:t>
      </w:r>
      <w:r w:rsidR="005873EB" w:rsidRPr="005C29F8">
        <w:rPr>
          <w:rFonts w:cs="Arial"/>
          <w:color w:val="000000" w:themeColor="text1"/>
          <w:szCs w:val="16"/>
        </w:rPr>
        <w:t xml:space="preserve">Participation and performance </w:t>
      </w:r>
      <w:r w:rsidR="00C960B4" w:rsidRPr="005C29F8">
        <w:rPr>
          <w:rFonts w:cs="Arial"/>
          <w:color w:val="000000" w:themeColor="text1"/>
          <w:szCs w:val="16"/>
        </w:rPr>
        <w:t xml:space="preserve">of </w:t>
      </w:r>
      <w:r w:rsidR="005873EB" w:rsidRPr="005C29F8">
        <w:rPr>
          <w:rFonts w:cs="Arial"/>
          <w:color w:val="000000" w:themeColor="text1"/>
          <w:szCs w:val="16"/>
        </w:rPr>
        <w:t>children with IEPs on statewide</w:t>
      </w:r>
      <w:r w:rsidR="00A14AEA" w:rsidRPr="005C29F8">
        <w:rPr>
          <w:rFonts w:cs="Arial"/>
          <w:color w:val="000000" w:themeColor="text1"/>
          <w:szCs w:val="16"/>
        </w:rPr>
        <w:t xml:space="preserve"> assessments:</w:t>
      </w:r>
    </w:p>
    <w:p w14:paraId="4C4FFAB3" w14:textId="578300D0" w:rsidR="00A14AEA" w:rsidRPr="005C29F8" w:rsidRDefault="000F0D59" w:rsidP="006A01BD">
      <w:pPr>
        <w:ind w:firstLine="720"/>
        <w:rPr>
          <w:rFonts w:cs="Arial"/>
          <w:color w:val="000000" w:themeColor="text1"/>
          <w:szCs w:val="16"/>
        </w:rPr>
      </w:pPr>
      <w:r w:rsidRPr="005C29F8">
        <w:rPr>
          <w:rFonts w:cs="Arial"/>
          <w:color w:val="000000" w:themeColor="text1"/>
          <w:szCs w:val="16"/>
        </w:rPr>
        <w:t>A. Indicator 3A – Reserved</w:t>
      </w:r>
    </w:p>
    <w:p w14:paraId="115C9DE2" w14:textId="7A6107B5" w:rsidR="00A14AEA" w:rsidRPr="005C29F8" w:rsidRDefault="000F0D59" w:rsidP="006A01BD">
      <w:pPr>
        <w:ind w:firstLine="720"/>
        <w:rPr>
          <w:rFonts w:cs="Arial"/>
          <w:color w:val="000000" w:themeColor="text1"/>
          <w:szCs w:val="16"/>
        </w:rPr>
      </w:pPr>
      <w:r w:rsidRPr="005C29F8">
        <w:rPr>
          <w:rFonts w:cs="Arial"/>
          <w:color w:val="000000" w:themeColor="text1"/>
          <w:szCs w:val="16"/>
        </w:rPr>
        <w:t>B. Participation rate for children with IEPs</w:t>
      </w:r>
    </w:p>
    <w:p w14:paraId="728410C8" w14:textId="617BE0AC" w:rsidR="00A14AEA" w:rsidRPr="005C29F8" w:rsidRDefault="000F0D59" w:rsidP="006A01BD">
      <w:pPr>
        <w:ind w:firstLine="720"/>
        <w:rPr>
          <w:rFonts w:cs="Arial"/>
          <w:color w:val="000000" w:themeColor="text1"/>
          <w:szCs w:val="16"/>
        </w:rPr>
      </w:pPr>
      <w:r w:rsidRPr="005C29F8">
        <w:rPr>
          <w:rFonts w:cs="Arial"/>
          <w:color w:val="000000" w:themeColor="text1"/>
          <w:szCs w:val="16"/>
        </w:rPr>
        <w:t>C. Proficiency rate for children with IEPs against grade level and alternate academic achievement standards.</w:t>
      </w:r>
    </w:p>
    <w:p w14:paraId="7B9E3DB8" w14:textId="33C40E14" w:rsidR="0011074D" w:rsidRPr="005C29F8" w:rsidRDefault="0011074D" w:rsidP="0011074D">
      <w:pPr>
        <w:rPr>
          <w:rFonts w:cs="Arial"/>
          <w:color w:val="000000" w:themeColor="text1"/>
          <w:szCs w:val="16"/>
        </w:rPr>
      </w:pPr>
      <w:r w:rsidRPr="005C29F8">
        <w:rPr>
          <w:rFonts w:cs="Arial"/>
          <w:color w:val="000000" w:themeColor="text1"/>
          <w:szCs w:val="16"/>
        </w:rPr>
        <w:t>(20 U.S.C. 1416 (a)(3)(A))</w:t>
      </w:r>
    </w:p>
    <w:p w14:paraId="17F5F231" w14:textId="77777777" w:rsidR="005873EB" w:rsidRPr="005C29F8" w:rsidRDefault="005873EB" w:rsidP="004369B2">
      <w:pPr>
        <w:rPr>
          <w:color w:val="000000" w:themeColor="text1"/>
        </w:rPr>
      </w:pPr>
      <w:r w:rsidRPr="005C29F8">
        <w:rPr>
          <w:b/>
          <w:color w:val="000000" w:themeColor="text1"/>
        </w:rPr>
        <w:t>Data Source</w:t>
      </w:r>
    </w:p>
    <w:p w14:paraId="74E3B0EF" w14:textId="1254E575" w:rsidR="00A14AEA" w:rsidRPr="005C29F8" w:rsidRDefault="00A14AEA" w:rsidP="002621F6">
      <w:pPr>
        <w:rPr>
          <w:rFonts w:cs="Arial"/>
          <w:color w:val="000000" w:themeColor="text1"/>
          <w:szCs w:val="16"/>
        </w:rPr>
      </w:pPr>
      <w:r w:rsidRPr="005C29F8">
        <w:rPr>
          <w:rFonts w:cs="Arial"/>
          <w:color w:val="000000" w:themeColor="text1"/>
          <w:szCs w:val="16"/>
        </w:rPr>
        <w:t>3B. Same data as used for reporting to the Department under Title I of the ESEA, using EDFacts file specifications FS185 and 188.</w:t>
      </w:r>
    </w:p>
    <w:p w14:paraId="58C69CDD" w14:textId="77777777" w:rsidR="005873EB" w:rsidRPr="005C29F8" w:rsidRDefault="005873EB" w:rsidP="004369B2">
      <w:pPr>
        <w:rPr>
          <w:color w:val="000000" w:themeColor="text1"/>
        </w:rPr>
      </w:pPr>
      <w:r w:rsidRPr="005C29F8">
        <w:rPr>
          <w:b/>
          <w:color w:val="000000" w:themeColor="text1"/>
        </w:rPr>
        <w:t>Measurement</w:t>
      </w:r>
    </w:p>
    <w:p w14:paraId="2163044F" w14:textId="03837252" w:rsidR="00A14AEA" w:rsidRPr="005C29F8" w:rsidRDefault="00A14AEA" w:rsidP="002621F6">
      <w:pPr>
        <w:rPr>
          <w:rFonts w:cs="Arial"/>
          <w:color w:val="000000" w:themeColor="text1"/>
          <w:szCs w:val="16"/>
        </w:rPr>
      </w:pPr>
      <w:r w:rsidRPr="005C29F8">
        <w:rPr>
          <w:rFonts w:cs="Arial"/>
          <w:color w:val="000000" w:themeColor="text1"/>
          <w:szCs w:val="16"/>
        </w:rPr>
        <w:t>B. Participation rate percent = [(# of children with IEPs participating in an assessment) divided by the (total # of children with IEPs enrolled during the testing window)]. Calculate separately for reading and math. The participation rate is based on all children with IEPs, including both children with IEPs enrolled for a full academic year and those not enrolled for a full academic year.</w:t>
      </w:r>
    </w:p>
    <w:p w14:paraId="13B81A44" w14:textId="77777777" w:rsidR="005873EB" w:rsidRPr="005C29F8" w:rsidRDefault="005873EB" w:rsidP="004369B2">
      <w:pPr>
        <w:rPr>
          <w:color w:val="000000" w:themeColor="text1"/>
        </w:rPr>
      </w:pPr>
      <w:r w:rsidRPr="005C29F8">
        <w:rPr>
          <w:b/>
          <w:color w:val="000000" w:themeColor="text1"/>
        </w:rPr>
        <w:t>Instructions</w:t>
      </w:r>
    </w:p>
    <w:p w14:paraId="5315B3F5" w14:textId="77777777" w:rsidR="00A14AEA" w:rsidRPr="005C29F8" w:rsidRDefault="00A14AEA" w:rsidP="002621F6">
      <w:pPr>
        <w:rPr>
          <w:rFonts w:cs="Arial"/>
          <w:color w:val="000000" w:themeColor="text1"/>
          <w:szCs w:val="16"/>
        </w:rPr>
      </w:pPr>
      <w:r w:rsidRPr="005C29F8">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5C29F8" w:rsidRDefault="00A14AEA" w:rsidP="002621F6">
      <w:pPr>
        <w:rPr>
          <w:rFonts w:cs="Arial"/>
          <w:color w:val="000000" w:themeColor="text1"/>
          <w:szCs w:val="16"/>
        </w:rPr>
      </w:pPr>
      <w:r w:rsidRPr="005C29F8">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6ACB1237" w:rsidR="00A14AEA" w:rsidRPr="005C29F8" w:rsidRDefault="00A14AEA" w:rsidP="002621F6">
      <w:pPr>
        <w:rPr>
          <w:rFonts w:cs="Arial"/>
          <w:color w:val="000000" w:themeColor="text1"/>
          <w:szCs w:val="16"/>
        </w:rPr>
      </w:pPr>
      <w:r w:rsidRPr="005C29F8">
        <w:rPr>
          <w:rFonts w:cs="Arial"/>
          <w:color w:val="000000" w:themeColor="text1"/>
          <w:szCs w:val="16"/>
        </w:rPr>
        <w:t>Indicator 3B: Provide separate reading/language arts and mathematics participation rates, inclusive of all ESEA grades assessed (3-8 and high school), for children with IEPs. Account for ALL children with IEPs, in all grades assessed, including children not participating in assessments and those not enrolled for a full academic year. Only include children with disabilities who had an IEP at the time of testing.</w:t>
      </w:r>
    </w:p>
    <w:p w14:paraId="4CDFE310" w14:textId="3FF11C15" w:rsidR="00677C8C" w:rsidRPr="0033429D" w:rsidRDefault="00573F6C" w:rsidP="008645AD">
      <w:pPr>
        <w:pStyle w:val="Heading2"/>
      </w:pPr>
      <w:r w:rsidRPr="0033429D">
        <w:t>3B</w:t>
      </w:r>
      <w:r w:rsidR="00BB4FD7" w:rsidRPr="0033429D">
        <w:t xml:space="preserve"> </w:t>
      </w:r>
      <w:r w:rsidRPr="0033429D">
        <w:t xml:space="preserve">- </w:t>
      </w:r>
      <w:r w:rsidR="00677C8C" w:rsidRPr="0033429D">
        <w:t>Indicator Data</w:t>
      </w:r>
    </w:p>
    <w:p w14:paraId="0224B7F2" w14:textId="63C60FD2" w:rsidR="004B7A7A" w:rsidRPr="005C29F8" w:rsidRDefault="009D378C" w:rsidP="004369B2">
      <w:pPr>
        <w:rPr>
          <w:color w:val="000000" w:themeColor="text1"/>
        </w:rPr>
      </w:pPr>
      <w:r w:rsidRPr="005C29F8">
        <w:rPr>
          <w:b/>
          <w:color w:val="000000" w:themeColor="text1"/>
        </w:rPr>
        <w:t>Reporting Group Selection</w:t>
      </w:r>
      <w:bookmarkEnd w:id="12"/>
    </w:p>
    <w:p w14:paraId="40D9D38F" w14:textId="49658B38" w:rsidR="00B94815" w:rsidRDefault="00954EDD" w:rsidP="00552927">
      <w:pPr>
        <w:rPr>
          <w:rFonts w:cs="Arial"/>
          <w:b/>
          <w:color w:val="000000" w:themeColor="text1"/>
          <w:szCs w:val="16"/>
        </w:rPr>
      </w:pPr>
      <w:r w:rsidRPr="005C29F8">
        <w:rPr>
          <w:rFonts w:cs="Arial"/>
          <w:b/>
          <w:color w:val="000000" w:themeColor="text1"/>
          <w:szCs w:val="16"/>
        </w:rPr>
        <w:t>Based on previously reported data, these are the grade groups defined for this indicator.</w:t>
      </w:r>
    </w:p>
    <w:tbl>
      <w:tblPr>
        <w:tblpPr w:leftFromText="180" w:rightFromText="180" w:vertAnchor="text" w:horzAnchor="margin" w:tblpY="168"/>
        <w:tblW w:w="5000" w:type="pct"/>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ayout w:type="fixed"/>
        <w:tblLook w:val="0000" w:firstRow="0" w:lastRow="0" w:firstColumn="0" w:lastColumn="0" w:noHBand="0" w:noVBand="0"/>
        <w:tblCaption w:val="B03BGRADEGRPS"/>
      </w:tblPr>
      <w:tblGrid>
        <w:gridCol w:w="582"/>
        <w:gridCol w:w="851"/>
        <w:gridCol w:w="851"/>
        <w:gridCol w:w="851"/>
        <w:gridCol w:w="851"/>
        <w:gridCol w:w="851"/>
        <w:gridCol w:w="851"/>
        <w:gridCol w:w="851"/>
        <w:gridCol w:w="851"/>
        <w:gridCol w:w="851"/>
        <w:gridCol w:w="851"/>
        <w:gridCol w:w="851"/>
        <w:gridCol w:w="851"/>
      </w:tblGrid>
      <w:tr w:rsidR="005C29F8" w:rsidRPr="005C29F8" w14:paraId="65D9DE14" w14:textId="77777777" w:rsidTr="00044B5C">
        <w:trPr>
          <w:trHeight w:val="280"/>
          <w:tblHeader/>
        </w:trPr>
        <w:tc>
          <w:tcPr>
            <w:tcW w:w="270" w:type="pct"/>
            <w:shd w:val="clear" w:color="auto" w:fill="auto"/>
            <w:vAlign w:val="bottom"/>
          </w:tcPr>
          <w:p w14:paraId="7F95FAB3" w14:textId="474E73EB" w:rsidR="00421D14" w:rsidRPr="005C29F8" w:rsidRDefault="00421D14" w:rsidP="00A80FEB">
            <w:pPr>
              <w:spacing w:before="0" w:after="0"/>
              <w:jc w:val="center"/>
              <w:rPr>
                <w:rFonts w:cs="Arial"/>
                <w:b/>
                <w:bCs/>
                <w:color w:val="000000" w:themeColor="text1"/>
                <w:szCs w:val="16"/>
              </w:rPr>
            </w:pPr>
            <w:r w:rsidRPr="005C29F8">
              <w:rPr>
                <w:rFonts w:cs="Arial"/>
                <w:b/>
                <w:bCs/>
                <w:color w:val="000000" w:themeColor="text1"/>
                <w:szCs w:val="16"/>
              </w:rPr>
              <w:t>Group</w:t>
            </w:r>
          </w:p>
        </w:tc>
        <w:tc>
          <w:tcPr>
            <w:tcW w:w="394" w:type="pct"/>
            <w:shd w:val="clear" w:color="auto" w:fill="auto"/>
            <w:vAlign w:val="bottom"/>
          </w:tcPr>
          <w:p w14:paraId="37BF987E" w14:textId="64C56DB5"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Group Name</w:t>
            </w:r>
          </w:p>
        </w:tc>
        <w:tc>
          <w:tcPr>
            <w:tcW w:w="394" w:type="pct"/>
            <w:shd w:val="clear" w:color="auto" w:fill="auto"/>
            <w:vAlign w:val="bottom"/>
          </w:tcPr>
          <w:p w14:paraId="4C49F02A"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3</w:t>
            </w:r>
          </w:p>
        </w:tc>
        <w:tc>
          <w:tcPr>
            <w:tcW w:w="394" w:type="pct"/>
            <w:shd w:val="clear" w:color="auto" w:fill="auto"/>
            <w:vAlign w:val="bottom"/>
          </w:tcPr>
          <w:p w14:paraId="4B8F65A8"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4</w:t>
            </w:r>
          </w:p>
        </w:tc>
        <w:tc>
          <w:tcPr>
            <w:tcW w:w="394" w:type="pct"/>
            <w:shd w:val="clear" w:color="auto" w:fill="auto"/>
            <w:vAlign w:val="bottom"/>
          </w:tcPr>
          <w:p w14:paraId="573BB52C"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5</w:t>
            </w:r>
          </w:p>
        </w:tc>
        <w:tc>
          <w:tcPr>
            <w:tcW w:w="394" w:type="pct"/>
            <w:shd w:val="clear" w:color="auto" w:fill="auto"/>
            <w:vAlign w:val="bottom"/>
          </w:tcPr>
          <w:p w14:paraId="28A23C57"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6</w:t>
            </w:r>
          </w:p>
        </w:tc>
        <w:tc>
          <w:tcPr>
            <w:tcW w:w="394" w:type="pct"/>
            <w:shd w:val="clear" w:color="auto" w:fill="auto"/>
            <w:vAlign w:val="bottom"/>
          </w:tcPr>
          <w:p w14:paraId="72F1A9E6"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7</w:t>
            </w:r>
          </w:p>
        </w:tc>
        <w:tc>
          <w:tcPr>
            <w:tcW w:w="394" w:type="pct"/>
            <w:shd w:val="clear" w:color="auto" w:fill="auto"/>
            <w:vAlign w:val="bottom"/>
          </w:tcPr>
          <w:p w14:paraId="3C0FC3A8"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8</w:t>
            </w:r>
          </w:p>
        </w:tc>
        <w:tc>
          <w:tcPr>
            <w:tcW w:w="394" w:type="pct"/>
            <w:shd w:val="clear" w:color="auto" w:fill="auto"/>
            <w:vAlign w:val="bottom"/>
          </w:tcPr>
          <w:p w14:paraId="43D1DB79"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9</w:t>
            </w:r>
          </w:p>
        </w:tc>
        <w:tc>
          <w:tcPr>
            <w:tcW w:w="394" w:type="pct"/>
            <w:shd w:val="clear" w:color="auto" w:fill="auto"/>
            <w:vAlign w:val="bottom"/>
          </w:tcPr>
          <w:p w14:paraId="64DD89D2"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10</w:t>
            </w:r>
          </w:p>
        </w:tc>
        <w:tc>
          <w:tcPr>
            <w:tcW w:w="394" w:type="pct"/>
            <w:shd w:val="clear" w:color="auto" w:fill="auto"/>
            <w:vAlign w:val="bottom"/>
          </w:tcPr>
          <w:p w14:paraId="21FD2777"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11</w:t>
            </w:r>
          </w:p>
        </w:tc>
        <w:tc>
          <w:tcPr>
            <w:tcW w:w="394" w:type="pct"/>
            <w:shd w:val="clear" w:color="auto" w:fill="auto"/>
            <w:vAlign w:val="bottom"/>
          </w:tcPr>
          <w:p w14:paraId="07DFC279"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Grade 12</w:t>
            </w:r>
          </w:p>
        </w:tc>
        <w:tc>
          <w:tcPr>
            <w:tcW w:w="394" w:type="pct"/>
            <w:shd w:val="clear" w:color="auto" w:fill="auto"/>
            <w:vAlign w:val="bottom"/>
          </w:tcPr>
          <w:p w14:paraId="2E343EF3" w14:textId="77777777" w:rsidR="00421D14" w:rsidRPr="005C29F8" w:rsidRDefault="00421D14" w:rsidP="00A80FEB">
            <w:pPr>
              <w:pStyle w:val="Default"/>
              <w:jc w:val="center"/>
              <w:rPr>
                <w:b/>
                <w:color w:val="000000" w:themeColor="text1"/>
                <w:sz w:val="16"/>
                <w:szCs w:val="16"/>
              </w:rPr>
            </w:pPr>
            <w:r w:rsidRPr="005C29F8">
              <w:rPr>
                <w:b/>
                <w:color w:val="000000" w:themeColor="text1"/>
                <w:sz w:val="16"/>
                <w:szCs w:val="16"/>
              </w:rPr>
              <w:t>HS</w:t>
            </w:r>
          </w:p>
        </w:tc>
      </w:tr>
      <w:tr w:rsidR="005C29F8" w:rsidRPr="005C29F8" w14:paraId="08A419AA" w14:textId="77777777" w:rsidTr="00044B5C">
        <w:trPr>
          <w:trHeight w:val="361"/>
        </w:trPr>
        <w:tc>
          <w:tcPr>
            <w:tcW w:w="270" w:type="pct"/>
            <w:shd w:val="clear" w:color="auto" w:fill="auto"/>
            <w:vAlign w:val="center"/>
          </w:tcPr>
          <w:p w14:paraId="72299428" w14:textId="77777777" w:rsidR="00421D14" w:rsidRPr="005C29F8" w:rsidRDefault="00421D14" w:rsidP="004E2151">
            <w:pPr>
              <w:pStyle w:val="Default"/>
              <w:jc w:val="center"/>
              <w:rPr>
                <w:b/>
                <w:color w:val="000000" w:themeColor="text1"/>
                <w:sz w:val="16"/>
                <w:szCs w:val="16"/>
              </w:rPr>
            </w:pPr>
            <w:r w:rsidRPr="005C29F8">
              <w:rPr>
                <w:b/>
                <w:color w:val="000000" w:themeColor="text1"/>
                <w:sz w:val="16"/>
                <w:szCs w:val="16"/>
              </w:rPr>
              <w:t>A</w:t>
            </w:r>
          </w:p>
        </w:tc>
        <w:tc>
          <w:tcPr>
            <w:tcW w:w="394" w:type="pct"/>
            <w:shd w:val="clear" w:color="auto" w:fill="auto"/>
          </w:tcPr>
          <w:p w14:paraId="4025BC24" w14:textId="22DCF5D0" w:rsidR="00421D14" w:rsidRPr="005C29F8" w:rsidRDefault="00421D14" w:rsidP="004E2151">
            <w:pPr>
              <w:pStyle w:val="Default"/>
              <w:jc w:val="center"/>
              <w:rPr>
                <w:color w:val="000000" w:themeColor="text1"/>
                <w:sz w:val="16"/>
                <w:szCs w:val="16"/>
              </w:rPr>
            </w:pPr>
            <w:r w:rsidRPr="005C29F8">
              <w:rPr>
                <w:color w:val="000000" w:themeColor="text1"/>
                <w:sz w:val="16"/>
                <w:szCs w:val="16"/>
              </w:rPr>
              <w:t>Overall</w:t>
            </w:r>
          </w:p>
        </w:tc>
        <w:tc>
          <w:tcPr>
            <w:tcW w:w="394" w:type="pct"/>
            <w:shd w:val="clear" w:color="auto" w:fill="auto"/>
          </w:tcPr>
          <w:p w14:paraId="02AF836E" w14:textId="6AB73A72" w:rsidR="00421D14" w:rsidRPr="005C29F8" w:rsidRDefault="008E64EB" w:rsidP="006A01BD">
            <w:pPr>
              <w:jc w:val="center"/>
              <w:rPr>
                <w:color w:val="000000" w:themeColor="text1"/>
              </w:rPr>
            </w:pPr>
            <w:r w:rsidRPr="005C29F8">
              <w:rPr>
                <w:color w:val="000000" w:themeColor="text1"/>
              </w:rPr>
              <w:t>X</w:t>
            </w:r>
          </w:p>
        </w:tc>
        <w:tc>
          <w:tcPr>
            <w:tcW w:w="394" w:type="pct"/>
            <w:shd w:val="clear" w:color="auto" w:fill="auto"/>
          </w:tcPr>
          <w:p w14:paraId="2251B7FA" w14:textId="13B3A12E"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340BC153" w14:textId="7D38E01A"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42044CEB" w14:textId="48FC4C97"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3A079CF4" w14:textId="50374EAA"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511CFE5A" w14:textId="765CE1E4"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6056A7FF" w14:textId="1E0E04DA"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7777D1A7" w14:textId="0FA75C04"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4AB2E2B6" w14:textId="0B51798A"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4BB04173" w14:textId="54D87085"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tcPr>
          <w:p w14:paraId="43CBB0BE" w14:textId="18959A95" w:rsidR="00421D14" w:rsidRPr="005C29F8" w:rsidRDefault="00421D14" w:rsidP="004E2151">
            <w:pPr>
              <w:pStyle w:val="Default"/>
              <w:jc w:val="center"/>
              <w:rPr>
                <w:b/>
                <w:color w:val="000000" w:themeColor="text1"/>
                <w:sz w:val="16"/>
                <w:szCs w:val="16"/>
              </w:rPr>
            </w:pPr>
            <w:r w:rsidRPr="005C29F8">
              <w:rPr>
                <w:color w:val="000000" w:themeColor="text1"/>
                <w:sz w:val="16"/>
                <w:szCs w:val="16"/>
              </w:rPr>
              <w:t>X</w:t>
            </w:r>
          </w:p>
        </w:tc>
      </w:tr>
    </w:tbl>
    <w:p w14:paraId="58015F58" w14:textId="77777777" w:rsidR="00AB6873" w:rsidRPr="005C29F8" w:rsidRDefault="00AB6873">
      <w:pPr>
        <w:rPr>
          <w:b/>
          <w:color w:val="000000" w:themeColor="text1"/>
        </w:rPr>
      </w:pPr>
    </w:p>
    <w:p w14:paraId="515AEF58" w14:textId="55B53228" w:rsidR="00E539AB" w:rsidRDefault="00E539AB" w:rsidP="004369B2">
      <w:pPr>
        <w:rPr>
          <w:b/>
          <w:color w:val="000000" w:themeColor="text1"/>
        </w:rPr>
      </w:pPr>
      <w:r w:rsidRPr="005C29F8">
        <w:rPr>
          <w:b/>
          <w:color w:val="000000" w:themeColor="text1"/>
        </w:rPr>
        <w:t xml:space="preserve">Historical Data: Reading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RLA"/>
      </w:tblPr>
      <w:tblGrid>
        <w:gridCol w:w="715"/>
        <w:gridCol w:w="900"/>
        <w:gridCol w:w="1081"/>
        <w:gridCol w:w="1073"/>
        <w:gridCol w:w="1342"/>
        <w:gridCol w:w="1422"/>
        <w:gridCol w:w="1422"/>
        <w:gridCol w:w="1422"/>
        <w:gridCol w:w="1413"/>
      </w:tblGrid>
      <w:tr w:rsidR="005C29F8" w:rsidRPr="005C29F8" w14:paraId="3A917835" w14:textId="482DE14B" w:rsidTr="00044B5C">
        <w:trPr>
          <w:trHeight w:val="300"/>
        </w:trPr>
        <w:tc>
          <w:tcPr>
            <w:tcW w:w="331" w:type="pct"/>
            <w:tcBorders>
              <w:top w:val="single" w:sz="4" w:space="0" w:color="auto"/>
            </w:tcBorders>
            <w:shd w:val="clear" w:color="auto" w:fill="auto"/>
            <w:vAlign w:val="bottom"/>
          </w:tcPr>
          <w:p w14:paraId="274DE62A" w14:textId="60C6FC52" w:rsidR="007F1F79" w:rsidRPr="005C29F8" w:rsidRDefault="007F1F79" w:rsidP="0031316A">
            <w:pPr>
              <w:jc w:val="center"/>
              <w:rPr>
                <w:rFonts w:cs="Arial"/>
                <w:b/>
                <w:color w:val="000000" w:themeColor="text1"/>
                <w:szCs w:val="16"/>
              </w:rPr>
            </w:pPr>
            <w:r w:rsidRPr="005C29F8">
              <w:rPr>
                <w:rFonts w:cs="Arial"/>
                <w:b/>
                <w:color w:val="000000" w:themeColor="text1"/>
                <w:szCs w:val="16"/>
              </w:rPr>
              <w:t xml:space="preserve">Group </w:t>
            </w:r>
          </w:p>
        </w:tc>
        <w:tc>
          <w:tcPr>
            <w:tcW w:w="417" w:type="pct"/>
            <w:tcBorders>
              <w:top w:val="single" w:sz="4" w:space="0" w:color="auto"/>
            </w:tcBorders>
            <w:shd w:val="clear" w:color="auto" w:fill="auto"/>
            <w:vAlign w:val="bottom"/>
          </w:tcPr>
          <w:p w14:paraId="5221F3D1" w14:textId="050EA242" w:rsidR="007F1F79" w:rsidRPr="005C29F8" w:rsidRDefault="007F1F79" w:rsidP="00651E83">
            <w:pPr>
              <w:jc w:val="center"/>
              <w:rPr>
                <w:rFonts w:cs="Arial"/>
                <w:b/>
                <w:color w:val="000000" w:themeColor="text1"/>
                <w:szCs w:val="16"/>
              </w:rPr>
            </w:pPr>
            <w:r w:rsidRPr="005C29F8">
              <w:rPr>
                <w:rFonts w:cs="Arial"/>
                <w:b/>
                <w:color w:val="000000" w:themeColor="text1"/>
                <w:szCs w:val="16"/>
              </w:rPr>
              <w:t xml:space="preserve">Group Name </w:t>
            </w:r>
          </w:p>
        </w:tc>
        <w:tc>
          <w:tcPr>
            <w:tcW w:w="501" w:type="pct"/>
            <w:tcBorders>
              <w:top w:val="single" w:sz="4" w:space="0" w:color="auto"/>
            </w:tcBorders>
            <w:shd w:val="clear" w:color="auto" w:fill="auto"/>
            <w:vAlign w:val="bottom"/>
          </w:tcPr>
          <w:p w14:paraId="5E9669B8" w14:textId="1D7367DD" w:rsidR="007F1F79" w:rsidRPr="005C29F8" w:rsidRDefault="007F1F79" w:rsidP="00CC0BE8">
            <w:pPr>
              <w:jc w:val="center"/>
              <w:rPr>
                <w:rFonts w:cs="Arial"/>
                <w:b/>
                <w:color w:val="000000" w:themeColor="text1"/>
                <w:szCs w:val="16"/>
              </w:rPr>
            </w:pPr>
            <w:r w:rsidRPr="005C29F8">
              <w:rPr>
                <w:rFonts w:cs="Arial"/>
                <w:b/>
                <w:color w:val="000000" w:themeColor="text1"/>
                <w:szCs w:val="16"/>
              </w:rPr>
              <w:t xml:space="preserve">Baseline </w:t>
            </w:r>
          </w:p>
        </w:tc>
        <w:tc>
          <w:tcPr>
            <w:tcW w:w="497" w:type="pct"/>
            <w:tcBorders>
              <w:top w:val="single" w:sz="4" w:space="0" w:color="auto"/>
            </w:tcBorders>
            <w:shd w:val="clear" w:color="auto" w:fill="auto"/>
            <w:vAlign w:val="bottom"/>
          </w:tcPr>
          <w:p w14:paraId="3C89D0A8" w14:textId="48CE6E18" w:rsidR="007F1F79" w:rsidRPr="005C29F8" w:rsidRDefault="007F1F79" w:rsidP="0031316A">
            <w:pPr>
              <w:jc w:val="center"/>
              <w:rPr>
                <w:rFonts w:cs="Arial"/>
                <w:b/>
                <w:color w:val="000000" w:themeColor="text1"/>
                <w:szCs w:val="16"/>
              </w:rPr>
            </w:pPr>
            <w:r w:rsidRPr="005C29F8">
              <w:rPr>
                <w:rFonts w:cs="Arial"/>
                <w:b/>
                <w:color w:val="000000" w:themeColor="text1"/>
                <w:szCs w:val="16"/>
              </w:rPr>
              <w:t>FFY</w:t>
            </w:r>
          </w:p>
        </w:tc>
        <w:tc>
          <w:tcPr>
            <w:tcW w:w="622" w:type="pct"/>
            <w:tcBorders>
              <w:top w:val="single" w:sz="4" w:space="0" w:color="auto"/>
              <w:bottom w:val="single" w:sz="4" w:space="0" w:color="auto"/>
            </w:tcBorders>
            <w:shd w:val="clear" w:color="auto" w:fill="auto"/>
            <w:vAlign w:val="bottom"/>
          </w:tcPr>
          <w:p w14:paraId="0E16A0C4" w14:textId="16347B81" w:rsidR="007F1F79" w:rsidRPr="005C29F8" w:rsidRDefault="002B7490">
            <w:pPr>
              <w:jc w:val="center"/>
              <w:rPr>
                <w:rFonts w:cs="Arial"/>
                <w:b/>
                <w:color w:val="000000" w:themeColor="text1"/>
                <w:szCs w:val="16"/>
              </w:rPr>
            </w:pPr>
            <w:r w:rsidRPr="005C29F8">
              <w:rPr>
                <w:rFonts w:cs="Arial"/>
                <w:b/>
                <w:color w:val="000000" w:themeColor="text1"/>
                <w:szCs w:val="16"/>
              </w:rPr>
              <w:t>2014</w:t>
            </w:r>
          </w:p>
        </w:tc>
        <w:tc>
          <w:tcPr>
            <w:tcW w:w="659" w:type="pct"/>
            <w:tcBorders>
              <w:top w:val="single" w:sz="4" w:space="0" w:color="auto"/>
            </w:tcBorders>
            <w:shd w:val="clear" w:color="auto" w:fill="auto"/>
            <w:vAlign w:val="bottom"/>
          </w:tcPr>
          <w:p w14:paraId="1522299E" w14:textId="7D9C4350" w:rsidR="007F1F79" w:rsidRPr="005C29F8" w:rsidRDefault="002B7490">
            <w:pPr>
              <w:jc w:val="center"/>
              <w:rPr>
                <w:rFonts w:cs="Arial"/>
                <w:b/>
                <w:color w:val="000000" w:themeColor="text1"/>
                <w:szCs w:val="16"/>
              </w:rPr>
            </w:pPr>
            <w:r w:rsidRPr="005C29F8">
              <w:rPr>
                <w:rFonts w:cs="Arial"/>
                <w:b/>
                <w:color w:val="000000" w:themeColor="text1"/>
                <w:szCs w:val="16"/>
              </w:rPr>
              <w:t>2015</w:t>
            </w:r>
          </w:p>
        </w:tc>
        <w:tc>
          <w:tcPr>
            <w:tcW w:w="659" w:type="pct"/>
            <w:tcBorders>
              <w:top w:val="single" w:sz="4" w:space="0" w:color="auto"/>
            </w:tcBorders>
            <w:shd w:val="clear" w:color="auto" w:fill="auto"/>
            <w:vAlign w:val="bottom"/>
          </w:tcPr>
          <w:p w14:paraId="5AA33E88" w14:textId="1E3E955D" w:rsidR="007F1F79" w:rsidRPr="005C29F8" w:rsidRDefault="002B7490">
            <w:pPr>
              <w:jc w:val="center"/>
              <w:rPr>
                <w:rFonts w:cs="Arial"/>
                <w:b/>
                <w:color w:val="000000" w:themeColor="text1"/>
                <w:szCs w:val="16"/>
              </w:rPr>
            </w:pPr>
            <w:r w:rsidRPr="005C29F8">
              <w:rPr>
                <w:rFonts w:cs="Arial"/>
                <w:b/>
                <w:color w:val="000000" w:themeColor="text1"/>
                <w:szCs w:val="16"/>
              </w:rPr>
              <w:t>2016</w:t>
            </w:r>
          </w:p>
        </w:tc>
        <w:tc>
          <w:tcPr>
            <w:tcW w:w="659" w:type="pct"/>
            <w:tcBorders>
              <w:top w:val="single" w:sz="4" w:space="0" w:color="auto"/>
            </w:tcBorders>
            <w:shd w:val="clear" w:color="auto" w:fill="auto"/>
            <w:vAlign w:val="bottom"/>
          </w:tcPr>
          <w:p w14:paraId="43A2C0B9" w14:textId="016D0659" w:rsidR="007F1F79" w:rsidRPr="005C29F8" w:rsidRDefault="002B7490">
            <w:pPr>
              <w:jc w:val="center"/>
              <w:rPr>
                <w:rFonts w:cs="Arial"/>
                <w:b/>
                <w:color w:val="000000" w:themeColor="text1"/>
                <w:szCs w:val="16"/>
              </w:rPr>
            </w:pPr>
            <w:r w:rsidRPr="005C29F8">
              <w:rPr>
                <w:rFonts w:cs="Arial"/>
                <w:b/>
                <w:color w:val="000000" w:themeColor="text1"/>
                <w:szCs w:val="16"/>
              </w:rPr>
              <w:t>2017</w:t>
            </w:r>
          </w:p>
        </w:tc>
        <w:tc>
          <w:tcPr>
            <w:tcW w:w="655" w:type="pct"/>
            <w:tcBorders>
              <w:top w:val="single" w:sz="4" w:space="0" w:color="auto"/>
            </w:tcBorders>
            <w:shd w:val="clear" w:color="auto" w:fill="auto"/>
            <w:vAlign w:val="bottom"/>
          </w:tcPr>
          <w:p w14:paraId="55C84076" w14:textId="19F7E91D" w:rsidR="007F1F79" w:rsidRPr="005C29F8" w:rsidRDefault="002B7490">
            <w:pPr>
              <w:jc w:val="center"/>
              <w:rPr>
                <w:rFonts w:cs="Arial"/>
                <w:b/>
                <w:color w:val="000000" w:themeColor="text1"/>
                <w:szCs w:val="16"/>
              </w:rPr>
            </w:pPr>
            <w:r w:rsidRPr="005C29F8">
              <w:rPr>
                <w:rFonts w:cs="Arial"/>
                <w:b/>
                <w:color w:val="000000" w:themeColor="text1"/>
                <w:szCs w:val="16"/>
              </w:rPr>
              <w:t>2018</w:t>
            </w:r>
          </w:p>
        </w:tc>
      </w:tr>
      <w:tr w:rsidR="005C29F8" w:rsidRPr="005C29F8" w14:paraId="2AD5F393" w14:textId="77777777" w:rsidTr="00044B5C">
        <w:trPr>
          <w:trHeight w:val="152"/>
        </w:trPr>
        <w:tc>
          <w:tcPr>
            <w:tcW w:w="331" w:type="pct"/>
            <w:shd w:val="clear" w:color="auto" w:fill="auto"/>
            <w:vAlign w:val="center"/>
          </w:tcPr>
          <w:p w14:paraId="04DA8722" w14:textId="77777777" w:rsidR="008667B9" w:rsidRPr="00691ABA" w:rsidRDefault="008667B9" w:rsidP="00CB6049">
            <w:pPr>
              <w:spacing w:before="0" w:after="0"/>
              <w:jc w:val="center"/>
              <w:rPr>
                <w:rFonts w:cs="Arial"/>
                <w:b/>
                <w:bCs/>
                <w:color w:val="000000" w:themeColor="text1"/>
                <w:szCs w:val="16"/>
              </w:rPr>
            </w:pPr>
            <w:r w:rsidRPr="00691ABA">
              <w:rPr>
                <w:rFonts w:cs="Arial"/>
                <w:b/>
                <w:bCs/>
                <w:color w:val="000000" w:themeColor="text1"/>
                <w:szCs w:val="16"/>
              </w:rPr>
              <w:t>A</w:t>
            </w:r>
          </w:p>
        </w:tc>
        <w:tc>
          <w:tcPr>
            <w:tcW w:w="417" w:type="pct"/>
            <w:shd w:val="clear" w:color="auto" w:fill="auto"/>
            <w:vAlign w:val="center"/>
          </w:tcPr>
          <w:p w14:paraId="08CC2863" w14:textId="1B361544" w:rsidR="008667B9" w:rsidRPr="005C29F8" w:rsidRDefault="008667B9" w:rsidP="00A018D4">
            <w:pPr>
              <w:jc w:val="center"/>
              <w:rPr>
                <w:rFonts w:cs="Arial"/>
                <w:color w:val="000000" w:themeColor="text1"/>
                <w:szCs w:val="16"/>
              </w:rPr>
            </w:pPr>
            <w:r w:rsidRPr="005C29F8">
              <w:rPr>
                <w:rFonts w:cs="Arial"/>
                <w:color w:val="000000" w:themeColor="text1"/>
                <w:szCs w:val="16"/>
              </w:rPr>
              <w:t>Overall</w:t>
            </w:r>
          </w:p>
        </w:tc>
        <w:tc>
          <w:tcPr>
            <w:tcW w:w="501" w:type="pct"/>
            <w:shd w:val="clear" w:color="auto" w:fill="auto"/>
            <w:vAlign w:val="center"/>
          </w:tcPr>
          <w:p w14:paraId="387B62AA" w14:textId="6F64515D" w:rsidR="0052033B" w:rsidRPr="005C29F8" w:rsidRDefault="0052033B">
            <w:pPr>
              <w:spacing w:before="0" w:after="0"/>
              <w:jc w:val="center"/>
              <w:rPr>
                <w:color w:val="000000" w:themeColor="text1"/>
              </w:rPr>
            </w:pPr>
            <w:r w:rsidRPr="005C29F8">
              <w:rPr>
                <w:color w:val="000000" w:themeColor="text1"/>
              </w:rPr>
              <w:t>2005</w:t>
            </w:r>
          </w:p>
          <w:p w14:paraId="20CC091E" w14:textId="1650CB1E" w:rsidR="008667B9" w:rsidRPr="005C29F8" w:rsidRDefault="008667B9">
            <w:pPr>
              <w:spacing w:before="0" w:after="0"/>
              <w:jc w:val="center"/>
              <w:rPr>
                <w:rFonts w:cs="Arial"/>
                <w:color w:val="000000" w:themeColor="text1"/>
                <w:szCs w:val="16"/>
              </w:rPr>
            </w:pPr>
          </w:p>
        </w:tc>
        <w:tc>
          <w:tcPr>
            <w:tcW w:w="497" w:type="pct"/>
            <w:shd w:val="clear" w:color="auto" w:fill="auto"/>
            <w:vAlign w:val="center"/>
          </w:tcPr>
          <w:p w14:paraId="7BB7C72D" w14:textId="348D0322" w:rsidR="008667B9" w:rsidRPr="005C29F8" w:rsidRDefault="008667B9" w:rsidP="00A018D4">
            <w:pPr>
              <w:spacing w:before="0" w:after="0"/>
              <w:rPr>
                <w:rFonts w:cs="Arial"/>
                <w:color w:val="000000" w:themeColor="text1"/>
                <w:szCs w:val="16"/>
              </w:rPr>
            </w:pPr>
            <w:r w:rsidRPr="005C29F8">
              <w:rPr>
                <w:rFonts w:cs="Arial"/>
                <w:color w:val="000000" w:themeColor="text1"/>
                <w:szCs w:val="16"/>
              </w:rPr>
              <w:t>Target &gt;=</w:t>
            </w:r>
          </w:p>
        </w:tc>
        <w:tc>
          <w:tcPr>
            <w:tcW w:w="622" w:type="pct"/>
            <w:shd w:val="clear" w:color="auto" w:fill="auto"/>
            <w:vAlign w:val="bottom"/>
          </w:tcPr>
          <w:p w14:paraId="5460F6E4" w14:textId="3458DFF0"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c>
          <w:tcPr>
            <w:tcW w:w="659" w:type="pct"/>
            <w:shd w:val="clear" w:color="auto" w:fill="auto"/>
            <w:vAlign w:val="bottom"/>
          </w:tcPr>
          <w:p w14:paraId="26EC7840" w14:textId="20BE02E6"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c>
          <w:tcPr>
            <w:tcW w:w="659" w:type="pct"/>
            <w:shd w:val="clear" w:color="auto" w:fill="auto"/>
            <w:vAlign w:val="bottom"/>
          </w:tcPr>
          <w:p w14:paraId="58CDE68C" w14:textId="3481F956"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c>
          <w:tcPr>
            <w:tcW w:w="659" w:type="pct"/>
            <w:shd w:val="clear" w:color="auto" w:fill="auto"/>
            <w:vAlign w:val="bottom"/>
          </w:tcPr>
          <w:p w14:paraId="6E1264A5" w14:textId="79473287"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c>
          <w:tcPr>
            <w:tcW w:w="655" w:type="pct"/>
            <w:shd w:val="clear" w:color="auto" w:fill="auto"/>
            <w:vAlign w:val="bottom"/>
          </w:tcPr>
          <w:p w14:paraId="52ABFB56" w14:textId="3B6A6087"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r>
      <w:tr w:rsidR="005C29F8" w:rsidRPr="005C29F8" w14:paraId="48C2FC52" w14:textId="77777777" w:rsidTr="00044B5C">
        <w:trPr>
          <w:trHeight w:val="80"/>
        </w:trPr>
        <w:tc>
          <w:tcPr>
            <w:tcW w:w="331" w:type="pct"/>
            <w:shd w:val="clear" w:color="auto" w:fill="auto"/>
            <w:vAlign w:val="center"/>
          </w:tcPr>
          <w:p w14:paraId="46A56F85" w14:textId="2DC83D9F" w:rsidR="00FC7E3A" w:rsidRPr="00691ABA" w:rsidRDefault="00FC7E3A" w:rsidP="00FC7E3A">
            <w:pPr>
              <w:spacing w:before="0" w:after="0"/>
              <w:jc w:val="center"/>
              <w:rPr>
                <w:rFonts w:cs="Arial"/>
                <w:b/>
                <w:bCs/>
                <w:color w:val="000000" w:themeColor="text1"/>
                <w:szCs w:val="16"/>
              </w:rPr>
            </w:pPr>
            <w:r w:rsidRPr="00691ABA">
              <w:rPr>
                <w:rFonts w:cs="Arial"/>
                <w:b/>
                <w:bCs/>
                <w:color w:val="000000" w:themeColor="text1"/>
                <w:szCs w:val="16"/>
              </w:rPr>
              <w:t>A</w:t>
            </w:r>
          </w:p>
        </w:tc>
        <w:tc>
          <w:tcPr>
            <w:tcW w:w="417" w:type="pct"/>
            <w:shd w:val="clear" w:color="auto" w:fill="auto"/>
            <w:vAlign w:val="center"/>
          </w:tcPr>
          <w:p w14:paraId="53B42D96" w14:textId="75F0BA6D" w:rsidR="00FC7E3A" w:rsidRPr="005C29F8" w:rsidRDefault="00FC7E3A">
            <w:pPr>
              <w:spacing w:before="0" w:after="0"/>
              <w:jc w:val="center"/>
              <w:rPr>
                <w:rFonts w:cs="Arial"/>
                <w:color w:val="000000" w:themeColor="text1"/>
                <w:szCs w:val="16"/>
              </w:rPr>
            </w:pPr>
            <w:r w:rsidRPr="005C29F8">
              <w:rPr>
                <w:rFonts w:cs="Arial"/>
                <w:color w:val="000000" w:themeColor="text1"/>
                <w:szCs w:val="16"/>
              </w:rPr>
              <w:t>Overall</w:t>
            </w:r>
          </w:p>
        </w:tc>
        <w:tc>
          <w:tcPr>
            <w:tcW w:w="501" w:type="pct"/>
            <w:shd w:val="clear" w:color="auto" w:fill="auto"/>
            <w:vAlign w:val="center"/>
          </w:tcPr>
          <w:p w14:paraId="1A0873BF" w14:textId="7EBE0F9F" w:rsidR="0052033B" w:rsidRPr="005C29F8" w:rsidRDefault="0052033B">
            <w:pPr>
              <w:spacing w:before="0" w:after="0"/>
              <w:jc w:val="center"/>
              <w:rPr>
                <w:rFonts w:cs="Arial"/>
                <w:color w:val="000000" w:themeColor="text1"/>
                <w:szCs w:val="16"/>
              </w:rPr>
            </w:pPr>
            <w:r w:rsidRPr="005C29F8">
              <w:rPr>
                <w:rFonts w:cs="Arial"/>
                <w:color w:val="000000" w:themeColor="text1"/>
                <w:szCs w:val="16"/>
              </w:rPr>
              <w:t>97.60%</w:t>
            </w:r>
          </w:p>
        </w:tc>
        <w:tc>
          <w:tcPr>
            <w:tcW w:w="497" w:type="pct"/>
            <w:shd w:val="clear" w:color="auto" w:fill="auto"/>
            <w:vAlign w:val="center"/>
          </w:tcPr>
          <w:p w14:paraId="0742C76F" w14:textId="7CAF2540" w:rsidR="00FC7E3A" w:rsidRPr="005C29F8" w:rsidRDefault="00FC7E3A" w:rsidP="00A018D4">
            <w:pPr>
              <w:spacing w:before="0" w:after="0"/>
              <w:rPr>
                <w:rFonts w:cs="Arial"/>
                <w:color w:val="000000" w:themeColor="text1"/>
                <w:szCs w:val="16"/>
              </w:rPr>
            </w:pPr>
            <w:r w:rsidRPr="005C29F8">
              <w:rPr>
                <w:rFonts w:cs="Arial"/>
                <w:color w:val="000000" w:themeColor="text1"/>
                <w:szCs w:val="16"/>
              </w:rPr>
              <w:t>Actual</w:t>
            </w:r>
          </w:p>
        </w:tc>
        <w:tc>
          <w:tcPr>
            <w:tcW w:w="622" w:type="pct"/>
            <w:shd w:val="clear" w:color="auto" w:fill="auto"/>
            <w:vAlign w:val="bottom"/>
          </w:tcPr>
          <w:p w14:paraId="27E9945D" w14:textId="33F6AF22" w:rsidR="00FC7E3A" w:rsidRPr="005C29F8" w:rsidRDefault="00FC7E3A" w:rsidP="00A018D4">
            <w:pPr>
              <w:jc w:val="center"/>
              <w:rPr>
                <w:rFonts w:cs="Arial"/>
                <w:color w:val="000000" w:themeColor="text1"/>
                <w:szCs w:val="16"/>
              </w:rPr>
            </w:pPr>
            <w:r w:rsidRPr="005C29F8">
              <w:rPr>
                <w:rFonts w:cs="Arial"/>
                <w:color w:val="000000" w:themeColor="text1"/>
                <w:szCs w:val="16"/>
              </w:rPr>
              <w:t>97.23%</w:t>
            </w:r>
          </w:p>
        </w:tc>
        <w:tc>
          <w:tcPr>
            <w:tcW w:w="659" w:type="pct"/>
            <w:tcBorders>
              <w:bottom w:val="single" w:sz="4" w:space="0" w:color="auto"/>
            </w:tcBorders>
            <w:shd w:val="clear" w:color="auto" w:fill="auto"/>
            <w:vAlign w:val="bottom"/>
          </w:tcPr>
          <w:p w14:paraId="46ED7F9D" w14:textId="436039A9" w:rsidR="00FC7E3A" w:rsidRPr="005C29F8" w:rsidRDefault="00FC7E3A" w:rsidP="00A018D4">
            <w:pPr>
              <w:jc w:val="center"/>
              <w:rPr>
                <w:rFonts w:cs="Arial"/>
                <w:color w:val="000000" w:themeColor="text1"/>
                <w:szCs w:val="16"/>
              </w:rPr>
            </w:pPr>
            <w:r w:rsidRPr="005C29F8">
              <w:rPr>
                <w:rFonts w:cs="Arial"/>
                <w:color w:val="000000" w:themeColor="text1"/>
                <w:szCs w:val="16"/>
              </w:rPr>
              <w:t>97.75%</w:t>
            </w:r>
          </w:p>
        </w:tc>
        <w:tc>
          <w:tcPr>
            <w:tcW w:w="659" w:type="pct"/>
            <w:tcBorders>
              <w:bottom w:val="single" w:sz="4" w:space="0" w:color="auto"/>
            </w:tcBorders>
            <w:shd w:val="clear" w:color="auto" w:fill="auto"/>
            <w:vAlign w:val="bottom"/>
          </w:tcPr>
          <w:p w14:paraId="20457CFC" w14:textId="22D31A94" w:rsidR="00FC7E3A" w:rsidRPr="005C29F8" w:rsidRDefault="00FC7E3A" w:rsidP="00A018D4">
            <w:pPr>
              <w:jc w:val="center"/>
              <w:rPr>
                <w:rFonts w:cs="Arial"/>
                <w:color w:val="000000" w:themeColor="text1"/>
                <w:szCs w:val="16"/>
              </w:rPr>
            </w:pPr>
            <w:r w:rsidRPr="005C29F8">
              <w:rPr>
                <w:rFonts w:cs="Arial"/>
                <w:color w:val="000000" w:themeColor="text1"/>
                <w:szCs w:val="16"/>
              </w:rPr>
              <w:t>98.45%</w:t>
            </w:r>
          </w:p>
        </w:tc>
        <w:tc>
          <w:tcPr>
            <w:tcW w:w="659" w:type="pct"/>
            <w:tcBorders>
              <w:bottom w:val="single" w:sz="4" w:space="0" w:color="auto"/>
            </w:tcBorders>
            <w:shd w:val="clear" w:color="auto" w:fill="auto"/>
            <w:vAlign w:val="bottom"/>
          </w:tcPr>
          <w:p w14:paraId="24D885F2" w14:textId="02A27C7C" w:rsidR="00FC7E3A" w:rsidRPr="005C29F8" w:rsidRDefault="00FC7E3A" w:rsidP="00A018D4">
            <w:pPr>
              <w:jc w:val="center"/>
              <w:rPr>
                <w:rFonts w:cs="Arial"/>
                <w:color w:val="000000" w:themeColor="text1"/>
                <w:szCs w:val="16"/>
              </w:rPr>
            </w:pPr>
            <w:r w:rsidRPr="005C29F8">
              <w:rPr>
                <w:rFonts w:cs="Arial"/>
                <w:color w:val="000000" w:themeColor="text1"/>
                <w:szCs w:val="16"/>
              </w:rPr>
              <w:t>98.51%</w:t>
            </w:r>
          </w:p>
        </w:tc>
        <w:tc>
          <w:tcPr>
            <w:tcW w:w="655" w:type="pct"/>
            <w:tcBorders>
              <w:bottom w:val="single" w:sz="4" w:space="0" w:color="auto"/>
            </w:tcBorders>
            <w:shd w:val="clear" w:color="auto" w:fill="auto"/>
            <w:vAlign w:val="bottom"/>
          </w:tcPr>
          <w:p w14:paraId="219769CF" w14:textId="70AA0FA6" w:rsidR="00FC7E3A" w:rsidRPr="005C29F8" w:rsidRDefault="00FC7E3A" w:rsidP="00A018D4">
            <w:pPr>
              <w:jc w:val="center"/>
              <w:rPr>
                <w:rFonts w:cs="Arial"/>
                <w:color w:val="000000" w:themeColor="text1"/>
                <w:szCs w:val="16"/>
              </w:rPr>
            </w:pPr>
            <w:r w:rsidRPr="005C29F8">
              <w:rPr>
                <w:rFonts w:cs="Arial"/>
                <w:color w:val="000000" w:themeColor="text1"/>
                <w:szCs w:val="16"/>
              </w:rPr>
              <w:t>98.46%</w:t>
            </w:r>
          </w:p>
        </w:tc>
      </w:tr>
    </w:tbl>
    <w:p w14:paraId="753A6A16" w14:textId="77777777" w:rsidR="004D0044" w:rsidRPr="005C29F8" w:rsidRDefault="004D0044" w:rsidP="004D0044">
      <w:pPr>
        <w:rPr>
          <w:color w:val="000000" w:themeColor="text1"/>
        </w:rPr>
      </w:pPr>
    </w:p>
    <w:p w14:paraId="1CF7D7FC" w14:textId="20C38551" w:rsidR="0065503C" w:rsidRDefault="0065503C" w:rsidP="004369B2">
      <w:pPr>
        <w:rPr>
          <w:b/>
          <w:color w:val="000000" w:themeColor="text1"/>
        </w:rPr>
      </w:pPr>
      <w:r w:rsidRPr="005C29F8">
        <w:rPr>
          <w:b/>
          <w:color w:val="000000" w:themeColor="text1"/>
        </w:rPr>
        <w:t>Historical Data: Math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MATH"/>
      </w:tblPr>
      <w:tblGrid>
        <w:gridCol w:w="714"/>
        <w:gridCol w:w="1170"/>
        <w:gridCol w:w="1079"/>
        <w:gridCol w:w="982"/>
        <w:gridCol w:w="1349"/>
        <w:gridCol w:w="1383"/>
        <w:gridCol w:w="1383"/>
        <w:gridCol w:w="1383"/>
        <w:gridCol w:w="1347"/>
      </w:tblGrid>
      <w:tr w:rsidR="005C29F8" w:rsidRPr="005C29F8" w14:paraId="0B0C55D8" w14:textId="77777777" w:rsidTr="00044B5C">
        <w:trPr>
          <w:trHeight w:val="300"/>
        </w:trPr>
        <w:tc>
          <w:tcPr>
            <w:tcW w:w="331" w:type="pct"/>
            <w:tcBorders>
              <w:top w:val="single" w:sz="2" w:space="0" w:color="262626" w:themeColor="text1" w:themeTint="D9"/>
            </w:tcBorders>
            <w:shd w:val="clear" w:color="auto" w:fill="auto"/>
            <w:vAlign w:val="bottom"/>
          </w:tcPr>
          <w:p w14:paraId="35D554C5" w14:textId="7FD368ED" w:rsidR="00C80CA6" w:rsidRPr="005C29F8" w:rsidRDefault="00C80CA6" w:rsidP="00C80CA6">
            <w:pPr>
              <w:jc w:val="center"/>
              <w:rPr>
                <w:rFonts w:cs="Arial"/>
                <w:b/>
                <w:color w:val="000000" w:themeColor="text1"/>
                <w:szCs w:val="16"/>
              </w:rPr>
            </w:pPr>
            <w:r w:rsidRPr="005C29F8">
              <w:rPr>
                <w:rFonts w:cs="Arial"/>
                <w:b/>
                <w:color w:val="000000" w:themeColor="text1"/>
                <w:szCs w:val="16"/>
              </w:rPr>
              <w:t xml:space="preserve">Group </w:t>
            </w:r>
          </w:p>
        </w:tc>
        <w:tc>
          <w:tcPr>
            <w:tcW w:w="542" w:type="pct"/>
            <w:tcBorders>
              <w:top w:val="single" w:sz="2" w:space="0" w:color="262626" w:themeColor="text1" w:themeTint="D9"/>
            </w:tcBorders>
            <w:shd w:val="clear" w:color="auto" w:fill="auto"/>
            <w:vAlign w:val="bottom"/>
          </w:tcPr>
          <w:p w14:paraId="17F128D3" w14:textId="4D0059D3" w:rsidR="00C80CA6" w:rsidRPr="005C29F8" w:rsidRDefault="00C80CA6" w:rsidP="00C80CA6">
            <w:pPr>
              <w:jc w:val="center"/>
              <w:rPr>
                <w:rFonts w:cs="Arial"/>
                <w:b/>
                <w:color w:val="000000" w:themeColor="text1"/>
                <w:szCs w:val="16"/>
              </w:rPr>
            </w:pPr>
            <w:r w:rsidRPr="005C29F8">
              <w:rPr>
                <w:rFonts w:cs="Arial"/>
                <w:b/>
                <w:color w:val="000000" w:themeColor="text1"/>
                <w:szCs w:val="16"/>
              </w:rPr>
              <w:t xml:space="preserve">Group Name </w:t>
            </w:r>
          </w:p>
        </w:tc>
        <w:tc>
          <w:tcPr>
            <w:tcW w:w="500" w:type="pct"/>
            <w:tcBorders>
              <w:top w:val="single" w:sz="2" w:space="0" w:color="262626" w:themeColor="text1" w:themeTint="D9"/>
            </w:tcBorders>
            <w:shd w:val="clear" w:color="auto" w:fill="auto"/>
            <w:vAlign w:val="bottom"/>
          </w:tcPr>
          <w:p w14:paraId="49C112BD" w14:textId="2182D9B5" w:rsidR="00C80CA6" w:rsidRPr="005C29F8" w:rsidRDefault="00C80CA6" w:rsidP="008375EB">
            <w:pPr>
              <w:jc w:val="center"/>
              <w:rPr>
                <w:rFonts w:cs="Arial"/>
                <w:b/>
                <w:color w:val="000000" w:themeColor="text1"/>
                <w:szCs w:val="16"/>
              </w:rPr>
            </w:pPr>
            <w:r w:rsidRPr="005C29F8">
              <w:rPr>
                <w:rFonts w:cs="Arial"/>
                <w:b/>
                <w:color w:val="000000" w:themeColor="text1"/>
                <w:szCs w:val="16"/>
              </w:rPr>
              <w:t xml:space="preserve">Baseline </w:t>
            </w:r>
          </w:p>
        </w:tc>
        <w:tc>
          <w:tcPr>
            <w:tcW w:w="455" w:type="pct"/>
            <w:tcBorders>
              <w:top w:val="single" w:sz="2" w:space="0" w:color="262626" w:themeColor="text1" w:themeTint="D9"/>
            </w:tcBorders>
            <w:shd w:val="clear" w:color="auto" w:fill="auto"/>
            <w:vAlign w:val="bottom"/>
          </w:tcPr>
          <w:p w14:paraId="5421DAF0" w14:textId="51E498A7" w:rsidR="00C80CA6" w:rsidRPr="005C29F8" w:rsidRDefault="00C80CA6" w:rsidP="00C80CA6">
            <w:pPr>
              <w:jc w:val="center"/>
              <w:rPr>
                <w:rFonts w:cs="Arial"/>
                <w:b/>
                <w:color w:val="000000" w:themeColor="text1"/>
                <w:szCs w:val="16"/>
              </w:rPr>
            </w:pPr>
            <w:r w:rsidRPr="005C29F8">
              <w:rPr>
                <w:rFonts w:cs="Arial"/>
                <w:b/>
                <w:color w:val="000000" w:themeColor="text1"/>
                <w:szCs w:val="16"/>
              </w:rPr>
              <w:t>FFY</w:t>
            </w:r>
          </w:p>
        </w:tc>
        <w:tc>
          <w:tcPr>
            <w:tcW w:w="625" w:type="pct"/>
            <w:tcBorders>
              <w:top w:val="single" w:sz="2" w:space="0" w:color="262626" w:themeColor="text1" w:themeTint="D9"/>
              <w:bottom w:val="single" w:sz="4" w:space="0" w:color="auto"/>
            </w:tcBorders>
            <w:shd w:val="clear" w:color="auto" w:fill="auto"/>
            <w:vAlign w:val="bottom"/>
          </w:tcPr>
          <w:p w14:paraId="31D90D11" w14:textId="38E03932" w:rsidR="00C80CA6" w:rsidRPr="005C29F8" w:rsidRDefault="002B7490" w:rsidP="00C80CA6">
            <w:pPr>
              <w:jc w:val="center"/>
              <w:rPr>
                <w:rFonts w:cs="Arial"/>
                <w:b/>
                <w:color w:val="000000" w:themeColor="text1"/>
                <w:szCs w:val="16"/>
              </w:rPr>
            </w:pPr>
            <w:r w:rsidRPr="005C29F8">
              <w:rPr>
                <w:rFonts w:cs="Arial"/>
                <w:b/>
                <w:color w:val="000000" w:themeColor="text1"/>
                <w:szCs w:val="16"/>
              </w:rPr>
              <w:t>2014</w:t>
            </w:r>
          </w:p>
        </w:tc>
        <w:tc>
          <w:tcPr>
            <w:tcW w:w="641" w:type="pct"/>
            <w:tcBorders>
              <w:top w:val="single" w:sz="2" w:space="0" w:color="262626" w:themeColor="text1" w:themeTint="D9"/>
            </w:tcBorders>
            <w:shd w:val="clear" w:color="auto" w:fill="auto"/>
            <w:vAlign w:val="bottom"/>
          </w:tcPr>
          <w:p w14:paraId="6ED723E2" w14:textId="1F4131B5" w:rsidR="00C80CA6" w:rsidRPr="005C29F8" w:rsidRDefault="002B7490" w:rsidP="00C80CA6">
            <w:pPr>
              <w:jc w:val="center"/>
              <w:rPr>
                <w:rFonts w:cs="Arial"/>
                <w:b/>
                <w:color w:val="000000" w:themeColor="text1"/>
                <w:szCs w:val="16"/>
              </w:rPr>
            </w:pPr>
            <w:r w:rsidRPr="005C29F8">
              <w:rPr>
                <w:rFonts w:cs="Arial"/>
                <w:b/>
                <w:color w:val="000000" w:themeColor="text1"/>
                <w:szCs w:val="16"/>
              </w:rPr>
              <w:t>2015</w:t>
            </w:r>
          </w:p>
        </w:tc>
        <w:tc>
          <w:tcPr>
            <w:tcW w:w="641" w:type="pct"/>
            <w:tcBorders>
              <w:top w:val="single" w:sz="2" w:space="0" w:color="262626" w:themeColor="text1" w:themeTint="D9"/>
            </w:tcBorders>
            <w:shd w:val="clear" w:color="auto" w:fill="auto"/>
            <w:vAlign w:val="bottom"/>
          </w:tcPr>
          <w:p w14:paraId="4E8885B8" w14:textId="53EE0F64" w:rsidR="00C80CA6" w:rsidRPr="005C29F8" w:rsidRDefault="002B7490" w:rsidP="00C80CA6">
            <w:pPr>
              <w:jc w:val="center"/>
              <w:rPr>
                <w:rFonts w:cs="Arial"/>
                <w:b/>
                <w:color w:val="000000" w:themeColor="text1"/>
                <w:szCs w:val="16"/>
              </w:rPr>
            </w:pPr>
            <w:r w:rsidRPr="005C29F8">
              <w:rPr>
                <w:rFonts w:cs="Arial"/>
                <w:b/>
                <w:color w:val="000000" w:themeColor="text1"/>
                <w:szCs w:val="16"/>
              </w:rPr>
              <w:t>2016</w:t>
            </w:r>
          </w:p>
        </w:tc>
        <w:tc>
          <w:tcPr>
            <w:tcW w:w="641" w:type="pct"/>
            <w:tcBorders>
              <w:top w:val="single" w:sz="2" w:space="0" w:color="262626" w:themeColor="text1" w:themeTint="D9"/>
            </w:tcBorders>
            <w:shd w:val="clear" w:color="auto" w:fill="auto"/>
            <w:vAlign w:val="bottom"/>
          </w:tcPr>
          <w:p w14:paraId="667EBDFB" w14:textId="6C56939B" w:rsidR="00C80CA6" w:rsidRPr="005C29F8" w:rsidRDefault="002B7490" w:rsidP="00C80CA6">
            <w:pPr>
              <w:jc w:val="center"/>
              <w:rPr>
                <w:rFonts w:cs="Arial"/>
                <w:b/>
                <w:color w:val="000000" w:themeColor="text1"/>
                <w:szCs w:val="16"/>
              </w:rPr>
            </w:pPr>
            <w:r w:rsidRPr="005C29F8">
              <w:rPr>
                <w:rFonts w:cs="Arial"/>
                <w:b/>
                <w:color w:val="000000" w:themeColor="text1"/>
                <w:szCs w:val="16"/>
              </w:rPr>
              <w:t>2017</w:t>
            </w:r>
          </w:p>
        </w:tc>
        <w:tc>
          <w:tcPr>
            <w:tcW w:w="624" w:type="pct"/>
            <w:tcBorders>
              <w:top w:val="single" w:sz="2" w:space="0" w:color="262626" w:themeColor="text1" w:themeTint="D9"/>
            </w:tcBorders>
            <w:shd w:val="clear" w:color="auto" w:fill="auto"/>
            <w:vAlign w:val="bottom"/>
          </w:tcPr>
          <w:p w14:paraId="274B33BB" w14:textId="53C050B8" w:rsidR="00C80CA6" w:rsidRPr="005C29F8" w:rsidRDefault="002B7490" w:rsidP="00C80CA6">
            <w:pPr>
              <w:jc w:val="center"/>
              <w:rPr>
                <w:rFonts w:cs="Arial"/>
                <w:b/>
                <w:color w:val="000000" w:themeColor="text1"/>
                <w:szCs w:val="16"/>
              </w:rPr>
            </w:pPr>
            <w:r w:rsidRPr="005C29F8">
              <w:rPr>
                <w:rFonts w:cs="Arial"/>
                <w:b/>
                <w:color w:val="000000" w:themeColor="text1"/>
                <w:szCs w:val="16"/>
              </w:rPr>
              <w:t>2018</w:t>
            </w:r>
          </w:p>
        </w:tc>
      </w:tr>
      <w:tr w:rsidR="005C29F8" w:rsidRPr="005C29F8" w14:paraId="52C7DB8B" w14:textId="77777777" w:rsidTr="00044B5C">
        <w:trPr>
          <w:trHeight w:val="152"/>
        </w:trPr>
        <w:tc>
          <w:tcPr>
            <w:tcW w:w="331" w:type="pct"/>
            <w:shd w:val="clear" w:color="auto" w:fill="auto"/>
            <w:vAlign w:val="center"/>
          </w:tcPr>
          <w:p w14:paraId="0B35CDEB" w14:textId="77777777" w:rsidR="008667B9" w:rsidRPr="00691ABA" w:rsidRDefault="008667B9">
            <w:pPr>
              <w:spacing w:before="0" w:after="0"/>
              <w:jc w:val="center"/>
              <w:rPr>
                <w:rFonts w:cs="Arial"/>
                <w:b/>
                <w:bCs/>
                <w:color w:val="000000" w:themeColor="text1"/>
                <w:szCs w:val="16"/>
              </w:rPr>
            </w:pPr>
            <w:r w:rsidRPr="00691ABA">
              <w:rPr>
                <w:rFonts w:cs="Arial"/>
                <w:b/>
                <w:bCs/>
                <w:color w:val="000000" w:themeColor="text1"/>
                <w:szCs w:val="16"/>
              </w:rPr>
              <w:t>A</w:t>
            </w:r>
          </w:p>
        </w:tc>
        <w:tc>
          <w:tcPr>
            <w:tcW w:w="542" w:type="pct"/>
            <w:shd w:val="clear" w:color="auto" w:fill="auto"/>
            <w:vAlign w:val="center"/>
          </w:tcPr>
          <w:p w14:paraId="01A98F88" w14:textId="60F3FCCA" w:rsidR="008667B9" w:rsidRPr="005C29F8" w:rsidDel="000B2DCB" w:rsidRDefault="008667B9" w:rsidP="00A018D4">
            <w:pPr>
              <w:jc w:val="center"/>
              <w:rPr>
                <w:rFonts w:cs="Arial"/>
                <w:color w:val="000000" w:themeColor="text1"/>
                <w:szCs w:val="16"/>
              </w:rPr>
            </w:pPr>
            <w:r w:rsidRPr="005C29F8">
              <w:rPr>
                <w:rFonts w:cs="Arial"/>
                <w:color w:val="000000" w:themeColor="text1"/>
                <w:szCs w:val="16"/>
              </w:rPr>
              <w:t>Overall</w:t>
            </w:r>
          </w:p>
        </w:tc>
        <w:tc>
          <w:tcPr>
            <w:tcW w:w="500" w:type="pct"/>
            <w:shd w:val="clear" w:color="auto" w:fill="auto"/>
            <w:vAlign w:val="center"/>
          </w:tcPr>
          <w:p w14:paraId="7558EB5C" w14:textId="0EB6C01E" w:rsidR="004A74D2" w:rsidRPr="005C29F8" w:rsidRDefault="004A74D2">
            <w:pPr>
              <w:spacing w:before="0" w:after="0"/>
              <w:jc w:val="center"/>
              <w:rPr>
                <w:rFonts w:cs="Arial"/>
                <w:color w:val="000000" w:themeColor="text1"/>
                <w:szCs w:val="16"/>
              </w:rPr>
            </w:pPr>
            <w:r w:rsidRPr="005C29F8">
              <w:rPr>
                <w:rFonts w:cs="Arial"/>
                <w:color w:val="000000" w:themeColor="text1"/>
                <w:szCs w:val="16"/>
              </w:rPr>
              <w:t>2005</w:t>
            </w:r>
          </w:p>
        </w:tc>
        <w:tc>
          <w:tcPr>
            <w:tcW w:w="455" w:type="pct"/>
            <w:shd w:val="clear" w:color="auto" w:fill="auto"/>
            <w:vAlign w:val="center"/>
          </w:tcPr>
          <w:p w14:paraId="5C01F10B" w14:textId="13F4E5B7" w:rsidR="008667B9" w:rsidRPr="005C29F8" w:rsidRDefault="008667B9" w:rsidP="00A018D4">
            <w:pPr>
              <w:spacing w:before="0" w:after="0"/>
              <w:rPr>
                <w:rFonts w:cs="Arial"/>
                <w:color w:val="000000" w:themeColor="text1"/>
                <w:szCs w:val="16"/>
              </w:rPr>
            </w:pPr>
            <w:r w:rsidRPr="005C29F8">
              <w:rPr>
                <w:rFonts w:cs="Arial"/>
                <w:color w:val="000000" w:themeColor="text1"/>
                <w:szCs w:val="16"/>
              </w:rPr>
              <w:t>Target &gt;=</w:t>
            </w:r>
          </w:p>
        </w:tc>
        <w:tc>
          <w:tcPr>
            <w:tcW w:w="625" w:type="pct"/>
            <w:shd w:val="clear" w:color="auto" w:fill="auto"/>
            <w:vAlign w:val="bottom"/>
          </w:tcPr>
          <w:p w14:paraId="51891FB7" w14:textId="351D5467"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c>
          <w:tcPr>
            <w:tcW w:w="641" w:type="pct"/>
            <w:shd w:val="clear" w:color="auto" w:fill="auto"/>
            <w:vAlign w:val="bottom"/>
          </w:tcPr>
          <w:p w14:paraId="14929ED4" w14:textId="413BD2BA"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c>
          <w:tcPr>
            <w:tcW w:w="641" w:type="pct"/>
            <w:shd w:val="clear" w:color="auto" w:fill="auto"/>
            <w:vAlign w:val="bottom"/>
          </w:tcPr>
          <w:p w14:paraId="57E3DB58" w14:textId="2F100535"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c>
          <w:tcPr>
            <w:tcW w:w="641" w:type="pct"/>
            <w:shd w:val="clear" w:color="auto" w:fill="auto"/>
            <w:vAlign w:val="bottom"/>
          </w:tcPr>
          <w:p w14:paraId="5B629EE0" w14:textId="14A4A1B7"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c>
          <w:tcPr>
            <w:tcW w:w="624" w:type="pct"/>
            <w:shd w:val="clear" w:color="auto" w:fill="auto"/>
            <w:vAlign w:val="bottom"/>
          </w:tcPr>
          <w:p w14:paraId="7175E465" w14:textId="0ADCACB2" w:rsidR="008667B9" w:rsidRPr="005C29F8" w:rsidRDefault="008667B9" w:rsidP="00A018D4">
            <w:pPr>
              <w:jc w:val="center"/>
              <w:rPr>
                <w:rFonts w:cs="Arial"/>
                <w:color w:val="000000" w:themeColor="text1"/>
                <w:szCs w:val="16"/>
              </w:rPr>
            </w:pPr>
            <w:r w:rsidRPr="005C29F8">
              <w:rPr>
                <w:rFonts w:cs="Arial"/>
                <w:color w:val="000000" w:themeColor="text1"/>
                <w:szCs w:val="16"/>
              </w:rPr>
              <w:t>99.00%</w:t>
            </w:r>
          </w:p>
        </w:tc>
      </w:tr>
      <w:tr w:rsidR="005C29F8" w:rsidRPr="005C29F8" w14:paraId="2066F816" w14:textId="77777777" w:rsidTr="00044B5C">
        <w:trPr>
          <w:trHeight w:val="80"/>
        </w:trPr>
        <w:tc>
          <w:tcPr>
            <w:tcW w:w="331" w:type="pct"/>
            <w:shd w:val="clear" w:color="auto" w:fill="auto"/>
            <w:vAlign w:val="center"/>
          </w:tcPr>
          <w:p w14:paraId="23E76B34" w14:textId="5A0104BE" w:rsidR="00BB57F4" w:rsidRPr="00691ABA" w:rsidRDefault="00BB57F4">
            <w:pPr>
              <w:spacing w:before="0" w:after="0"/>
              <w:jc w:val="center"/>
              <w:rPr>
                <w:rFonts w:cs="Arial"/>
                <w:b/>
                <w:bCs/>
                <w:color w:val="000000" w:themeColor="text1"/>
                <w:szCs w:val="16"/>
              </w:rPr>
            </w:pPr>
            <w:r w:rsidRPr="00691ABA">
              <w:rPr>
                <w:rFonts w:cs="Arial"/>
                <w:b/>
                <w:bCs/>
                <w:color w:val="000000" w:themeColor="text1"/>
                <w:szCs w:val="16"/>
              </w:rPr>
              <w:t>A</w:t>
            </w:r>
          </w:p>
        </w:tc>
        <w:tc>
          <w:tcPr>
            <w:tcW w:w="542" w:type="pct"/>
            <w:shd w:val="clear" w:color="auto" w:fill="auto"/>
            <w:vAlign w:val="center"/>
          </w:tcPr>
          <w:p w14:paraId="0008811D" w14:textId="741FCAE8" w:rsidR="00BB57F4" w:rsidRPr="005C29F8" w:rsidRDefault="00BB57F4">
            <w:pPr>
              <w:spacing w:before="0" w:after="0"/>
              <w:jc w:val="center"/>
              <w:rPr>
                <w:rFonts w:cs="Arial"/>
                <w:color w:val="000000" w:themeColor="text1"/>
                <w:szCs w:val="16"/>
              </w:rPr>
            </w:pPr>
            <w:r w:rsidRPr="005C29F8">
              <w:rPr>
                <w:rFonts w:cs="Arial"/>
                <w:color w:val="000000" w:themeColor="text1"/>
                <w:szCs w:val="16"/>
              </w:rPr>
              <w:t>Overall</w:t>
            </w:r>
          </w:p>
        </w:tc>
        <w:tc>
          <w:tcPr>
            <w:tcW w:w="500" w:type="pct"/>
            <w:shd w:val="clear" w:color="auto" w:fill="auto"/>
            <w:vAlign w:val="center"/>
          </w:tcPr>
          <w:p w14:paraId="0AB4D77F" w14:textId="36F1C039" w:rsidR="00BB57F4" w:rsidRPr="005C29F8" w:rsidRDefault="004A74D2">
            <w:pPr>
              <w:spacing w:before="0" w:after="0"/>
              <w:jc w:val="center"/>
              <w:rPr>
                <w:rFonts w:cs="Arial"/>
                <w:color w:val="000000" w:themeColor="text1"/>
                <w:szCs w:val="16"/>
              </w:rPr>
            </w:pPr>
            <w:r w:rsidRPr="005C29F8">
              <w:rPr>
                <w:rFonts w:cs="Arial"/>
                <w:color w:val="000000" w:themeColor="text1"/>
                <w:szCs w:val="16"/>
              </w:rPr>
              <w:t>97.70%</w:t>
            </w:r>
          </w:p>
        </w:tc>
        <w:tc>
          <w:tcPr>
            <w:tcW w:w="455" w:type="pct"/>
            <w:shd w:val="clear" w:color="auto" w:fill="auto"/>
            <w:vAlign w:val="center"/>
          </w:tcPr>
          <w:p w14:paraId="69983D52" w14:textId="6F4A2686" w:rsidR="00BB57F4" w:rsidRPr="005C29F8" w:rsidRDefault="00BB57F4" w:rsidP="00A018D4">
            <w:pPr>
              <w:spacing w:before="0" w:after="0"/>
              <w:rPr>
                <w:rFonts w:cs="Arial"/>
                <w:color w:val="000000" w:themeColor="text1"/>
                <w:szCs w:val="16"/>
              </w:rPr>
            </w:pPr>
            <w:r w:rsidRPr="005C29F8">
              <w:rPr>
                <w:rFonts w:cs="Arial"/>
                <w:color w:val="000000" w:themeColor="text1"/>
                <w:szCs w:val="16"/>
              </w:rPr>
              <w:t>Actual</w:t>
            </w:r>
          </w:p>
        </w:tc>
        <w:tc>
          <w:tcPr>
            <w:tcW w:w="625" w:type="pct"/>
            <w:shd w:val="clear" w:color="auto" w:fill="auto"/>
            <w:vAlign w:val="bottom"/>
          </w:tcPr>
          <w:p w14:paraId="10756FD9" w14:textId="427E2C88" w:rsidR="00BB57F4" w:rsidRPr="005C29F8" w:rsidRDefault="00BB57F4" w:rsidP="00A018D4">
            <w:pPr>
              <w:jc w:val="center"/>
              <w:rPr>
                <w:rFonts w:cs="Arial"/>
                <w:color w:val="000000" w:themeColor="text1"/>
                <w:szCs w:val="16"/>
              </w:rPr>
            </w:pPr>
            <w:r w:rsidRPr="005C29F8">
              <w:rPr>
                <w:rFonts w:cs="Arial"/>
                <w:color w:val="000000" w:themeColor="text1"/>
                <w:szCs w:val="16"/>
              </w:rPr>
              <w:t>97.41%</w:t>
            </w:r>
          </w:p>
        </w:tc>
        <w:tc>
          <w:tcPr>
            <w:tcW w:w="641" w:type="pct"/>
            <w:tcBorders>
              <w:bottom w:val="single" w:sz="4" w:space="0" w:color="auto"/>
            </w:tcBorders>
            <w:shd w:val="clear" w:color="auto" w:fill="auto"/>
            <w:vAlign w:val="bottom"/>
          </w:tcPr>
          <w:p w14:paraId="04509162" w14:textId="02238D78" w:rsidR="00BB57F4" w:rsidRPr="005C29F8" w:rsidRDefault="00BB57F4" w:rsidP="00A018D4">
            <w:pPr>
              <w:jc w:val="center"/>
              <w:rPr>
                <w:rFonts w:cs="Arial"/>
                <w:color w:val="000000" w:themeColor="text1"/>
                <w:szCs w:val="16"/>
              </w:rPr>
            </w:pPr>
            <w:r w:rsidRPr="005C29F8">
              <w:rPr>
                <w:rFonts w:cs="Arial"/>
                <w:color w:val="000000" w:themeColor="text1"/>
                <w:szCs w:val="16"/>
              </w:rPr>
              <w:t>97.54%</w:t>
            </w:r>
          </w:p>
        </w:tc>
        <w:tc>
          <w:tcPr>
            <w:tcW w:w="641" w:type="pct"/>
            <w:tcBorders>
              <w:bottom w:val="single" w:sz="4" w:space="0" w:color="auto"/>
            </w:tcBorders>
            <w:shd w:val="clear" w:color="auto" w:fill="auto"/>
            <w:vAlign w:val="bottom"/>
          </w:tcPr>
          <w:p w14:paraId="21E5FCE6" w14:textId="5DBD4808" w:rsidR="00BB57F4" w:rsidRPr="005C29F8" w:rsidRDefault="00BB57F4" w:rsidP="00A018D4">
            <w:pPr>
              <w:jc w:val="center"/>
              <w:rPr>
                <w:rFonts w:cs="Arial"/>
                <w:color w:val="000000" w:themeColor="text1"/>
                <w:szCs w:val="16"/>
              </w:rPr>
            </w:pPr>
            <w:r w:rsidRPr="005C29F8">
              <w:rPr>
                <w:rFonts w:cs="Arial"/>
                <w:color w:val="000000" w:themeColor="text1"/>
                <w:szCs w:val="16"/>
              </w:rPr>
              <w:t>98.45%</w:t>
            </w:r>
          </w:p>
        </w:tc>
        <w:tc>
          <w:tcPr>
            <w:tcW w:w="641" w:type="pct"/>
            <w:tcBorders>
              <w:bottom w:val="single" w:sz="4" w:space="0" w:color="auto"/>
            </w:tcBorders>
            <w:shd w:val="clear" w:color="auto" w:fill="auto"/>
            <w:vAlign w:val="bottom"/>
          </w:tcPr>
          <w:p w14:paraId="0F23C20C" w14:textId="3768BC1D" w:rsidR="00BB57F4" w:rsidRPr="005C29F8" w:rsidRDefault="00BB57F4" w:rsidP="00A018D4">
            <w:pPr>
              <w:jc w:val="center"/>
              <w:rPr>
                <w:rFonts w:cs="Arial"/>
                <w:color w:val="000000" w:themeColor="text1"/>
                <w:szCs w:val="16"/>
              </w:rPr>
            </w:pPr>
            <w:r w:rsidRPr="005C29F8">
              <w:rPr>
                <w:rFonts w:cs="Arial"/>
                <w:color w:val="000000" w:themeColor="text1"/>
                <w:szCs w:val="16"/>
              </w:rPr>
              <w:t>98.48%</w:t>
            </w:r>
          </w:p>
        </w:tc>
        <w:tc>
          <w:tcPr>
            <w:tcW w:w="624" w:type="pct"/>
            <w:tcBorders>
              <w:bottom w:val="single" w:sz="4" w:space="0" w:color="auto"/>
            </w:tcBorders>
            <w:shd w:val="clear" w:color="auto" w:fill="auto"/>
            <w:vAlign w:val="bottom"/>
          </w:tcPr>
          <w:p w14:paraId="69D80C91" w14:textId="7C1E4069" w:rsidR="00BB57F4" w:rsidRPr="005C29F8" w:rsidRDefault="00BB57F4" w:rsidP="00A018D4">
            <w:pPr>
              <w:jc w:val="center"/>
              <w:rPr>
                <w:rFonts w:cs="Arial"/>
                <w:color w:val="000000" w:themeColor="text1"/>
                <w:szCs w:val="16"/>
              </w:rPr>
            </w:pPr>
            <w:r w:rsidRPr="005C29F8">
              <w:rPr>
                <w:rFonts w:cs="Arial"/>
                <w:color w:val="000000" w:themeColor="text1"/>
                <w:szCs w:val="16"/>
              </w:rPr>
              <w:t>98.61%</w:t>
            </w:r>
          </w:p>
        </w:tc>
      </w:tr>
    </w:tbl>
    <w:p w14:paraId="4E5C7995" w14:textId="77777777" w:rsidR="004D0044" w:rsidRPr="005C29F8" w:rsidRDefault="004D0044" w:rsidP="004369B2">
      <w:pPr>
        <w:rPr>
          <w:color w:val="000000" w:themeColor="text1"/>
        </w:rPr>
      </w:pPr>
    </w:p>
    <w:p w14:paraId="38F110A8" w14:textId="3014A321" w:rsidR="00E539AB" w:rsidRDefault="00E539AB" w:rsidP="004369B2">
      <w:pPr>
        <w:rPr>
          <w:b/>
          <w:color w:val="000000" w:themeColor="text1"/>
        </w:rPr>
      </w:pPr>
      <w:r w:rsidRPr="005C29F8">
        <w:rPr>
          <w:b/>
          <w:color w:val="000000" w:themeColor="text1"/>
        </w:rPr>
        <w:t>Targets</w:t>
      </w:r>
    </w:p>
    <w:tbl>
      <w:tblPr>
        <w:tblW w:w="34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896"/>
        <w:gridCol w:w="720"/>
        <w:gridCol w:w="2429"/>
        <w:gridCol w:w="3420"/>
      </w:tblGrid>
      <w:tr w:rsidR="00085D89" w:rsidRPr="005C29F8" w14:paraId="241559C7" w14:textId="655B4951" w:rsidTr="00085D89">
        <w:tc>
          <w:tcPr>
            <w:tcW w:w="600" w:type="pct"/>
            <w:tcBorders>
              <w:bottom w:val="single" w:sz="4" w:space="0" w:color="auto"/>
            </w:tcBorders>
            <w:shd w:val="clear" w:color="auto" w:fill="auto"/>
          </w:tcPr>
          <w:p w14:paraId="5F6C0247" w14:textId="02A2F5D1" w:rsidR="00085D89" w:rsidRPr="005C29F8" w:rsidRDefault="002B6965" w:rsidP="004369B2">
            <w:pPr>
              <w:jc w:val="center"/>
              <w:rPr>
                <w:b/>
                <w:color w:val="000000" w:themeColor="text1"/>
              </w:rPr>
            </w:pPr>
            <w:r>
              <w:rPr>
                <w:b/>
                <w:color w:val="000000" w:themeColor="text1"/>
              </w:rPr>
              <w:t>Subject</w:t>
            </w:r>
          </w:p>
        </w:tc>
        <w:tc>
          <w:tcPr>
            <w:tcW w:w="482" w:type="pct"/>
            <w:tcBorders>
              <w:bottom w:val="single" w:sz="4" w:space="0" w:color="auto"/>
            </w:tcBorders>
            <w:shd w:val="clear" w:color="auto" w:fill="auto"/>
          </w:tcPr>
          <w:p w14:paraId="1318C08B" w14:textId="57349DD9" w:rsidR="00085D89" w:rsidRPr="005C29F8" w:rsidRDefault="00085D89" w:rsidP="004369B2">
            <w:pPr>
              <w:jc w:val="center"/>
              <w:rPr>
                <w:b/>
                <w:color w:val="000000" w:themeColor="text1"/>
              </w:rPr>
            </w:pPr>
            <w:r w:rsidRPr="005C29F8">
              <w:rPr>
                <w:b/>
                <w:color w:val="000000" w:themeColor="text1"/>
              </w:rPr>
              <w:t>Group</w:t>
            </w:r>
          </w:p>
        </w:tc>
        <w:tc>
          <w:tcPr>
            <w:tcW w:w="1627" w:type="pct"/>
            <w:shd w:val="clear" w:color="auto" w:fill="auto"/>
          </w:tcPr>
          <w:p w14:paraId="7EAB09FA" w14:textId="030EC418" w:rsidR="00085D89" w:rsidRPr="005C29F8" w:rsidDel="008E7B87" w:rsidRDefault="00085D89" w:rsidP="004369B2">
            <w:pPr>
              <w:jc w:val="center"/>
              <w:rPr>
                <w:b/>
                <w:color w:val="000000" w:themeColor="text1"/>
              </w:rPr>
            </w:pPr>
            <w:r w:rsidRPr="005C29F8">
              <w:rPr>
                <w:b/>
                <w:color w:val="000000" w:themeColor="text1"/>
              </w:rPr>
              <w:t>Group Name</w:t>
            </w:r>
          </w:p>
        </w:tc>
        <w:tc>
          <w:tcPr>
            <w:tcW w:w="2291" w:type="pct"/>
            <w:shd w:val="clear" w:color="auto" w:fill="auto"/>
            <w:vAlign w:val="center"/>
          </w:tcPr>
          <w:p w14:paraId="547F4988" w14:textId="1F981DE2" w:rsidR="00085D89" w:rsidRPr="005C29F8" w:rsidRDefault="00085D89" w:rsidP="004369B2">
            <w:pPr>
              <w:jc w:val="center"/>
              <w:rPr>
                <w:b/>
                <w:color w:val="000000" w:themeColor="text1"/>
              </w:rPr>
            </w:pPr>
            <w:r w:rsidRPr="005C29F8">
              <w:rPr>
                <w:b/>
                <w:color w:val="000000" w:themeColor="text1"/>
              </w:rPr>
              <w:t>2019</w:t>
            </w:r>
          </w:p>
        </w:tc>
      </w:tr>
      <w:tr w:rsidR="00085D89" w:rsidRPr="005C29F8" w14:paraId="6D8B6989" w14:textId="1E4F2292" w:rsidTr="0033429D">
        <w:tc>
          <w:tcPr>
            <w:tcW w:w="600" w:type="pct"/>
            <w:shd w:val="clear" w:color="auto" w:fill="auto"/>
            <w:vAlign w:val="center"/>
          </w:tcPr>
          <w:p w14:paraId="1B70FAC0" w14:textId="0849CE9C" w:rsidR="00085D89" w:rsidRPr="005C29F8" w:rsidRDefault="00085D89" w:rsidP="00EC2237">
            <w:pPr>
              <w:spacing w:before="0" w:after="0"/>
              <w:jc w:val="center"/>
              <w:rPr>
                <w:rFonts w:cs="Arial"/>
                <w:color w:val="000000" w:themeColor="text1"/>
                <w:szCs w:val="16"/>
              </w:rPr>
            </w:pPr>
            <w:r w:rsidRPr="005C29F8">
              <w:rPr>
                <w:rFonts w:cs="Arial"/>
                <w:color w:val="000000" w:themeColor="text1"/>
                <w:szCs w:val="16"/>
              </w:rPr>
              <w:t>Reading</w:t>
            </w:r>
          </w:p>
        </w:tc>
        <w:tc>
          <w:tcPr>
            <w:tcW w:w="482" w:type="pct"/>
            <w:shd w:val="clear" w:color="auto" w:fill="auto"/>
            <w:vAlign w:val="center"/>
          </w:tcPr>
          <w:p w14:paraId="6221F405" w14:textId="189877A2" w:rsidR="00085D89" w:rsidRPr="005C29F8" w:rsidRDefault="00085D89" w:rsidP="00EC2237">
            <w:pPr>
              <w:spacing w:before="0" w:after="0"/>
              <w:jc w:val="center"/>
              <w:rPr>
                <w:rFonts w:cs="Arial"/>
                <w:color w:val="000000" w:themeColor="text1"/>
                <w:szCs w:val="16"/>
              </w:rPr>
            </w:pPr>
            <w:r w:rsidRPr="005C29F8">
              <w:rPr>
                <w:rFonts w:cs="Arial"/>
                <w:color w:val="000000" w:themeColor="text1"/>
                <w:szCs w:val="16"/>
              </w:rPr>
              <w:t>A &gt;=</w:t>
            </w:r>
          </w:p>
        </w:tc>
        <w:tc>
          <w:tcPr>
            <w:tcW w:w="1627" w:type="pct"/>
            <w:shd w:val="clear" w:color="auto" w:fill="auto"/>
            <w:vAlign w:val="center"/>
          </w:tcPr>
          <w:p w14:paraId="6D2C8AC8" w14:textId="4765670E" w:rsidR="00085D89" w:rsidRPr="005C29F8" w:rsidDel="00DB0A73" w:rsidRDefault="00085D89" w:rsidP="00A018D4">
            <w:pPr>
              <w:jc w:val="center"/>
              <w:rPr>
                <w:rFonts w:cs="Arial"/>
                <w:color w:val="000000" w:themeColor="text1"/>
                <w:szCs w:val="16"/>
              </w:rPr>
            </w:pPr>
            <w:r w:rsidRPr="005C29F8">
              <w:rPr>
                <w:rFonts w:cs="Arial"/>
                <w:color w:val="000000" w:themeColor="text1"/>
                <w:szCs w:val="16"/>
              </w:rPr>
              <w:t>Overall</w:t>
            </w:r>
          </w:p>
        </w:tc>
        <w:tc>
          <w:tcPr>
            <w:tcW w:w="2291" w:type="pct"/>
            <w:shd w:val="clear" w:color="auto" w:fill="auto"/>
            <w:vAlign w:val="center"/>
          </w:tcPr>
          <w:p w14:paraId="1794FDC8" w14:textId="2C32479D" w:rsidR="00085D89" w:rsidRPr="005C29F8" w:rsidRDefault="00085D89" w:rsidP="00A018D4">
            <w:pPr>
              <w:jc w:val="center"/>
              <w:rPr>
                <w:rFonts w:cs="Arial"/>
                <w:color w:val="000000" w:themeColor="text1"/>
                <w:szCs w:val="16"/>
              </w:rPr>
            </w:pPr>
            <w:r w:rsidRPr="005C29F8">
              <w:rPr>
                <w:rFonts w:cs="Arial"/>
                <w:color w:val="000000" w:themeColor="text1"/>
                <w:szCs w:val="16"/>
              </w:rPr>
              <w:t>99.00%</w:t>
            </w:r>
          </w:p>
        </w:tc>
      </w:tr>
      <w:tr w:rsidR="00085D89" w:rsidRPr="005C29F8" w14:paraId="734BCCC4" w14:textId="29C6C74E" w:rsidTr="0033429D">
        <w:tc>
          <w:tcPr>
            <w:tcW w:w="600" w:type="pct"/>
            <w:shd w:val="clear" w:color="auto" w:fill="auto"/>
            <w:vAlign w:val="center"/>
          </w:tcPr>
          <w:p w14:paraId="20286AC8" w14:textId="018C9C4D" w:rsidR="00085D89" w:rsidRPr="005C29F8" w:rsidRDefault="00085D89" w:rsidP="00EC2237">
            <w:pPr>
              <w:spacing w:before="0" w:after="0"/>
              <w:jc w:val="center"/>
              <w:rPr>
                <w:rFonts w:cs="Arial"/>
                <w:color w:val="000000" w:themeColor="text1"/>
                <w:szCs w:val="16"/>
              </w:rPr>
            </w:pPr>
            <w:r w:rsidRPr="005C29F8">
              <w:rPr>
                <w:rFonts w:cs="Arial"/>
                <w:color w:val="000000" w:themeColor="text1"/>
                <w:szCs w:val="16"/>
              </w:rPr>
              <w:t>Math</w:t>
            </w:r>
          </w:p>
        </w:tc>
        <w:tc>
          <w:tcPr>
            <w:tcW w:w="482" w:type="pct"/>
            <w:shd w:val="clear" w:color="auto" w:fill="auto"/>
            <w:vAlign w:val="center"/>
          </w:tcPr>
          <w:p w14:paraId="185C8DA8" w14:textId="6254892D" w:rsidR="00085D89" w:rsidRPr="005C29F8" w:rsidRDefault="00085D89" w:rsidP="00EC2237">
            <w:pPr>
              <w:spacing w:before="0" w:after="0"/>
              <w:jc w:val="center"/>
              <w:rPr>
                <w:rFonts w:cs="Arial"/>
                <w:color w:val="000000" w:themeColor="text1"/>
                <w:szCs w:val="16"/>
              </w:rPr>
            </w:pPr>
            <w:r w:rsidRPr="005C29F8">
              <w:rPr>
                <w:rFonts w:cs="Arial"/>
                <w:color w:val="000000" w:themeColor="text1"/>
                <w:szCs w:val="16"/>
              </w:rPr>
              <w:t>A &gt;=</w:t>
            </w:r>
          </w:p>
        </w:tc>
        <w:tc>
          <w:tcPr>
            <w:tcW w:w="1627" w:type="pct"/>
            <w:shd w:val="clear" w:color="auto" w:fill="auto"/>
            <w:vAlign w:val="center"/>
          </w:tcPr>
          <w:p w14:paraId="16FD84A2" w14:textId="58C7118E" w:rsidR="00085D89" w:rsidRPr="005C29F8" w:rsidDel="00DB0A73" w:rsidRDefault="00085D89" w:rsidP="00A018D4">
            <w:pPr>
              <w:jc w:val="center"/>
              <w:rPr>
                <w:rFonts w:cs="Arial"/>
                <w:color w:val="000000" w:themeColor="text1"/>
                <w:szCs w:val="16"/>
              </w:rPr>
            </w:pPr>
            <w:r w:rsidRPr="005C29F8">
              <w:rPr>
                <w:rFonts w:cs="Arial"/>
                <w:color w:val="000000" w:themeColor="text1"/>
                <w:szCs w:val="16"/>
              </w:rPr>
              <w:t>Overall</w:t>
            </w:r>
          </w:p>
        </w:tc>
        <w:tc>
          <w:tcPr>
            <w:tcW w:w="2291" w:type="pct"/>
            <w:shd w:val="clear" w:color="auto" w:fill="auto"/>
            <w:vAlign w:val="center"/>
          </w:tcPr>
          <w:p w14:paraId="0005999A" w14:textId="601F796F" w:rsidR="00085D89" w:rsidRPr="005C29F8" w:rsidRDefault="00085D89" w:rsidP="00A018D4">
            <w:pPr>
              <w:jc w:val="center"/>
              <w:rPr>
                <w:rFonts w:cs="Arial"/>
                <w:color w:val="000000" w:themeColor="text1"/>
                <w:szCs w:val="16"/>
              </w:rPr>
            </w:pPr>
            <w:r w:rsidRPr="005C29F8">
              <w:rPr>
                <w:rFonts w:cs="Arial"/>
                <w:color w:val="000000" w:themeColor="text1"/>
                <w:szCs w:val="16"/>
              </w:rPr>
              <w:t>99.00%</w:t>
            </w:r>
          </w:p>
        </w:tc>
      </w:tr>
    </w:tbl>
    <w:p w14:paraId="102C9294" w14:textId="426FC0A1" w:rsidR="002D145D" w:rsidRDefault="002D145D" w:rsidP="004369B2">
      <w:pPr>
        <w:rPr>
          <w:b/>
          <w:color w:val="000000" w:themeColor="text1"/>
        </w:rPr>
      </w:pPr>
      <w:r w:rsidRPr="005C29F8">
        <w:rPr>
          <w:b/>
          <w:color w:val="000000" w:themeColor="text1"/>
        </w:rPr>
        <w:t xml:space="preserve">Targets: Description of Stakeholder Input </w:t>
      </w:r>
    </w:p>
    <w:p w14:paraId="18FFE566" w14:textId="1BC11D3C" w:rsidR="002D145D" w:rsidRDefault="002B7490" w:rsidP="002D145D">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t>
      </w:r>
      <w:r w:rsidRPr="005C29F8">
        <w:rPr>
          <w:rFonts w:cs="Arial"/>
          <w:color w:val="000000" w:themeColor="text1"/>
          <w:szCs w:val="16"/>
        </w:rPr>
        <w:lastRenderedPageBreak/>
        <w:t>workgroup, and a secondary transition stakeholder group. MA DESE also consults with educators, parents, advocates, and others on an ad hoc basis to inform policy and practice. Stakeholder engagement is an essential component of MA DESE’s special education agenda.</w:t>
      </w:r>
    </w:p>
    <w:p w14:paraId="2C104549" w14:textId="03A0AB0D" w:rsidR="002D145D" w:rsidRPr="005C29F8" w:rsidRDefault="002B7490" w:rsidP="002D145D">
      <w:pPr>
        <w:rPr>
          <w:rFonts w:cs="Arial"/>
          <w:color w:val="000000" w:themeColor="text1"/>
          <w:szCs w:val="16"/>
        </w:rPr>
      </w:pPr>
      <w:r w:rsidRPr="005C29F8">
        <w:rPr>
          <w:rFonts w:cs="Arial"/>
          <w:color w:val="000000" w:themeColor="text1"/>
          <w:szCs w:val="16"/>
        </w:rPr>
        <w:t xml:space="preserve">MA DESE, in consultation with the Special Education Advisory Panel, previously set Indicator 3 targets through FFY 2019. In setting these targets the Panel reviewed statewide longitudinal data, improvement activities, and State policies, including the ESEA waiver granted by the U.S. Department of Education. The Panel recommended Indicator 3 targets based on the ESEA waiver, and supported setting ambitious targets for Indicator 3, as this reflects the State’s commitment that all students, regardless of disability, participate in the State’s assessment system. Thus the Panel set Targets at 99.00% participation for both the math and reading assessments. </w:t>
      </w:r>
      <w:r w:rsidRPr="005C29F8">
        <w:rPr>
          <w:rFonts w:cs="Arial"/>
          <w:color w:val="000000" w:themeColor="text1"/>
          <w:szCs w:val="16"/>
        </w:rPr>
        <w:br/>
        <w:t xml:space="preserve"> </w:t>
      </w:r>
      <w:r w:rsidRPr="005C29F8">
        <w:rPr>
          <w:rFonts w:cs="Arial"/>
          <w:color w:val="000000" w:themeColor="text1"/>
          <w:szCs w:val="16"/>
        </w:rPr>
        <w:br/>
        <w:t>At its January 2021 meeting, the Advisory Panel reviewed the previously established targets and endorsed maintaining the same target of 99.00% participation for reading and math assessments through FFY 2020.</w:t>
      </w:r>
    </w:p>
    <w:p w14:paraId="2446B7C2" w14:textId="77777777" w:rsidR="00F20369" w:rsidRPr="005C29F8" w:rsidRDefault="00F20369" w:rsidP="004369B2">
      <w:pPr>
        <w:rPr>
          <w:color w:val="000000" w:themeColor="text1"/>
        </w:rPr>
      </w:pPr>
      <w:bookmarkStart w:id="13" w:name="_Toc392159273"/>
    </w:p>
    <w:p w14:paraId="2F64E7B3" w14:textId="729C4F93" w:rsidR="00344AE0" w:rsidRPr="005C29F8" w:rsidRDefault="00344AE0">
      <w:pPr>
        <w:rPr>
          <w:b/>
          <w:color w:val="000000" w:themeColor="text1"/>
        </w:rPr>
      </w:pPr>
      <w:r w:rsidRPr="005C29F8">
        <w:rPr>
          <w:b/>
          <w:color w:val="000000" w:themeColor="text1"/>
        </w:rPr>
        <w:t>FFY 2019 Data Disaggregation from EDFacts</w:t>
      </w:r>
    </w:p>
    <w:p w14:paraId="5162684D" w14:textId="425FEE31" w:rsidR="009D0D68" w:rsidRPr="005C29F8" w:rsidRDefault="009D0D68">
      <w:pPr>
        <w:rPr>
          <w:rFonts w:cs="Arial"/>
          <w:b/>
          <w:color w:val="000000" w:themeColor="text1"/>
          <w:szCs w:val="16"/>
        </w:rPr>
      </w:pPr>
      <w:r w:rsidRPr="005C29F8">
        <w:rPr>
          <w:rFonts w:cs="Arial"/>
          <w:b/>
          <w:color w:val="000000" w:themeColor="text1"/>
          <w:szCs w:val="16"/>
        </w:rPr>
        <w:t>Include the disaggregated data in your final SPP/APR. (yes/no)</w:t>
      </w:r>
    </w:p>
    <w:p w14:paraId="49857F61" w14:textId="58F0D37C" w:rsidR="009D0D68" w:rsidRPr="005C29F8" w:rsidRDefault="009D0D68" w:rsidP="004369B2">
      <w:pPr>
        <w:rPr>
          <w:color w:val="000000" w:themeColor="text1"/>
        </w:rPr>
      </w:pPr>
      <w:r w:rsidRPr="005C29F8">
        <w:rPr>
          <w:rFonts w:cs="Arial"/>
          <w:color w:val="000000" w:themeColor="text1"/>
          <w:szCs w:val="16"/>
        </w:rPr>
        <w:t>YES</w:t>
      </w:r>
    </w:p>
    <w:p w14:paraId="6BDCF123" w14:textId="77777777" w:rsidR="00C01339" w:rsidRPr="005C29F8" w:rsidRDefault="00344AE0" w:rsidP="00552927">
      <w:pPr>
        <w:rPr>
          <w:rFonts w:cs="Arial"/>
          <w:b/>
          <w:color w:val="000000" w:themeColor="text1"/>
          <w:szCs w:val="16"/>
        </w:rPr>
      </w:pPr>
      <w:r w:rsidRPr="005C29F8">
        <w:rPr>
          <w:rFonts w:cs="Arial"/>
          <w:b/>
          <w:color w:val="000000" w:themeColor="text1"/>
          <w:szCs w:val="16"/>
        </w:rPr>
        <w:t xml:space="preserve">Data Source:  </w:t>
      </w:r>
    </w:p>
    <w:p w14:paraId="5EBDA348" w14:textId="41B0F325" w:rsidR="00C470E8" w:rsidRPr="005C29F8" w:rsidRDefault="002B7490" w:rsidP="00552927">
      <w:pPr>
        <w:rPr>
          <w:rFonts w:cs="Arial"/>
          <w:color w:val="000000" w:themeColor="text1"/>
          <w:szCs w:val="16"/>
        </w:rPr>
      </w:pPr>
      <w:r w:rsidRPr="005C29F8">
        <w:rPr>
          <w:rFonts w:cs="Arial"/>
          <w:color w:val="000000" w:themeColor="text1"/>
          <w:szCs w:val="16"/>
        </w:rPr>
        <w:t>SY 2019-20 Assessment Data Groups - Reading  (EDFacts file spec FS188; Data Group: 589)</w:t>
      </w:r>
    </w:p>
    <w:p w14:paraId="435988E5" w14:textId="77777777" w:rsidR="00C01339" w:rsidRPr="005C29F8" w:rsidRDefault="00344AE0" w:rsidP="00552927">
      <w:pPr>
        <w:rPr>
          <w:rFonts w:cs="Arial"/>
          <w:b/>
          <w:color w:val="000000" w:themeColor="text1"/>
          <w:szCs w:val="16"/>
        </w:rPr>
      </w:pPr>
      <w:r w:rsidRPr="005C29F8">
        <w:rPr>
          <w:rFonts w:cs="Arial"/>
          <w:b/>
          <w:color w:val="000000" w:themeColor="text1"/>
          <w:szCs w:val="16"/>
        </w:rPr>
        <w:t xml:space="preserve">Date: </w:t>
      </w:r>
    </w:p>
    <w:p w14:paraId="1E2D8106" w14:textId="3C6CAF94" w:rsidR="00344AE0" w:rsidRPr="005C29F8" w:rsidRDefault="00344AE0" w:rsidP="00552927">
      <w:pPr>
        <w:rPr>
          <w:rFonts w:cs="Arial"/>
          <w:color w:val="000000" w:themeColor="text1"/>
          <w:szCs w:val="16"/>
        </w:rPr>
      </w:pPr>
    </w:p>
    <w:p w14:paraId="59BC6B2E" w14:textId="5D329230" w:rsidR="009D0D68" w:rsidRPr="005C29F8" w:rsidRDefault="00FE2056">
      <w:pPr>
        <w:rPr>
          <w:b/>
          <w:color w:val="000000" w:themeColor="text1"/>
        </w:rPr>
      </w:pPr>
      <w:r w:rsidRPr="005C29F8">
        <w:rPr>
          <w:b/>
          <w:color w:val="000000" w:themeColor="text1"/>
        </w:rPr>
        <w:t>Reading Assessment Participation Data by Grade</w:t>
      </w:r>
    </w:p>
    <w:tbl>
      <w:tblPr>
        <w:tblStyle w:val="TableGrid"/>
        <w:tblW w:w="5002" w:type="pct"/>
        <w:tblLayout w:type="fixed"/>
        <w:tblLook w:val="04A0" w:firstRow="1" w:lastRow="0" w:firstColumn="1" w:lastColumn="0" w:noHBand="0" w:noVBand="1"/>
        <w:tblCaption w:val="B03BASSPARTDATABYGRDRLA"/>
      </w:tblPr>
      <w:tblGrid>
        <w:gridCol w:w="1618"/>
        <w:gridCol w:w="834"/>
        <w:gridCol w:w="834"/>
        <w:gridCol w:w="836"/>
        <w:gridCol w:w="833"/>
        <w:gridCol w:w="835"/>
        <w:gridCol w:w="833"/>
        <w:gridCol w:w="835"/>
        <w:gridCol w:w="833"/>
        <w:gridCol w:w="835"/>
        <w:gridCol w:w="833"/>
        <w:gridCol w:w="835"/>
      </w:tblGrid>
      <w:tr w:rsidR="005C29F8" w:rsidRPr="005C29F8" w14:paraId="35CB1461" w14:textId="77777777" w:rsidTr="00044B5C">
        <w:trPr>
          <w:tblHeader/>
        </w:trPr>
        <w:tc>
          <w:tcPr>
            <w:tcW w:w="749" w:type="pct"/>
            <w:shd w:val="clear" w:color="auto" w:fill="auto"/>
          </w:tcPr>
          <w:p w14:paraId="39D40F16"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Grade</w:t>
            </w:r>
          </w:p>
        </w:tc>
        <w:tc>
          <w:tcPr>
            <w:tcW w:w="386" w:type="pct"/>
            <w:shd w:val="clear" w:color="auto" w:fill="auto"/>
          </w:tcPr>
          <w:p w14:paraId="17538CC6"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3</w:t>
            </w:r>
          </w:p>
        </w:tc>
        <w:tc>
          <w:tcPr>
            <w:tcW w:w="386" w:type="pct"/>
            <w:shd w:val="clear" w:color="auto" w:fill="auto"/>
          </w:tcPr>
          <w:p w14:paraId="7B4C40DF"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4</w:t>
            </w:r>
          </w:p>
        </w:tc>
        <w:tc>
          <w:tcPr>
            <w:tcW w:w="387" w:type="pct"/>
            <w:shd w:val="clear" w:color="auto" w:fill="auto"/>
          </w:tcPr>
          <w:p w14:paraId="3761AD03"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5</w:t>
            </w:r>
          </w:p>
        </w:tc>
        <w:tc>
          <w:tcPr>
            <w:tcW w:w="386" w:type="pct"/>
            <w:shd w:val="clear" w:color="auto" w:fill="auto"/>
          </w:tcPr>
          <w:p w14:paraId="39372BA0"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6</w:t>
            </w:r>
          </w:p>
        </w:tc>
        <w:tc>
          <w:tcPr>
            <w:tcW w:w="387" w:type="pct"/>
            <w:shd w:val="clear" w:color="auto" w:fill="auto"/>
          </w:tcPr>
          <w:p w14:paraId="1491634F"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7</w:t>
            </w:r>
          </w:p>
        </w:tc>
        <w:tc>
          <w:tcPr>
            <w:tcW w:w="386" w:type="pct"/>
            <w:shd w:val="clear" w:color="auto" w:fill="auto"/>
          </w:tcPr>
          <w:p w14:paraId="289B7A6F"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8</w:t>
            </w:r>
          </w:p>
        </w:tc>
        <w:tc>
          <w:tcPr>
            <w:tcW w:w="387" w:type="pct"/>
            <w:shd w:val="clear" w:color="auto" w:fill="auto"/>
          </w:tcPr>
          <w:p w14:paraId="6FB4B8A8"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9</w:t>
            </w:r>
          </w:p>
        </w:tc>
        <w:tc>
          <w:tcPr>
            <w:tcW w:w="386" w:type="pct"/>
            <w:shd w:val="clear" w:color="auto" w:fill="auto"/>
          </w:tcPr>
          <w:p w14:paraId="031CF80D"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10</w:t>
            </w:r>
          </w:p>
        </w:tc>
        <w:tc>
          <w:tcPr>
            <w:tcW w:w="387" w:type="pct"/>
            <w:shd w:val="clear" w:color="auto" w:fill="auto"/>
          </w:tcPr>
          <w:p w14:paraId="0964B74F"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11</w:t>
            </w:r>
          </w:p>
        </w:tc>
        <w:tc>
          <w:tcPr>
            <w:tcW w:w="386" w:type="pct"/>
            <w:shd w:val="clear" w:color="auto" w:fill="auto"/>
          </w:tcPr>
          <w:p w14:paraId="77D90819"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12</w:t>
            </w:r>
          </w:p>
        </w:tc>
        <w:tc>
          <w:tcPr>
            <w:tcW w:w="388" w:type="pct"/>
            <w:shd w:val="clear" w:color="auto" w:fill="auto"/>
          </w:tcPr>
          <w:p w14:paraId="5C1892F8"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HS</w:t>
            </w:r>
          </w:p>
        </w:tc>
      </w:tr>
      <w:tr w:rsidR="005C29F8" w:rsidRPr="005C29F8" w14:paraId="568B2C00" w14:textId="77777777" w:rsidTr="00044B5C">
        <w:tc>
          <w:tcPr>
            <w:tcW w:w="749" w:type="pct"/>
            <w:shd w:val="clear" w:color="auto" w:fill="auto"/>
          </w:tcPr>
          <w:p w14:paraId="4AD99060" w14:textId="77777777" w:rsidR="00346807" w:rsidRPr="005C29F8" w:rsidRDefault="00346807" w:rsidP="00F0577A">
            <w:pPr>
              <w:rPr>
                <w:rFonts w:cs="Arial"/>
                <w:color w:val="000000" w:themeColor="text1"/>
                <w:szCs w:val="16"/>
              </w:rPr>
            </w:pPr>
            <w:r w:rsidRPr="005C29F8">
              <w:rPr>
                <w:rFonts w:cs="Arial"/>
                <w:color w:val="000000" w:themeColor="text1"/>
                <w:szCs w:val="16"/>
              </w:rPr>
              <w:t>a. Children with IEPs</w:t>
            </w:r>
          </w:p>
        </w:tc>
        <w:tc>
          <w:tcPr>
            <w:tcW w:w="386" w:type="pct"/>
            <w:shd w:val="clear" w:color="auto" w:fill="auto"/>
          </w:tcPr>
          <w:p w14:paraId="17848320" w14:textId="77777777" w:rsidR="00346807" w:rsidRPr="005C29F8" w:rsidRDefault="00346807" w:rsidP="00F0577A">
            <w:pPr>
              <w:rPr>
                <w:rFonts w:cs="Arial"/>
                <w:color w:val="000000" w:themeColor="text1"/>
                <w:szCs w:val="16"/>
              </w:rPr>
            </w:pPr>
          </w:p>
        </w:tc>
        <w:tc>
          <w:tcPr>
            <w:tcW w:w="386" w:type="pct"/>
            <w:shd w:val="clear" w:color="auto" w:fill="auto"/>
          </w:tcPr>
          <w:p w14:paraId="51A72AB5" w14:textId="77777777" w:rsidR="00346807" w:rsidRPr="005C29F8" w:rsidRDefault="00346807" w:rsidP="00F0577A">
            <w:pPr>
              <w:rPr>
                <w:rFonts w:cs="Arial"/>
                <w:color w:val="000000" w:themeColor="text1"/>
                <w:szCs w:val="16"/>
              </w:rPr>
            </w:pPr>
          </w:p>
        </w:tc>
        <w:tc>
          <w:tcPr>
            <w:tcW w:w="387" w:type="pct"/>
            <w:shd w:val="clear" w:color="auto" w:fill="auto"/>
          </w:tcPr>
          <w:p w14:paraId="151E318E" w14:textId="77777777" w:rsidR="00346807" w:rsidRPr="005C29F8" w:rsidRDefault="00346807" w:rsidP="00F0577A">
            <w:pPr>
              <w:rPr>
                <w:rFonts w:cs="Arial"/>
                <w:color w:val="000000" w:themeColor="text1"/>
                <w:szCs w:val="16"/>
              </w:rPr>
            </w:pPr>
          </w:p>
        </w:tc>
        <w:tc>
          <w:tcPr>
            <w:tcW w:w="386" w:type="pct"/>
            <w:shd w:val="clear" w:color="auto" w:fill="auto"/>
          </w:tcPr>
          <w:p w14:paraId="425FD938" w14:textId="77777777" w:rsidR="00346807" w:rsidRPr="005C29F8" w:rsidRDefault="00346807" w:rsidP="00F0577A">
            <w:pPr>
              <w:rPr>
                <w:rFonts w:cs="Arial"/>
                <w:color w:val="000000" w:themeColor="text1"/>
                <w:szCs w:val="16"/>
              </w:rPr>
            </w:pPr>
          </w:p>
        </w:tc>
        <w:tc>
          <w:tcPr>
            <w:tcW w:w="387" w:type="pct"/>
            <w:shd w:val="clear" w:color="auto" w:fill="auto"/>
          </w:tcPr>
          <w:p w14:paraId="721D21DE" w14:textId="77777777" w:rsidR="00346807" w:rsidRPr="005C29F8" w:rsidRDefault="00346807" w:rsidP="00F0577A">
            <w:pPr>
              <w:rPr>
                <w:rFonts w:cs="Arial"/>
                <w:color w:val="000000" w:themeColor="text1"/>
                <w:szCs w:val="16"/>
              </w:rPr>
            </w:pPr>
          </w:p>
        </w:tc>
        <w:tc>
          <w:tcPr>
            <w:tcW w:w="386" w:type="pct"/>
            <w:shd w:val="clear" w:color="auto" w:fill="auto"/>
          </w:tcPr>
          <w:p w14:paraId="62A92A65" w14:textId="77777777" w:rsidR="00346807" w:rsidRPr="005C29F8" w:rsidRDefault="00346807" w:rsidP="00F0577A">
            <w:pPr>
              <w:rPr>
                <w:rFonts w:cs="Arial"/>
                <w:color w:val="000000" w:themeColor="text1"/>
                <w:szCs w:val="16"/>
              </w:rPr>
            </w:pPr>
          </w:p>
        </w:tc>
        <w:tc>
          <w:tcPr>
            <w:tcW w:w="387" w:type="pct"/>
            <w:shd w:val="clear" w:color="auto" w:fill="auto"/>
          </w:tcPr>
          <w:p w14:paraId="0ECC6280" w14:textId="77777777" w:rsidR="00346807" w:rsidRPr="005C29F8" w:rsidRDefault="00346807" w:rsidP="00F0577A">
            <w:pPr>
              <w:rPr>
                <w:rFonts w:cs="Arial"/>
                <w:color w:val="000000" w:themeColor="text1"/>
                <w:szCs w:val="16"/>
              </w:rPr>
            </w:pPr>
          </w:p>
        </w:tc>
        <w:tc>
          <w:tcPr>
            <w:tcW w:w="386" w:type="pct"/>
            <w:shd w:val="clear" w:color="auto" w:fill="auto"/>
          </w:tcPr>
          <w:p w14:paraId="51EB7B00" w14:textId="77777777" w:rsidR="00346807" w:rsidRPr="005C29F8" w:rsidRDefault="00346807" w:rsidP="00F0577A">
            <w:pPr>
              <w:rPr>
                <w:rFonts w:cs="Arial"/>
                <w:color w:val="000000" w:themeColor="text1"/>
                <w:szCs w:val="16"/>
              </w:rPr>
            </w:pPr>
          </w:p>
        </w:tc>
        <w:tc>
          <w:tcPr>
            <w:tcW w:w="387" w:type="pct"/>
            <w:shd w:val="clear" w:color="auto" w:fill="auto"/>
          </w:tcPr>
          <w:p w14:paraId="51DA992C" w14:textId="77777777" w:rsidR="00346807" w:rsidRPr="005C29F8" w:rsidRDefault="00346807" w:rsidP="00F0577A">
            <w:pPr>
              <w:rPr>
                <w:rFonts w:cs="Arial"/>
                <w:color w:val="000000" w:themeColor="text1"/>
                <w:szCs w:val="16"/>
              </w:rPr>
            </w:pPr>
          </w:p>
        </w:tc>
        <w:tc>
          <w:tcPr>
            <w:tcW w:w="386" w:type="pct"/>
            <w:shd w:val="clear" w:color="auto" w:fill="auto"/>
          </w:tcPr>
          <w:p w14:paraId="4A331595" w14:textId="77777777" w:rsidR="00346807" w:rsidRPr="005C29F8" w:rsidRDefault="00346807" w:rsidP="00F0577A">
            <w:pPr>
              <w:rPr>
                <w:rFonts w:cs="Arial"/>
                <w:color w:val="000000" w:themeColor="text1"/>
                <w:szCs w:val="16"/>
              </w:rPr>
            </w:pPr>
          </w:p>
        </w:tc>
        <w:tc>
          <w:tcPr>
            <w:tcW w:w="388" w:type="pct"/>
            <w:shd w:val="clear" w:color="auto" w:fill="auto"/>
          </w:tcPr>
          <w:p w14:paraId="24CFE4D9" w14:textId="77777777" w:rsidR="00346807" w:rsidRPr="005C29F8" w:rsidRDefault="00346807" w:rsidP="00F0577A">
            <w:pPr>
              <w:rPr>
                <w:rFonts w:cs="Arial"/>
                <w:color w:val="000000" w:themeColor="text1"/>
                <w:szCs w:val="16"/>
              </w:rPr>
            </w:pPr>
          </w:p>
        </w:tc>
      </w:tr>
      <w:tr w:rsidR="005C29F8" w:rsidRPr="005C29F8" w14:paraId="4F287E15" w14:textId="77777777" w:rsidTr="00044B5C">
        <w:tc>
          <w:tcPr>
            <w:tcW w:w="749" w:type="pct"/>
            <w:shd w:val="clear" w:color="auto" w:fill="auto"/>
          </w:tcPr>
          <w:p w14:paraId="3423EDAB" w14:textId="77777777" w:rsidR="00346807" w:rsidRPr="005C29F8" w:rsidRDefault="00346807" w:rsidP="00F0577A">
            <w:pPr>
              <w:rPr>
                <w:rFonts w:cs="Arial"/>
                <w:color w:val="000000" w:themeColor="text1"/>
                <w:szCs w:val="16"/>
              </w:rPr>
            </w:pPr>
            <w:r w:rsidRPr="005C29F8">
              <w:rPr>
                <w:rFonts w:cs="Arial"/>
                <w:color w:val="000000" w:themeColor="text1"/>
                <w:szCs w:val="16"/>
              </w:rPr>
              <w:t>b. IEPs in regular assessment with no accommodations</w:t>
            </w:r>
          </w:p>
        </w:tc>
        <w:tc>
          <w:tcPr>
            <w:tcW w:w="386" w:type="pct"/>
            <w:shd w:val="clear" w:color="auto" w:fill="auto"/>
          </w:tcPr>
          <w:p w14:paraId="616181A6" w14:textId="77777777" w:rsidR="00346807" w:rsidRPr="005C29F8" w:rsidRDefault="00346807" w:rsidP="00F0577A">
            <w:pPr>
              <w:rPr>
                <w:rFonts w:cs="Arial"/>
                <w:color w:val="000000" w:themeColor="text1"/>
                <w:szCs w:val="16"/>
              </w:rPr>
            </w:pPr>
          </w:p>
        </w:tc>
        <w:tc>
          <w:tcPr>
            <w:tcW w:w="386" w:type="pct"/>
            <w:shd w:val="clear" w:color="auto" w:fill="auto"/>
          </w:tcPr>
          <w:p w14:paraId="74B7B6E9" w14:textId="77777777" w:rsidR="00346807" w:rsidRPr="005C29F8" w:rsidRDefault="00346807" w:rsidP="00F0577A">
            <w:pPr>
              <w:rPr>
                <w:rFonts w:cs="Arial"/>
                <w:color w:val="000000" w:themeColor="text1"/>
                <w:szCs w:val="16"/>
              </w:rPr>
            </w:pPr>
          </w:p>
        </w:tc>
        <w:tc>
          <w:tcPr>
            <w:tcW w:w="387" w:type="pct"/>
            <w:shd w:val="clear" w:color="auto" w:fill="auto"/>
          </w:tcPr>
          <w:p w14:paraId="46F10147" w14:textId="77777777" w:rsidR="00346807" w:rsidRPr="005C29F8" w:rsidRDefault="00346807" w:rsidP="00F0577A">
            <w:pPr>
              <w:rPr>
                <w:rFonts w:cs="Arial"/>
                <w:color w:val="000000" w:themeColor="text1"/>
                <w:szCs w:val="16"/>
              </w:rPr>
            </w:pPr>
          </w:p>
        </w:tc>
        <w:tc>
          <w:tcPr>
            <w:tcW w:w="386" w:type="pct"/>
            <w:shd w:val="clear" w:color="auto" w:fill="auto"/>
          </w:tcPr>
          <w:p w14:paraId="26CAEBB8" w14:textId="77777777" w:rsidR="00346807" w:rsidRPr="005C29F8" w:rsidRDefault="00346807" w:rsidP="00F0577A">
            <w:pPr>
              <w:rPr>
                <w:rFonts w:cs="Arial"/>
                <w:color w:val="000000" w:themeColor="text1"/>
                <w:szCs w:val="16"/>
              </w:rPr>
            </w:pPr>
          </w:p>
        </w:tc>
        <w:tc>
          <w:tcPr>
            <w:tcW w:w="387" w:type="pct"/>
            <w:shd w:val="clear" w:color="auto" w:fill="auto"/>
          </w:tcPr>
          <w:p w14:paraId="51C1AD09" w14:textId="77777777" w:rsidR="00346807" w:rsidRPr="005C29F8" w:rsidRDefault="00346807" w:rsidP="00F0577A">
            <w:pPr>
              <w:rPr>
                <w:rFonts w:cs="Arial"/>
                <w:color w:val="000000" w:themeColor="text1"/>
                <w:szCs w:val="16"/>
              </w:rPr>
            </w:pPr>
          </w:p>
        </w:tc>
        <w:tc>
          <w:tcPr>
            <w:tcW w:w="386" w:type="pct"/>
            <w:shd w:val="clear" w:color="auto" w:fill="auto"/>
          </w:tcPr>
          <w:p w14:paraId="0E181F25" w14:textId="77777777" w:rsidR="00346807" w:rsidRPr="005C29F8" w:rsidRDefault="00346807" w:rsidP="00F0577A">
            <w:pPr>
              <w:rPr>
                <w:rFonts w:cs="Arial"/>
                <w:color w:val="000000" w:themeColor="text1"/>
                <w:szCs w:val="16"/>
              </w:rPr>
            </w:pPr>
          </w:p>
        </w:tc>
        <w:tc>
          <w:tcPr>
            <w:tcW w:w="387" w:type="pct"/>
            <w:shd w:val="clear" w:color="auto" w:fill="auto"/>
          </w:tcPr>
          <w:p w14:paraId="4E6F7EFF" w14:textId="77777777" w:rsidR="00346807" w:rsidRPr="005C29F8" w:rsidRDefault="00346807" w:rsidP="00F0577A">
            <w:pPr>
              <w:rPr>
                <w:rFonts w:cs="Arial"/>
                <w:color w:val="000000" w:themeColor="text1"/>
                <w:szCs w:val="16"/>
              </w:rPr>
            </w:pPr>
          </w:p>
        </w:tc>
        <w:tc>
          <w:tcPr>
            <w:tcW w:w="386" w:type="pct"/>
            <w:shd w:val="clear" w:color="auto" w:fill="auto"/>
          </w:tcPr>
          <w:p w14:paraId="2667CB17" w14:textId="77777777" w:rsidR="00346807" w:rsidRPr="005C29F8" w:rsidRDefault="00346807" w:rsidP="00F0577A">
            <w:pPr>
              <w:rPr>
                <w:rFonts w:cs="Arial"/>
                <w:color w:val="000000" w:themeColor="text1"/>
                <w:szCs w:val="16"/>
              </w:rPr>
            </w:pPr>
          </w:p>
        </w:tc>
        <w:tc>
          <w:tcPr>
            <w:tcW w:w="387" w:type="pct"/>
            <w:shd w:val="clear" w:color="auto" w:fill="auto"/>
          </w:tcPr>
          <w:p w14:paraId="76E6EBA6" w14:textId="77777777" w:rsidR="00346807" w:rsidRPr="005C29F8" w:rsidRDefault="00346807" w:rsidP="00F0577A">
            <w:pPr>
              <w:rPr>
                <w:rFonts w:cs="Arial"/>
                <w:color w:val="000000" w:themeColor="text1"/>
                <w:szCs w:val="16"/>
              </w:rPr>
            </w:pPr>
          </w:p>
        </w:tc>
        <w:tc>
          <w:tcPr>
            <w:tcW w:w="386" w:type="pct"/>
            <w:shd w:val="clear" w:color="auto" w:fill="auto"/>
          </w:tcPr>
          <w:p w14:paraId="13EB2549" w14:textId="77777777" w:rsidR="00346807" w:rsidRPr="005C29F8" w:rsidRDefault="00346807" w:rsidP="00F0577A">
            <w:pPr>
              <w:rPr>
                <w:rFonts w:cs="Arial"/>
                <w:color w:val="000000" w:themeColor="text1"/>
                <w:szCs w:val="16"/>
              </w:rPr>
            </w:pPr>
          </w:p>
        </w:tc>
        <w:tc>
          <w:tcPr>
            <w:tcW w:w="388" w:type="pct"/>
            <w:shd w:val="clear" w:color="auto" w:fill="auto"/>
          </w:tcPr>
          <w:p w14:paraId="3F021D3D" w14:textId="77777777" w:rsidR="00346807" w:rsidRPr="005C29F8" w:rsidRDefault="00346807" w:rsidP="00F0577A">
            <w:pPr>
              <w:rPr>
                <w:rFonts w:cs="Arial"/>
                <w:color w:val="000000" w:themeColor="text1"/>
                <w:szCs w:val="16"/>
              </w:rPr>
            </w:pPr>
          </w:p>
        </w:tc>
      </w:tr>
      <w:tr w:rsidR="005C29F8" w:rsidRPr="005C29F8" w14:paraId="41239D5E" w14:textId="77777777" w:rsidTr="00044B5C">
        <w:tc>
          <w:tcPr>
            <w:tcW w:w="749" w:type="pct"/>
            <w:shd w:val="clear" w:color="auto" w:fill="auto"/>
          </w:tcPr>
          <w:p w14:paraId="5F79CC0F" w14:textId="77777777" w:rsidR="00346807" w:rsidRPr="005C29F8" w:rsidRDefault="00346807" w:rsidP="00F0577A">
            <w:pPr>
              <w:rPr>
                <w:rFonts w:cs="Arial"/>
                <w:color w:val="000000" w:themeColor="text1"/>
                <w:szCs w:val="16"/>
              </w:rPr>
            </w:pPr>
            <w:r w:rsidRPr="005C29F8">
              <w:rPr>
                <w:rFonts w:cs="Arial"/>
                <w:color w:val="000000" w:themeColor="text1"/>
                <w:szCs w:val="16"/>
              </w:rPr>
              <w:t>c. IEPs in regular assessment with accommodations</w:t>
            </w:r>
          </w:p>
        </w:tc>
        <w:tc>
          <w:tcPr>
            <w:tcW w:w="386" w:type="pct"/>
            <w:shd w:val="clear" w:color="auto" w:fill="auto"/>
          </w:tcPr>
          <w:p w14:paraId="5E9652E2" w14:textId="77777777" w:rsidR="00346807" w:rsidRPr="005C29F8" w:rsidRDefault="00346807" w:rsidP="00F0577A">
            <w:pPr>
              <w:rPr>
                <w:rFonts w:cs="Arial"/>
                <w:color w:val="000000" w:themeColor="text1"/>
                <w:szCs w:val="16"/>
              </w:rPr>
            </w:pPr>
          </w:p>
        </w:tc>
        <w:tc>
          <w:tcPr>
            <w:tcW w:w="386" w:type="pct"/>
            <w:shd w:val="clear" w:color="auto" w:fill="auto"/>
          </w:tcPr>
          <w:p w14:paraId="47F69679" w14:textId="77777777" w:rsidR="00346807" w:rsidRPr="005C29F8" w:rsidRDefault="00346807" w:rsidP="00F0577A">
            <w:pPr>
              <w:rPr>
                <w:rFonts w:cs="Arial"/>
                <w:color w:val="000000" w:themeColor="text1"/>
                <w:szCs w:val="16"/>
              </w:rPr>
            </w:pPr>
          </w:p>
        </w:tc>
        <w:tc>
          <w:tcPr>
            <w:tcW w:w="387" w:type="pct"/>
            <w:shd w:val="clear" w:color="auto" w:fill="auto"/>
          </w:tcPr>
          <w:p w14:paraId="59F768C9" w14:textId="77777777" w:rsidR="00346807" w:rsidRPr="005C29F8" w:rsidRDefault="00346807" w:rsidP="00F0577A">
            <w:pPr>
              <w:rPr>
                <w:rFonts w:cs="Arial"/>
                <w:color w:val="000000" w:themeColor="text1"/>
                <w:szCs w:val="16"/>
              </w:rPr>
            </w:pPr>
          </w:p>
        </w:tc>
        <w:tc>
          <w:tcPr>
            <w:tcW w:w="386" w:type="pct"/>
            <w:shd w:val="clear" w:color="auto" w:fill="auto"/>
          </w:tcPr>
          <w:p w14:paraId="037BD624" w14:textId="77777777" w:rsidR="00346807" w:rsidRPr="005C29F8" w:rsidRDefault="00346807" w:rsidP="00F0577A">
            <w:pPr>
              <w:rPr>
                <w:rFonts w:cs="Arial"/>
                <w:color w:val="000000" w:themeColor="text1"/>
                <w:szCs w:val="16"/>
              </w:rPr>
            </w:pPr>
          </w:p>
        </w:tc>
        <w:tc>
          <w:tcPr>
            <w:tcW w:w="387" w:type="pct"/>
            <w:shd w:val="clear" w:color="auto" w:fill="auto"/>
          </w:tcPr>
          <w:p w14:paraId="40D2E4DE" w14:textId="77777777" w:rsidR="00346807" w:rsidRPr="005C29F8" w:rsidRDefault="00346807" w:rsidP="00F0577A">
            <w:pPr>
              <w:rPr>
                <w:rFonts w:cs="Arial"/>
                <w:color w:val="000000" w:themeColor="text1"/>
                <w:szCs w:val="16"/>
              </w:rPr>
            </w:pPr>
          </w:p>
        </w:tc>
        <w:tc>
          <w:tcPr>
            <w:tcW w:w="386" w:type="pct"/>
            <w:shd w:val="clear" w:color="auto" w:fill="auto"/>
          </w:tcPr>
          <w:p w14:paraId="75A2DE8E" w14:textId="77777777" w:rsidR="00346807" w:rsidRPr="005C29F8" w:rsidRDefault="00346807" w:rsidP="00F0577A">
            <w:pPr>
              <w:rPr>
                <w:rFonts w:cs="Arial"/>
                <w:color w:val="000000" w:themeColor="text1"/>
                <w:szCs w:val="16"/>
              </w:rPr>
            </w:pPr>
          </w:p>
        </w:tc>
        <w:tc>
          <w:tcPr>
            <w:tcW w:w="387" w:type="pct"/>
            <w:shd w:val="clear" w:color="auto" w:fill="auto"/>
          </w:tcPr>
          <w:p w14:paraId="0440D97D" w14:textId="77777777" w:rsidR="00346807" w:rsidRPr="005C29F8" w:rsidRDefault="00346807" w:rsidP="00F0577A">
            <w:pPr>
              <w:rPr>
                <w:rFonts w:cs="Arial"/>
                <w:color w:val="000000" w:themeColor="text1"/>
                <w:szCs w:val="16"/>
              </w:rPr>
            </w:pPr>
          </w:p>
        </w:tc>
        <w:tc>
          <w:tcPr>
            <w:tcW w:w="386" w:type="pct"/>
            <w:shd w:val="clear" w:color="auto" w:fill="auto"/>
          </w:tcPr>
          <w:p w14:paraId="46E4331A" w14:textId="77777777" w:rsidR="00346807" w:rsidRPr="005C29F8" w:rsidRDefault="00346807" w:rsidP="00F0577A">
            <w:pPr>
              <w:rPr>
                <w:rFonts w:cs="Arial"/>
                <w:color w:val="000000" w:themeColor="text1"/>
                <w:szCs w:val="16"/>
              </w:rPr>
            </w:pPr>
          </w:p>
        </w:tc>
        <w:tc>
          <w:tcPr>
            <w:tcW w:w="387" w:type="pct"/>
            <w:shd w:val="clear" w:color="auto" w:fill="auto"/>
          </w:tcPr>
          <w:p w14:paraId="3B894A1B" w14:textId="77777777" w:rsidR="00346807" w:rsidRPr="005C29F8" w:rsidRDefault="00346807" w:rsidP="00F0577A">
            <w:pPr>
              <w:rPr>
                <w:rFonts w:cs="Arial"/>
                <w:color w:val="000000" w:themeColor="text1"/>
                <w:szCs w:val="16"/>
              </w:rPr>
            </w:pPr>
          </w:p>
        </w:tc>
        <w:tc>
          <w:tcPr>
            <w:tcW w:w="386" w:type="pct"/>
            <w:shd w:val="clear" w:color="auto" w:fill="auto"/>
          </w:tcPr>
          <w:p w14:paraId="1CECC999" w14:textId="77777777" w:rsidR="00346807" w:rsidRPr="005C29F8" w:rsidRDefault="00346807" w:rsidP="00F0577A">
            <w:pPr>
              <w:rPr>
                <w:rFonts w:cs="Arial"/>
                <w:color w:val="000000" w:themeColor="text1"/>
                <w:szCs w:val="16"/>
              </w:rPr>
            </w:pPr>
          </w:p>
        </w:tc>
        <w:tc>
          <w:tcPr>
            <w:tcW w:w="388" w:type="pct"/>
            <w:shd w:val="clear" w:color="auto" w:fill="auto"/>
          </w:tcPr>
          <w:p w14:paraId="42FEB99D" w14:textId="77777777" w:rsidR="00346807" w:rsidRPr="005C29F8" w:rsidRDefault="00346807" w:rsidP="00F0577A">
            <w:pPr>
              <w:rPr>
                <w:rFonts w:cs="Arial"/>
                <w:color w:val="000000" w:themeColor="text1"/>
                <w:szCs w:val="16"/>
              </w:rPr>
            </w:pPr>
          </w:p>
        </w:tc>
      </w:tr>
      <w:tr w:rsidR="005C29F8" w:rsidRPr="005C29F8" w14:paraId="07EEC835" w14:textId="77777777" w:rsidTr="00044B5C">
        <w:tc>
          <w:tcPr>
            <w:tcW w:w="749" w:type="pct"/>
            <w:shd w:val="clear" w:color="auto" w:fill="auto"/>
          </w:tcPr>
          <w:p w14:paraId="0E58F71E" w14:textId="77777777" w:rsidR="00346807" w:rsidRPr="005C29F8" w:rsidRDefault="00346807" w:rsidP="00F0577A">
            <w:pPr>
              <w:rPr>
                <w:rFonts w:cs="Arial"/>
                <w:color w:val="000000" w:themeColor="text1"/>
                <w:szCs w:val="16"/>
              </w:rPr>
            </w:pPr>
            <w:r w:rsidRPr="005C29F8">
              <w:rPr>
                <w:rFonts w:cs="Arial"/>
                <w:color w:val="000000" w:themeColor="text1"/>
                <w:szCs w:val="16"/>
              </w:rPr>
              <w:t>f. IEPs in alternate assessment against alternate standards</w:t>
            </w:r>
          </w:p>
        </w:tc>
        <w:tc>
          <w:tcPr>
            <w:tcW w:w="386" w:type="pct"/>
            <w:shd w:val="clear" w:color="auto" w:fill="auto"/>
          </w:tcPr>
          <w:p w14:paraId="060CF6D2" w14:textId="77777777" w:rsidR="00346807" w:rsidRPr="005C29F8" w:rsidRDefault="00346807" w:rsidP="00F0577A">
            <w:pPr>
              <w:rPr>
                <w:rFonts w:cs="Arial"/>
                <w:color w:val="000000" w:themeColor="text1"/>
                <w:szCs w:val="16"/>
              </w:rPr>
            </w:pPr>
          </w:p>
        </w:tc>
        <w:tc>
          <w:tcPr>
            <w:tcW w:w="386" w:type="pct"/>
            <w:shd w:val="clear" w:color="auto" w:fill="auto"/>
          </w:tcPr>
          <w:p w14:paraId="3A657D41" w14:textId="77777777" w:rsidR="00346807" w:rsidRPr="005C29F8" w:rsidRDefault="00346807" w:rsidP="00F0577A">
            <w:pPr>
              <w:rPr>
                <w:rFonts w:cs="Arial"/>
                <w:color w:val="000000" w:themeColor="text1"/>
                <w:szCs w:val="16"/>
              </w:rPr>
            </w:pPr>
          </w:p>
        </w:tc>
        <w:tc>
          <w:tcPr>
            <w:tcW w:w="387" w:type="pct"/>
            <w:shd w:val="clear" w:color="auto" w:fill="auto"/>
          </w:tcPr>
          <w:p w14:paraId="6282EB78" w14:textId="77777777" w:rsidR="00346807" w:rsidRPr="005C29F8" w:rsidRDefault="00346807" w:rsidP="00F0577A">
            <w:pPr>
              <w:rPr>
                <w:rFonts w:cs="Arial"/>
                <w:color w:val="000000" w:themeColor="text1"/>
                <w:szCs w:val="16"/>
              </w:rPr>
            </w:pPr>
          </w:p>
        </w:tc>
        <w:tc>
          <w:tcPr>
            <w:tcW w:w="386" w:type="pct"/>
            <w:shd w:val="clear" w:color="auto" w:fill="auto"/>
          </w:tcPr>
          <w:p w14:paraId="53905806" w14:textId="77777777" w:rsidR="00346807" w:rsidRPr="005C29F8" w:rsidRDefault="00346807" w:rsidP="00F0577A">
            <w:pPr>
              <w:rPr>
                <w:rFonts w:cs="Arial"/>
                <w:color w:val="000000" w:themeColor="text1"/>
                <w:szCs w:val="16"/>
              </w:rPr>
            </w:pPr>
          </w:p>
        </w:tc>
        <w:tc>
          <w:tcPr>
            <w:tcW w:w="387" w:type="pct"/>
            <w:shd w:val="clear" w:color="auto" w:fill="auto"/>
          </w:tcPr>
          <w:p w14:paraId="638DBA90" w14:textId="77777777" w:rsidR="00346807" w:rsidRPr="005C29F8" w:rsidRDefault="00346807" w:rsidP="00F0577A">
            <w:pPr>
              <w:rPr>
                <w:rFonts w:cs="Arial"/>
                <w:color w:val="000000" w:themeColor="text1"/>
                <w:szCs w:val="16"/>
              </w:rPr>
            </w:pPr>
          </w:p>
        </w:tc>
        <w:tc>
          <w:tcPr>
            <w:tcW w:w="386" w:type="pct"/>
            <w:shd w:val="clear" w:color="auto" w:fill="auto"/>
          </w:tcPr>
          <w:p w14:paraId="4F3B2517" w14:textId="77777777" w:rsidR="00346807" w:rsidRPr="005C29F8" w:rsidRDefault="00346807" w:rsidP="00F0577A">
            <w:pPr>
              <w:rPr>
                <w:rFonts w:cs="Arial"/>
                <w:color w:val="000000" w:themeColor="text1"/>
                <w:szCs w:val="16"/>
              </w:rPr>
            </w:pPr>
          </w:p>
        </w:tc>
        <w:tc>
          <w:tcPr>
            <w:tcW w:w="387" w:type="pct"/>
            <w:shd w:val="clear" w:color="auto" w:fill="auto"/>
          </w:tcPr>
          <w:p w14:paraId="2B0ACA15" w14:textId="77777777" w:rsidR="00346807" w:rsidRPr="005C29F8" w:rsidRDefault="00346807" w:rsidP="00F0577A">
            <w:pPr>
              <w:rPr>
                <w:rFonts w:cs="Arial"/>
                <w:color w:val="000000" w:themeColor="text1"/>
                <w:szCs w:val="16"/>
              </w:rPr>
            </w:pPr>
          </w:p>
        </w:tc>
        <w:tc>
          <w:tcPr>
            <w:tcW w:w="386" w:type="pct"/>
            <w:shd w:val="clear" w:color="auto" w:fill="auto"/>
          </w:tcPr>
          <w:p w14:paraId="57F76297" w14:textId="77777777" w:rsidR="00346807" w:rsidRPr="005C29F8" w:rsidRDefault="00346807" w:rsidP="00F0577A">
            <w:pPr>
              <w:rPr>
                <w:rFonts w:cs="Arial"/>
                <w:color w:val="000000" w:themeColor="text1"/>
                <w:szCs w:val="16"/>
              </w:rPr>
            </w:pPr>
          </w:p>
        </w:tc>
        <w:tc>
          <w:tcPr>
            <w:tcW w:w="387" w:type="pct"/>
            <w:shd w:val="clear" w:color="auto" w:fill="auto"/>
          </w:tcPr>
          <w:p w14:paraId="488E2853" w14:textId="77777777" w:rsidR="00346807" w:rsidRPr="005C29F8" w:rsidRDefault="00346807" w:rsidP="00F0577A">
            <w:pPr>
              <w:rPr>
                <w:rFonts w:cs="Arial"/>
                <w:color w:val="000000" w:themeColor="text1"/>
                <w:szCs w:val="16"/>
              </w:rPr>
            </w:pPr>
          </w:p>
        </w:tc>
        <w:tc>
          <w:tcPr>
            <w:tcW w:w="386" w:type="pct"/>
            <w:shd w:val="clear" w:color="auto" w:fill="auto"/>
          </w:tcPr>
          <w:p w14:paraId="10ADE075" w14:textId="77777777" w:rsidR="00346807" w:rsidRPr="005C29F8" w:rsidRDefault="00346807" w:rsidP="00F0577A">
            <w:pPr>
              <w:rPr>
                <w:rFonts w:cs="Arial"/>
                <w:color w:val="000000" w:themeColor="text1"/>
                <w:szCs w:val="16"/>
              </w:rPr>
            </w:pPr>
          </w:p>
        </w:tc>
        <w:tc>
          <w:tcPr>
            <w:tcW w:w="388" w:type="pct"/>
            <w:shd w:val="clear" w:color="auto" w:fill="auto"/>
          </w:tcPr>
          <w:p w14:paraId="798895FB" w14:textId="77777777" w:rsidR="00346807" w:rsidRPr="005C29F8" w:rsidRDefault="00346807" w:rsidP="00F0577A">
            <w:pPr>
              <w:rPr>
                <w:rFonts w:cs="Arial"/>
                <w:color w:val="000000" w:themeColor="text1"/>
                <w:szCs w:val="16"/>
              </w:rPr>
            </w:pPr>
          </w:p>
        </w:tc>
      </w:tr>
    </w:tbl>
    <w:p w14:paraId="5994F67E" w14:textId="77777777" w:rsidR="00346807" w:rsidRPr="005C29F8" w:rsidRDefault="00346807">
      <w:pPr>
        <w:rPr>
          <w:b/>
          <w:color w:val="000000" w:themeColor="text1"/>
        </w:rPr>
      </w:pPr>
    </w:p>
    <w:p w14:paraId="6D3557DD" w14:textId="77777777" w:rsidR="00C01339" w:rsidRPr="005C29F8" w:rsidRDefault="00382F22" w:rsidP="00552927">
      <w:pPr>
        <w:rPr>
          <w:rFonts w:cs="Arial"/>
          <w:b/>
          <w:color w:val="000000" w:themeColor="text1"/>
          <w:szCs w:val="16"/>
        </w:rPr>
      </w:pPr>
      <w:r w:rsidRPr="005C29F8">
        <w:rPr>
          <w:rFonts w:cs="Arial"/>
          <w:b/>
          <w:color w:val="000000" w:themeColor="text1"/>
          <w:szCs w:val="16"/>
        </w:rPr>
        <w:t xml:space="preserve">Data Source: </w:t>
      </w:r>
    </w:p>
    <w:p w14:paraId="1FB962F7" w14:textId="781F2336" w:rsidR="00C470E8" w:rsidRPr="005C29F8" w:rsidRDefault="002B7490" w:rsidP="00552927">
      <w:pPr>
        <w:rPr>
          <w:rFonts w:cs="Arial"/>
          <w:color w:val="000000" w:themeColor="text1"/>
          <w:szCs w:val="16"/>
        </w:rPr>
      </w:pPr>
      <w:r w:rsidRPr="005C29F8">
        <w:rPr>
          <w:rFonts w:cs="Arial"/>
          <w:color w:val="000000" w:themeColor="text1"/>
          <w:szCs w:val="16"/>
        </w:rPr>
        <w:t>SY 2019-20 Assessment Data Groups - Math  (EDFacts file spec FS185; Data Group: 588)</w:t>
      </w:r>
    </w:p>
    <w:p w14:paraId="57CD97A4" w14:textId="77777777" w:rsidR="00C01339" w:rsidRPr="005C29F8" w:rsidRDefault="00382F22" w:rsidP="00552927">
      <w:pPr>
        <w:rPr>
          <w:rFonts w:cs="Arial"/>
          <w:b/>
          <w:color w:val="000000" w:themeColor="text1"/>
          <w:szCs w:val="16"/>
        </w:rPr>
      </w:pPr>
      <w:r w:rsidRPr="005C29F8">
        <w:rPr>
          <w:rFonts w:cs="Arial"/>
          <w:b/>
          <w:color w:val="000000" w:themeColor="text1"/>
          <w:szCs w:val="16"/>
        </w:rPr>
        <w:t xml:space="preserve">Date: </w:t>
      </w:r>
    </w:p>
    <w:p w14:paraId="26169998" w14:textId="5D96BE69" w:rsidR="00382F22" w:rsidRPr="005C29F8" w:rsidRDefault="00382F22" w:rsidP="00552927">
      <w:pPr>
        <w:rPr>
          <w:rFonts w:cs="Arial"/>
          <w:color w:val="000000" w:themeColor="text1"/>
          <w:szCs w:val="16"/>
        </w:rPr>
      </w:pPr>
    </w:p>
    <w:p w14:paraId="33DEC24F" w14:textId="77777777" w:rsidR="005D18BE" w:rsidRPr="005C29F8" w:rsidRDefault="005D18BE" w:rsidP="00552927">
      <w:pPr>
        <w:rPr>
          <w:rFonts w:cs="Arial"/>
          <w:color w:val="000000" w:themeColor="text1"/>
          <w:szCs w:val="16"/>
        </w:rPr>
      </w:pPr>
    </w:p>
    <w:p w14:paraId="5767F488" w14:textId="7D572812" w:rsidR="00FE2056" w:rsidRPr="005C29F8" w:rsidRDefault="00FE2056">
      <w:pPr>
        <w:rPr>
          <w:b/>
          <w:color w:val="000000" w:themeColor="text1"/>
        </w:rPr>
      </w:pPr>
      <w:r w:rsidRPr="005C29F8">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BASSPARTDATABYGRDMATH"/>
      </w:tblPr>
      <w:tblGrid>
        <w:gridCol w:w="1612"/>
        <w:gridCol w:w="833"/>
        <w:gridCol w:w="833"/>
        <w:gridCol w:w="833"/>
        <w:gridCol w:w="835"/>
        <w:gridCol w:w="833"/>
        <w:gridCol w:w="833"/>
        <w:gridCol w:w="833"/>
        <w:gridCol w:w="835"/>
        <w:gridCol w:w="833"/>
        <w:gridCol w:w="833"/>
        <w:gridCol w:w="844"/>
      </w:tblGrid>
      <w:tr w:rsidR="005C29F8" w:rsidRPr="005C29F8" w14:paraId="1F3A5453" w14:textId="77777777" w:rsidTr="0033429D">
        <w:trPr>
          <w:tblHeader/>
        </w:trPr>
        <w:tc>
          <w:tcPr>
            <w:tcW w:w="747" w:type="pct"/>
            <w:shd w:val="clear" w:color="auto" w:fill="auto"/>
          </w:tcPr>
          <w:p w14:paraId="5BF018F9"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Grade</w:t>
            </w:r>
          </w:p>
        </w:tc>
        <w:tc>
          <w:tcPr>
            <w:tcW w:w="386" w:type="pct"/>
            <w:shd w:val="clear" w:color="auto" w:fill="auto"/>
          </w:tcPr>
          <w:p w14:paraId="24FAE140"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3</w:t>
            </w:r>
          </w:p>
        </w:tc>
        <w:tc>
          <w:tcPr>
            <w:tcW w:w="386" w:type="pct"/>
            <w:shd w:val="clear" w:color="auto" w:fill="auto"/>
          </w:tcPr>
          <w:p w14:paraId="47A01117"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4</w:t>
            </w:r>
          </w:p>
        </w:tc>
        <w:tc>
          <w:tcPr>
            <w:tcW w:w="386" w:type="pct"/>
            <w:shd w:val="clear" w:color="auto" w:fill="auto"/>
          </w:tcPr>
          <w:p w14:paraId="62BC8C13"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5</w:t>
            </w:r>
          </w:p>
        </w:tc>
        <w:tc>
          <w:tcPr>
            <w:tcW w:w="387" w:type="pct"/>
            <w:shd w:val="clear" w:color="auto" w:fill="auto"/>
          </w:tcPr>
          <w:p w14:paraId="7656A43E"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6</w:t>
            </w:r>
          </w:p>
        </w:tc>
        <w:tc>
          <w:tcPr>
            <w:tcW w:w="386" w:type="pct"/>
            <w:shd w:val="clear" w:color="auto" w:fill="auto"/>
          </w:tcPr>
          <w:p w14:paraId="74E7DB93"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7</w:t>
            </w:r>
          </w:p>
        </w:tc>
        <w:tc>
          <w:tcPr>
            <w:tcW w:w="386" w:type="pct"/>
            <w:shd w:val="clear" w:color="auto" w:fill="auto"/>
          </w:tcPr>
          <w:p w14:paraId="7DDF9CBF"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8</w:t>
            </w:r>
          </w:p>
        </w:tc>
        <w:tc>
          <w:tcPr>
            <w:tcW w:w="386" w:type="pct"/>
            <w:shd w:val="clear" w:color="auto" w:fill="auto"/>
          </w:tcPr>
          <w:p w14:paraId="068D3F74"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9</w:t>
            </w:r>
          </w:p>
        </w:tc>
        <w:tc>
          <w:tcPr>
            <w:tcW w:w="387" w:type="pct"/>
            <w:shd w:val="clear" w:color="auto" w:fill="auto"/>
          </w:tcPr>
          <w:p w14:paraId="73C8068D"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10</w:t>
            </w:r>
          </w:p>
        </w:tc>
        <w:tc>
          <w:tcPr>
            <w:tcW w:w="386" w:type="pct"/>
            <w:shd w:val="clear" w:color="auto" w:fill="auto"/>
          </w:tcPr>
          <w:p w14:paraId="5BB03F04"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11</w:t>
            </w:r>
          </w:p>
        </w:tc>
        <w:tc>
          <w:tcPr>
            <w:tcW w:w="386" w:type="pct"/>
            <w:shd w:val="clear" w:color="auto" w:fill="auto"/>
          </w:tcPr>
          <w:p w14:paraId="136E5698"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12</w:t>
            </w:r>
          </w:p>
        </w:tc>
        <w:tc>
          <w:tcPr>
            <w:tcW w:w="391" w:type="pct"/>
            <w:shd w:val="clear" w:color="auto" w:fill="auto"/>
          </w:tcPr>
          <w:p w14:paraId="0AFCCC67" w14:textId="77777777" w:rsidR="00346807" w:rsidRPr="005C29F8" w:rsidRDefault="00346807" w:rsidP="004369B2">
            <w:pPr>
              <w:jc w:val="center"/>
              <w:rPr>
                <w:rFonts w:cs="Arial"/>
                <w:b/>
                <w:bCs/>
                <w:color w:val="000000" w:themeColor="text1"/>
                <w:szCs w:val="16"/>
              </w:rPr>
            </w:pPr>
            <w:r w:rsidRPr="005C29F8">
              <w:rPr>
                <w:rFonts w:cs="Arial"/>
                <w:b/>
                <w:bCs/>
                <w:color w:val="000000" w:themeColor="text1"/>
                <w:szCs w:val="16"/>
              </w:rPr>
              <w:t>HS</w:t>
            </w:r>
          </w:p>
        </w:tc>
      </w:tr>
      <w:tr w:rsidR="005C29F8" w:rsidRPr="005C29F8" w14:paraId="3E50404B" w14:textId="77777777" w:rsidTr="00044B5C">
        <w:tc>
          <w:tcPr>
            <w:tcW w:w="747" w:type="pct"/>
            <w:shd w:val="clear" w:color="auto" w:fill="auto"/>
          </w:tcPr>
          <w:p w14:paraId="1BC1C3E1" w14:textId="77777777" w:rsidR="00346807" w:rsidRPr="005C29F8" w:rsidRDefault="00346807" w:rsidP="00F0577A">
            <w:pPr>
              <w:rPr>
                <w:rFonts w:cs="Arial"/>
                <w:color w:val="000000" w:themeColor="text1"/>
                <w:szCs w:val="16"/>
              </w:rPr>
            </w:pPr>
            <w:r w:rsidRPr="005C29F8">
              <w:rPr>
                <w:rFonts w:cs="Arial"/>
                <w:color w:val="000000" w:themeColor="text1"/>
                <w:szCs w:val="16"/>
              </w:rPr>
              <w:t>a. Children with IEPs</w:t>
            </w:r>
          </w:p>
        </w:tc>
        <w:tc>
          <w:tcPr>
            <w:tcW w:w="386" w:type="pct"/>
            <w:shd w:val="clear" w:color="auto" w:fill="auto"/>
          </w:tcPr>
          <w:p w14:paraId="73844C67" w14:textId="77777777" w:rsidR="00346807" w:rsidRPr="005C29F8" w:rsidRDefault="00346807" w:rsidP="00F0577A">
            <w:pPr>
              <w:rPr>
                <w:rFonts w:cs="Arial"/>
                <w:color w:val="000000" w:themeColor="text1"/>
                <w:szCs w:val="16"/>
              </w:rPr>
            </w:pPr>
          </w:p>
        </w:tc>
        <w:tc>
          <w:tcPr>
            <w:tcW w:w="386" w:type="pct"/>
            <w:shd w:val="clear" w:color="auto" w:fill="auto"/>
          </w:tcPr>
          <w:p w14:paraId="3573F811" w14:textId="77777777" w:rsidR="00346807" w:rsidRPr="005C29F8" w:rsidRDefault="00346807" w:rsidP="00F0577A">
            <w:pPr>
              <w:rPr>
                <w:rFonts w:cs="Arial"/>
                <w:color w:val="000000" w:themeColor="text1"/>
                <w:szCs w:val="16"/>
              </w:rPr>
            </w:pPr>
          </w:p>
        </w:tc>
        <w:tc>
          <w:tcPr>
            <w:tcW w:w="386" w:type="pct"/>
            <w:shd w:val="clear" w:color="auto" w:fill="auto"/>
          </w:tcPr>
          <w:p w14:paraId="3D006657" w14:textId="77777777" w:rsidR="00346807" w:rsidRPr="005C29F8" w:rsidRDefault="00346807" w:rsidP="00F0577A">
            <w:pPr>
              <w:rPr>
                <w:rFonts w:cs="Arial"/>
                <w:color w:val="000000" w:themeColor="text1"/>
                <w:szCs w:val="16"/>
              </w:rPr>
            </w:pPr>
          </w:p>
        </w:tc>
        <w:tc>
          <w:tcPr>
            <w:tcW w:w="387" w:type="pct"/>
            <w:shd w:val="clear" w:color="auto" w:fill="auto"/>
          </w:tcPr>
          <w:p w14:paraId="5362D9FE" w14:textId="77777777" w:rsidR="00346807" w:rsidRPr="005C29F8" w:rsidRDefault="00346807" w:rsidP="00F0577A">
            <w:pPr>
              <w:rPr>
                <w:rFonts w:cs="Arial"/>
                <w:color w:val="000000" w:themeColor="text1"/>
                <w:szCs w:val="16"/>
              </w:rPr>
            </w:pPr>
          </w:p>
        </w:tc>
        <w:tc>
          <w:tcPr>
            <w:tcW w:w="386" w:type="pct"/>
            <w:shd w:val="clear" w:color="auto" w:fill="auto"/>
          </w:tcPr>
          <w:p w14:paraId="1251BC91" w14:textId="77777777" w:rsidR="00346807" w:rsidRPr="005C29F8" w:rsidRDefault="00346807" w:rsidP="00F0577A">
            <w:pPr>
              <w:rPr>
                <w:rFonts w:cs="Arial"/>
                <w:color w:val="000000" w:themeColor="text1"/>
                <w:szCs w:val="16"/>
              </w:rPr>
            </w:pPr>
          </w:p>
        </w:tc>
        <w:tc>
          <w:tcPr>
            <w:tcW w:w="386" w:type="pct"/>
            <w:shd w:val="clear" w:color="auto" w:fill="auto"/>
          </w:tcPr>
          <w:p w14:paraId="64BBD19A" w14:textId="77777777" w:rsidR="00346807" w:rsidRPr="005C29F8" w:rsidRDefault="00346807" w:rsidP="00F0577A">
            <w:pPr>
              <w:rPr>
                <w:rFonts w:cs="Arial"/>
                <w:color w:val="000000" w:themeColor="text1"/>
                <w:szCs w:val="16"/>
              </w:rPr>
            </w:pPr>
          </w:p>
        </w:tc>
        <w:tc>
          <w:tcPr>
            <w:tcW w:w="386" w:type="pct"/>
            <w:shd w:val="clear" w:color="auto" w:fill="auto"/>
          </w:tcPr>
          <w:p w14:paraId="1464F35D" w14:textId="77777777" w:rsidR="00346807" w:rsidRPr="005C29F8" w:rsidRDefault="00346807" w:rsidP="00F0577A">
            <w:pPr>
              <w:rPr>
                <w:rFonts w:cs="Arial"/>
                <w:color w:val="000000" w:themeColor="text1"/>
                <w:szCs w:val="16"/>
              </w:rPr>
            </w:pPr>
          </w:p>
        </w:tc>
        <w:tc>
          <w:tcPr>
            <w:tcW w:w="387" w:type="pct"/>
            <w:shd w:val="clear" w:color="auto" w:fill="auto"/>
          </w:tcPr>
          <w:p w14:paraId="7FD8F845" w14:textId="77777777" w:rsidR="00346807" w:rsidRPr="005C29F8" w:rsidRDefault="00346807" w:rsidP="00F0577A">
            <w:pPr>
              <w:rPr>
                <w:rFonts w:cs="Arial"/>
                <w:color w:val="000000" w:themeColor="text1"/>
                <w:szCs w:val="16"/>
              </w:rPr>
            </w:pPr>
          </w:p>
        </w:tc>
        <w:tc>
          <w:tcPr>
            <w:tcW w:w="386" w:type="pct"/>
            <w:shd w:val="clear" w:color="auto" w:fill="auto"/>
          </w:tcPr>
          <w:p w14:paraId="41B965D4" w14:textId="77777777" w:rsidR="00346807" w:rsidRPr="005C29F8" w:rsidRDefault="00346807" w:rsidP="00F0577A">
            <w:pPr>
              <w:rPr>
                <w:rFonts w:cs="Arial"/>
                <w:color w:val="000000" w:themeColor="text1"/>
                <w:szCs w:val="16"/>
              </w:rPr>
            </w:pPr>
          </w:p>
        </w:tc>
        <w:tc>
          <w:tcPr>
            <w:tcW w:w="386" w:type="pct"/>
            <w:shd w:val="clear" w:color="auto" w:fill="auto"/>
          </w:tcPr>
          <w:p w14:paraId="00844C1D" w14:textId="77777777" w:rsidR="00346807" w:rsidRPr="005C29F8" w:rsidRDefault="00346807" w:rsidP="00F0577A">
            <w:pPr>
              <w:rPr>
                <w:rFonts w:cs="Arial"/>
                <w:color w:val="000000" w:themeColor="text1"/>
                <w:szCs w:val="16"/>
              </w:rPr>
            </w:pPr>
          </w:p>
        </w:tc>
        <w:tc>
          <w:tcPr>
            <w:tcW w:w="391" w:type="pct"/>
            <w:shd w:val="clear" w:color="auto" w:fill="auto"/>
          </w:tcPr>
          <w:p w14:paraId="6E689CB2" w14:textId="77777777" w:rsidR="00346807" w:rsidRPr="005C29F8" w:rsidRDefault="00346807" w:rsidP="00F0577A">
            <w:pPr>
              <w:rPr>
                <w:rFonts w:cs="Arial"/>
                <w:color w:val="000000" w:themeColor="text1"/>
                <w:szCs w:val="16"/>
              </w:rPr>
            </w:pPr>
          </w:p>
        </w:tc>
      </w:tr>
      <w:tr w:rsidR="005C29F8" w:rsidRPr="005C29F8" w14:paraId="4482EF44" w14:textId="77777777" w:rsidTr="00044B5C">
        <w:tc>
          <w:tcPr>
            <w:tcW w:w="747" w:type="pct"/>
            <w:shd w:val="clear" w:color="auto" w:fill="auto"/>
          </w:tcPr>
          <w:p w14:paraId="27BF445B" w14:textId="77777777" w:rsidR="00346807" w:rsidRPr="005C29F8" w:rsidRDefault="00346807" w:rsidP="00F0577A">
            <w:pPr>
              <w:rPr>
                <w:rFonts w:cs="Arial"/>
                <w:color w:val="000000" w:themeColor="text1"/>
                <w:szCs w:val="16"/>
              </w:rPr>
            </w:pPr>
            <w:r w:rsidRPr="005C29F8">
              <w:rPr>
                <w:rFonts w:cs="Arial"/>
                <w:color w:val="000000" w:themeColor="text1"/>
                <w:szCs w:val="16"/>
              </w:rPr>
              <w:t>b. IEPs in regular assessment with no accommodations</w:t>
            </w:r>
          </w:p>
        </w:tc>
        <w:tc>
          <w:tcPr>
            <w:tcW w:w="386" w:type="pct"/>
            <w:shd w:val="clear" w:color="auto" w:fill="auto"/>
          </w:tcPr>
          <w:p w14:paraId="6FAE18FE" w14:textId="77777777" w:rsidR="00346807" w:rsidRPr="005C29F8" w:rsidRDefault="00346807" w:rsidP="00F0577A">
            <w:pPr>
              <w:rPr>
                <w:rFonts w:cs="Arial"/>
                <w:color w:val="000000" w:themeColor="text1"/>
                <w:szCs w:val="16"/>
              </w:rPr>
            </w:pPr>
          </w:p>
        </w:tc>
        <w:tc>
          <w:tcPr>
            <w:tcW w:w="386" w:type="pct"/>
            <w:shd w:val="clear" w:color="auto" w:fill="auto"/>
          </w:tcPr>
          <w:p w14:paraId="0501C27C" w14:textId="77777777" w:rsidR="00346807" w:rsidRPr="005C29F8" w:rsidRDefault="00346807" w:rsidP="00F0577A">
            <w:pPr>
              <w:rPr>
                <w:rFonts w:cs="Arial"/>
                <w:color w:val="000000" w:themeColor="text1"/>
                <w:szCs w:val="16"/>
              </w:rPr>
            </w:pPr>
          </w:p>
        </w:tc>
        <w:tc>
          <w:tcPr>
            <w:tcW w:w="386" w:type="pct"/>
            <w:shd w:val="clear" w:color="auto" w:fill="auto"/>
          </w:tcPr>
          <w:p w14:paraId="2F8ECC6A" w14:textId="77777777" w:rsidR="00346807" w:rsidRPr="005C29F8" w:rsidRDefault="00346807" w:rsidP="00F0577A">
            <w:pPr>
              <w:rPr>
                <w:rFonts w:cs="Arial"/>
                <w:color w:val="000000" w:themeColor="text1"/>
                <w:szCs w:val="16"/>
              </w:rPr>
            </w:pPr>
          </w:p>
        </w:tc>
        <w:tc>
          <w:tcPr>
            <w:tcW w:w="387" w:type="pct"/>
            <w:shd w:val="clear" w:color="auto" w:fill="auto"/>
          </w:tcPr>
          <w:p w14:paraId="1444CF49" w14:textId="77777777" w:rsidR="00346807" w:rsidRPr="005C29F8" w:rsidRDefault="00346807" w:rsidP="00F0577A">
            <w:pPr>
              <w:rPr>
                <w:rFonts w:cs="Arial"/>
                <w:color w:val="000000" w:themeColor="text1"/>
                <w:szCs w:val="16"/>
              </w:rPr>
            </w:pPr>
          </w:p>
        </w:tc>
        <w:tc>
          <w:tcPr>
            <w:tcW w:w="386" w:type="pct"/>
            <w:shd w:val="clear" w:color="auto" w:fill="auto"/>
          </w:tcPr>
          <w:p w14:paraId="2ED0CFA7" w14:textId="77777777" w:rsidR="00346807" w:rsidRPr="005C29F8" w:rsidRDefault="00346807" w:rsidP="00F0577A">
            <w:pPr>
              <w:rPr>
                <w:rFonts w:cs="Arial"/>
                <w:color w:val="000000" w:themeColor="text1"/>
                <w:szCs w:val="16"/>
              </w:rPr>
            </w:pPr>
          </w:p>
        </w:tc>
        <w:tc>
          <w:tcPr>
            <w:tcW w:w="386" w:type="pct"/>
            <w:shd w:val="clear" w:color="auto" w:fill="auto"/>
          </w:tcPr>
          <w:p w14:paraId="1BBB12FC" w14:textId="77777777" w:rsidR="00346807" w:rsidRPr="005C29F8" w:rsidRDefault="00346807" w:rsidP="00F0577A">
            <w:pPr>
              <w:rPr>
                <w:rFonts w:cs="Arial"/>
                <w:color w:val="000000" w:themeColor="text1"/>
                <w:szCs w:val="16"/>
              </w:rPr>
            </w:pPr>
          </w:p>
        </w:tc>
        <w:tc>
          <w:tcPr>
            <w:tcW w:w="386" w:type="pct"/>
            <w:shd w:val="clear" w:color="auto" w:fill="auto"/>
          </w:tcPr>
          <w:p w14:paraId="72D414CD" w14:textId="77777777" w:rsidR="00346807" w:rsidRPr="005C29F8" w:rsidRDefault="00346807" w:rsidP="00F0577A">
            <w:pPr>
              <w:rPr>
                <w:rFonts w:cs="Arial"/>
                <w:color w:val="000000" w:themeColor="text1"/>
                <w:szCs w:val="16"/>
              </w:rPr>
            </w:pPr>
          </w:p>
        </w:tc>
        <w:tc>
          <w:tcPr>
            <w:tcW w:w="387" w:type="pct"/>
            <w:shd w:val="clear" w:color="auto" w:fill="auto"/>
          </w:tcPr>
          <w:p w14:paraId="4D2EF2B6" w14:textId="77777777" w:rsidR="00346807" w:rsidRPr="005C29F8" w:rsidRDefault="00346807" w:rsidP="00F0577A">
            <w:pPr>
              <w:rPr>
                <w:rFonts w:cs="Arial"/>
                <w:color w:val="000000" w:themeColor="text1"/>
                <w:szCs w:val="16"/>
              </w:rPr>
            </w:pPr>
          </w:p>
        </w:tc>
        <w:tc>
          <w:tcPr>
            <w:tcW w:w="386" w:type="pct"/>
            <w:shd w:val="clear" w:color="auto" w:fill="auto"/>
          </w:tcPr>
          <w:p w14:paraId="1D21FBDF" w14:textId="77777777" w:rsidR="00346807" w:rsidRPr="005C29F8" w:rsidRDefault="00346807" w:rsidP="00F0577A">
            <w:pPr>
              <w:rPr>
                <w:rFonts w:cs="Arial"/>
                <w:color w:val="000000" w:themeColor="text1"/>
                <w:szCs w:val="16"/>
              </w:rPr>
            </w:pPr>
          </w:p>
        </w:tc>
        <w:tc>
          <w:tcPr>
            <w:tcW w:w="386" w:type="pct"/>
            <w:shd w:val="clear" w:color="auto" w:fill="auto"/>
          </w:tcPr>
          <w:p w14:paraId="3BC865FD" w14:textId="77777777" w:rsidR="00346807" w:rsidRPr="005C29F8" w:rsidRDefault="00346807" w:rsidP="00F0577A">
            <w:pPr>
              <w:rPr>
                <w:rFonts w:cs="Arial"/>
                <w:color w:val="000000" w:themeColor="text1"/>
                <w:szCs w:val="16"/>
              </w:rPr>
            </w:pPr>
          </w:p>
        </w:tc>
        <w:tc>
          <w:tcPr>
            <w:tcW w:w="391" w:type="pct"/>
            <w:shd w:val="clear" w:color="auto" w:fill="auto"/>
          </w:tcPr>
          <w:p w14:paraId="11FD7BCC" w14:textId="77777777" w:rsidR="00346807" w:rsidRPr="005C29F8" w:rsidRDefault="00346807" w:rsidP="00F0577A">
            <w:pPr>
              <w:rPr>
                <w:rFonts w:cs="Arial"/>
                <w:color w:val="000000" w:themeColor="text1"/>
                <w:szCs w:val="16"/>
              </w:rPr>
            </w:pPr>
          </w:p>
        </w:tc>
      </w:tr>
      <w:tr w:rsidR="005C29F8" w:rsidRPr="005C29F8" w14:paraId="7ED983D3" w14:textId="77777777" w:rsidTr="00044B5C">
        <w:tc>
          <w:tcPr>
            <w:tcW w:w="747" w:type="pct"/>
            <w:shd w:val="clear" w:color="auto" w:fill="auto"/>
          </w:tcPr>
          <w:p w14:paraId="6E21D958" w14:textId="77777777" w:rsidR="00346807" w:rsidRPr="005C29F8" w:rsidRDefault="00346807" w:rsidP="00F0577A">
            <w:pPr>
              <w:rPr>
                <w:rFonts w:cs="Arial"/>
                <w:color w:val="000000" w:themeColor="text1"/>
                <w:szCs w:val="16"/>
              </w:rPr>
            </w:pPr>
            <w:r w:rsidRPr="005C29F8">
              <w:rPr>
                <w:rFonts w:cs="Arial"/>
                <w:color w:val="000000" w:themeColor="text1"/>
                <w:szCs w:val="16"/>
              </w:rPr>
              <w:t>c. IEPs in regular assessment with accommodations</w:t>
            </w:r>
          </w:p>
        </w:tc>
        <w:tc>
          <w:tcPr>
            <w:tcW w:w="386" w:type="pct"/>
            <w:shd w:val="clear" w:color="auto" w:fill="auto"/>
          </w:tcPr>
          <w:p w14:paraId="239BF66A" w14:textId="77777777" w:rsidR="00346807" w:rsidRPr="005C29F8" w:rsidRDefault="00346807" w:rsidP="00F0577A">
            <w:pPr>
              <w:rPr>
                <w:rFonts w:cs="Arial"/>
                <w:color w:val="000000" w:themeColor="text1"/>
                <w:szCs w:val="16"/>
              </w:rPr>
            </w:pPr>
          </w:p>
        </w:tc>
        <w:tc>
          <w:tcPr>
            <w:tcW w:w="386" w:type="pct"/>
            <w:shd w:val="clear" w:color="auto" w:fill="auto"/>
          </w:tcPr>
          <w:p w14:paraId="3148F449" w14:textId="77777777" w:rsidR="00346807" w:rsidRPr="005C29F8" w:rsidRDefault="00346807" w:rsidP="00F0577A">
            <w:pPr>
              <w:rPr>
                <w:rFonts w:cs="Arial"/>
                <w:color w:val="000000" w:themeColor="text1"/>
                <w:szCs w:val="16"/>
              </w:rPr>
            </w:pPr>
          </w:p>
        </w:tc>
        <w:tc>
          <w:tcPr>
            <w:tcW w:w="386" w:type="pct"/>
            <w:shd w:val="clear" w:color="auto" w:fill="auto"/>
          </w:tcPr>
          <w:p w14:paraId="56D05BB3" w14:textId="77777777" w:rsidR="00346807" w:rsidRPr="005C29F8" w:rsidRDefault="00346807" w:rsidP="00F0577A">
            <w:pPr>
              <w:rPr>
                <w:rFonts w:cs="Arial"/>
                <w:color w:val="000000" w:themeColor="text1"/>
                <w:szCs w:val="16"/>
              </w:rPr>
            </w:pPr>
          </w:p>
        </w:tc>
        <w:tc>
          <w:tcPr>
            <w:tcW w:w="387" w:type="pct"/>
            <w:shd w:val="clear" w:color="auto" w:fill="auto"/>
          </w:tcPr>
          <w:p w14:paraId="125AD14D" w14:textId="77777777" w:rsidR="00346807" w:rsidRPr="005C29F8" w:rsidRDefault="00346807" w:rsidP="00F0577A">
            <w:pPr>
              <w:rPr>
                <w:rFonts w:cs="Arial"/>
                <w:color w:val="000000" w:themeColor="text1"/>
                <w:szCs w:val="16"/>
              </w:rPr>
            </w:pPr>
          </w:p>
        </w:tc>
        <w:tc>
          <w:tcPr>
            <w:tcW w:w="386" w:type="pct"/>
            <w:shd w:val="clear" w:color="auto" w:fill="auto"/>
          </w:tcPr>
          <w:p w14:paraId="411C2055" w14:textId="77777777" w:rsidR="00346807" w:rsidRPr="005C29F8" w:rsidRDefault="00346807" w:rsidP="00F0577A">
            <w:pPr>
              <w:rPr>
                <w:rFonts w:cs="Arial"/>
                <w:color w:val="000000" w:themeColor="text1"/>
                <w:szCs w:val="16"/>
              </w:rPr>
            </w:pPr>
          </w:p>
        </w:tc>
        <w:tc>
          <w:tcPr>
            <w:tcW w:w="386" w:type="pct"/>
            <w:shd w:val="clear" w:color="auto" w:fill="auto"/>
          </w:tcPr>
          <w:p w14:paraId="6F1140E8" w14:textId="77777777" w:rsidR="00346807" w:rsidRPr="005C29F8" w:rsidRDefault="00346807" w:rsidP="00F0577A">
            <w:pPr>
              <w:rPr>
                <w:rFonts w:cs="Arial"/>
                <w:color w:val="000000" w:themeColor="text1"/>
                <w:szCs w:val="16"/>
              </w:rPr>
            </w:pPr>
          </w:p>
        </w:tc>
        <w:tc>
          <w:tcPr>
            <w:tcW w:w="386" w:type="pct"/>
            <w:shd w:val="clear" w:color="auto" w:fill="auto"/>
          </w:tcPr>
          <w:p w14:paraId="03F3F0EE" w14:textId="77777777" w:rsidR="00346807" w:rsidRPr="005C29F8" w:rsidRDefault="00346807" w:rsidP="00F0577A">
            <w:pPr>
              <w:rPr>
                <w:rFonts w:cs="Arial"/>
                <w:color w:val="000000" w:themeColor="text1"/>
                <w:szCs w:val="16"/>
              </w:rPr>
            </w:pPr>
          </w:p>
        </w:tc>
        <w:tc>
          <w:tcPr>
            <w:tcW w:w="387" w:type="pct"/>
            <w:shd w:val="clear" w:color="auto" w:fill="auto"/>
          </w:tcPr>
          <w:p w14:paraId="406E9C9F" w14:textId="77777777" w:rsidR="00346807" w:rsidRPr="005C29F8" w:rsidRDefault="00346807" w:rsidP="00F0577A">
            <w:pPr>
              <w:rPr>
                <w:rFonts w:cs="Arial"/>
                <w:color w:val="000000" w:themeColor="text1"/>
                <w:szCs w:val="16"/>
              </w:rPr>
            </w:pPr>
          </w:p>
        </w:tc>
        <w:tc>
          <w:tcPr>
            <w:tcW w:w="386" w:type="pct"/>
            <w:shd w:val="clear" w:color="auto" w:fill="auto"/>
          </w:tcPr>
          <w:p w14:paraId="6E7B6882" w14:textId="77777777" w:rsidR="00346807" w:rsidRPr="005C29F8" w:rsidRDefault="00346807" w:rsidP="00F0577A">
            <w:pPr>
              <w:rPr>
                <w:rFonts w:cs="Arial"/>
                <w:color w:val="000000" w:themeColor="text1"/>
                <w:szCs w:val="16"/>
              </w:rPr>
            </w:pPr>
          </w:p>
        </w:tc>
        <w:tc>
          <w:tcPr>
            <w:tcW w:w="386" w:type="pct"/>
            <w:shd w:val="clear" w:color="auto" w:fill="auto"/>
          </w:tcPr>
          <w:p w14:paraId="0F6540E2" w14:textId="77777777" w:rsidR="00346807" w:rsidRPr="005C29F8" w:rsidRDefault="00346807" w:rsidP="00F0577A">
            <w:pPr>
              <w:rPr>
                <w:rFonts w:cs="Arial"/>
                <w:color w:val="000000" w:themeColor="text1"/>
                <w:szCs w:val="16"/>
              </w:rPr>
            </w:pPr>
          </w:p>
        </w:tc>
        <w:tc>
          <w:tcPr>
            <w:tcW w:w="391" w:type="pct"/>
            <w:shd w:val="clear" w:color="auto" w:fill="auto"/>
          </w:tcPr>
          <w:p w14:paraId="3A76E91B" w14:textId="77777777" w:rsidR="00346807" w:rsidRPr="005C29F8" w:rsidRDefault="00346807" w:rsidP="00F0577A">
            <w:pPr>
              <w:rPr>
                <w:rFonts w:cs="Arial"/>
                <w:color w:val="000000" w:themeColor="text1"/>
                <w:szCs w:val="16"/>
              </w:rPr>
            </w:pPr>
          </w:p>
        </w:tc>
      </w:tr>
      <w:tr w:rsidR="005C29F8" w:rsidRPr="005C29F8" w14:paraId="49E31891" w14:textId="77777777" w:rsidTr="00044B5C">
        <w:tc>
          <w:tcPr>
            <w:tcW w:w="747" w:type="pct"/>
            <w:shd w:val="clear" w:color="auto" w:fill="auto"/>
          </w:tcPr>
          <w:p w14:paraId="79A33FBE" w14:textId="77777777" w:rsidR="00346807" w:rsidRPr="005C29F8" w:rsidRDefault="00346807" w:rsidP="00F0577A">
            <w:pPr>
              <w:rPr>
                <w:rFonts w:cs="Arial"/>
                <w:color w:val="000000" w:themeColor="text1"/>
                <w:szCs w:val="16"/>
              </w:rPr>
            </w:pPr>
            <w:r w:rsidRPr="005C29F8">
              <w:rPr>
                <w:rFonts w:cs="Arial"/>
                <w:color w:val="000000" w:themeColor="text1"/>
                <w:szCs w:val="16"/>
              </w:rPr>
              <w:t>f. IEPs in alternate assessment against alternate standards</w:t>
            </w:r>
          </w:p>
        </w:tc>
        <w:tc>
          <w:tcPr>
            <w:tcW w:w="386" w:type="pct"/>
            <w:shd w:val="clear" w:color="auto" w:fill="auto"/>
          </w:tcPr>
          <w:p w14:paraId="06D1533D" w14:textId="77777777" w:rsidR="00346807" w:rsidRPr="005C29F8" w:rsidRDefault="00346807" w:rsidP="00F0577A">
            <w:pPr>
              <w:rPr>
                <w:rFonts w:cs="Arial"/>
                <w:color w:val="000000" w:themeColor="text1"/>
                <w:szCs w:val="16"/>
              </w:rPr>
            </w:pPr>
          </w:p>
        </w:tc>
        <w:tc>
          <w:tcPr>
            <w:tcW w:w="386" w:type="pct"/>
            <w:shd w:val="clear" w:color="auto" w:fill="auto"/>
          </w:tcPr>
          <w:p w14:paraId="2772FE57" w14:textId="77777777" w:rsidR="00346807" w:rsidRPr="005C29F8" w:rsidRDefault="00346807" w:rsidP="00F0577A">
            <w:pPr>
              <w:rPr>
                <w:rFonts w:cs="Arial"/>
                <w:color w:val="000000" w:themeColor="text1"/>
                <w:szCs w:val="16"/>
              </w:rPr>
            </w:pPr>
          </w:p>
        </w:tc>
        <w:tc>
          <w:tcPr>
            <w:tcW w:w="386" w:type="pct"/>
            <w:shd w:val="clear" w:color="auto" w:fill="auto"/>
          </w:tcPr>
          <w:p w14:paraId="01940568" w14:textId="77777777" w:rsidR="00346807" w:rsidRPr="005C29F8" w:rsidRDefault="00346807" w:rsidP="00F0577A">
            <w:pPr>
              <w:rPr>
                <w:rFonts w:cs="Arial"/>
                <w:color w:val="000000" w:themeColor="text1"/>
                <w:szCs w:val="16"/>
              </w:rPr>
            </w:pPr>
          </w:p>
        </w:tc>
        <w:tc>
          <w:tcPr>
            <w:tcW w:w="387" w:type="pct"/>
            <w:shd w:val="clear" w:color="auto" w:fill="auto"/>
          </w:tcPr>
          <w:p w14:paraId="26A02A4B" w14:textId="77777777" w:rsidR="00346807" w:rsidRPr="005C29F8" w:rsidRDefault="00346807" w:rsidP="00F0577A">
            <w:pPr>
              <w:rPr>
                <w:rFonts w:cs="Arial"/>
                <w:color w:val="000000" w:themeColor="text1"/>
                <w:szCs w:val="16"/>
              </w:rPr>
            </w:pPr>
          </w:p>
        </w:tc>
        <w:tc>
          <w:tcPr>
            <w:tcW w:w="386" w:type="pct"/>
            <w:shd w:val="clear" w:color="auto" w:fill="auto"/>
          </w:tcPr>
          <w:p w14:paraId="69834BF9" w14:textId="77777777" w:rsidR="00346807" w:rsidRPr="005C29F8" w:rsidRDefault="00346807" w:rsidP="00F0577A">
            <w:pPr>
              <w:rPr>
                <w:rFonts w:cs="Arial"/>
                <w:color w:val="000000" w:themeColor="text1"/>
                <w:szCs w:val="16"/>
              </w:rPr>
            </w:pPr>
          </w:p>
        </w:tc>
        <w:tc>
          <w:tcPr>
            <w:tcW w:w="386" w:type="pct"/>
            <w:shd w:val="clear" w:color="auto" w:fill="auto"/>
          </w:tcPr>
          <w:p w14:paraId="6D0674CC" w14:textId="77777777" w:rsidR="00346807" w:rsidRPr="005C29F8" w:rsidRDefault="00346807" w:rsidP="00F0577A">
            <w:pPr>
              <w:rPr>
                <w:rFonts w:cs="Arial"/>
                <w:color w:val="000000" w:themeColor="text1"/>
                <w:szCs w:val="16"/>
              </w:rPr>
            </w:pPr>
          </w:p>
        </w:tc>
        <w:tc>
          <w:tcPr>
            <w:tcW w:w="386" w:type="pct"/>
            <w:shd w:val="clear" w:color="auto" w:fill="auto"/>
          </w:tcPr>
          <w:p w14:paraId="2BBB9678" w14:textId="77777777" w:rsidR="00346807" w:rsidRPr="005C29F8" w:rsidRDefault="00346807" w:rsidP="00F0577A">
            <w:pPr>
              <w:rPr>
                <w:rFonts w:cs="Arial"/>
                <w:color w:val="000000" w:themeColor="text1"/>
                <w:szCs w:val="16"/>
              </w:rPr>
            </w:pPr>
          </w:p>
        </w:tc>
        <w:tc>
          <w:tcPr>
            <w:tcW w:w="387" w:type="pct"/>
            <w:shd w:val="clear" w:color="auto" w:fill="auto"/>
          </w:tcPr>
          <w:p w14:paraId="568843D9" w14:textId="77777777" w:rsidR="00346807" w:rsidRPr="005C29F8" w:rsidRDefault="00346807" w:rsidP="00F0577A">
            <w:pPr>
              <w:rPr>
                <w:rFonts w:cs="Arial"/>
                <w:color w:val="000000" w:themeColor="text1"/>
                <w:szCs w:val="16"/>
              </w:rPr>
            </w:pPr>
          </w:p>
        </w:tc>
        <w:tc>
          <w:tcPr>
            <w:tcW w:w="386" w:type="pct"/>
            <w:shd w:val="clear" w:color="auto" w:fill="auto"/>
          </w:tcPr>
          <w:p w14:paraId="449FB5E5" w14:textId="77777777" w:rsidR="00346807" w:rsidRPr="005C29F8" w:rsidRDefault="00346807" w:rsidP="00F0577A">
            <w:pPr>
              <w:rPr>
                <w:rFonts w:cs="Arial"/>
                <w:color w:val="000000" w:themeColor="text1"/>
                <w:szCs w:val="16"/>
              </w:rPr>
            </w:pPr>
          </w:p>
        </w:tc>
        <w:tc>
          <w:tcPr>
            <w:tcW w:w="386" w:type="pct"/>
            <w:shd w:val="clear" w:color="auto" w:fill="auto"/>
          </w:tcPr>
          <w:p w14:paraId="3E11F8C5" w14:textId="77777777" w:rsidR="00346807" w:rsidRPr="005C29F8" w:rsidRDefault="00346807" w:rsidP="00F0577A">
            <w:pPr>
              <w:rPr>
                <w:rFonts w:cs="Arial"/>
                <w:color w:val="000000" w:themeColor="text1"/>
                <w:szCs w:val="16"/>
              </w:rPr>
            </w:pPr>
          </w:p>
        </w:tc>
        <w:tc>
          <w:tcPr>
            <w:tcW w:w="391" w:type="pct"/>
            <w:shd w:val="clear" w:color="auto" w:fill="auto"/>
          </w:tcPr>
          <w:p w14:paraId="52816A98" w14:textId="77777777" w:rsidR="00346807" w:rsidRPr="005C29F8" w:rsidRDefault="00346807" w:rsidP="00F0577A">
            <w:pPr>
              <w:rPr>
                <w:rFonts w:cs="Arial"/>
                <w:color w:val="000000" w:themeColor="text1"/>
                <w:szCs w:val="16"/>
              </w:rPr>
            </w:pPr>
          </w:p>
        </w:tc>
      </w:tr>
      <w:bookmarkEnd w:id="13"/>
    </w:tbl>
    <w:p w14:paraId="1A4F8ED6" w14:textId="77777777" w:rsidR="00966232" w:rsidRPr="005C29F8" w:rsidRDefault="00966232" w:rsidP="004369B2">
      <w:pPr>
        <w:rPr>
          <w:color w:val="000000" w:themeColor="text1"/>
        </w:rPr>
      </w:pPr>
    </w:p>
    <w:p w14:paraId="1E1876C6" w14:textId="71A59F2E" w:rsidR="00E539AB" w:rsidRDefault="00EC46E4" w:rsidP="004369B2">
      <w:pPr>
        <w:rPr>
          <w:b/>
          <w:color w:val="000000" w:themeColor="text1"/>
        </w:rPr>
      </w:pPr>
      <w:r w:rsidRPr="005C29F8">
        <w:rPr>
          <w:b/>
          <w:color w:val="000000" w:themeColor="text1"/>
        </w:rPr>
        <w:t>FFY 2019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BFFYAPRDATARLA"/>
      </w:tblPr>
      <w:tblGrid>
        <w:gridCol w:w="696"/>
        <w:gridCol w:w="900"/>
        <w:gridCol w:w="1413"/>
        <w:gridCol w:w="1286"/>
        <w:gridCol w:w="1179"/>
        <w:gridCol w:w="1645"/>
        <w:gridCol w:w="1084"/>
        <w:gridCol w:w="1311"/>
        <w:gridCol w:w="1276"/>
      </w:tblGrid>
      <w:tr w:rsidR="005C29F8" w:rsidRPr="005C29F8" w14:paraId="52CF9222" w14:textId="5C9FC6C2" w:rsidTr="0033429D">
        <w:trPr>
          <w:tblHeader/>
        </w:trPr>
        <w:tc>
          <w:tcPr>
            <w:tcW w:w="290" w:type="pct"/>
            <w:shd w:val="clear" w:color="auto" w:fill="auto"/>
            <w:vAlign w:val="bottom"/>
          </w:tcPr>
          <w:p w14:paraId="5B0C0A4E" w14:textId="31160362" w:rsidR="004E1F6F" w:rsidRPr="005C29F8" w:rsidRDefault="004E1F6F" w:rsidP="004369B2">
            <w:pPr>
              <w:jc w:val="center"/>
              <w:rPr>
                <w:b/>
                <w:color w:val="000000" w:themeColor="text1"/>
              </w:rPr>
            </w:pPr>
            <w:r w:rsidRPr="005C29F8">
              <w:rPr>
                <w:b/>
                <w:color w:val="000000" w:themeColor="text1"/>
              </w:rPr>
              <w:t>Group</w:t>
            </w:r>
          </w:p>
        </w:tc>
        <w:tc>
          <w:tcPr>
            <w:tcW w:w="421" w:type="pct"/>
            <w:shd w:val="clear" w:color="auto" w:fill="auto"/>
            <w:vAlign w:val="bottom"/>
          </w:tcPr>
          <w:p w14:paraId="08D526E5" w14:textId="4BDB327D" w:rsidR="004E1F6F" w:rsidRPr="005C29F8" w:rsidRDefault="004E1F6F" w:rsidP="004369B2">
            <w:pPr>
              <w:jc w:val="center"/>
              <w:rPr>
                <w:b/>
                <w:color w:val="000000" w:themeColor="text1"/>
              </w:rPr>
            </w:pPr>
            <w:r w:rsidRPr="005C29F8">
              <w:rPr>
                <w:b/>
                <w:color w:val="000000" w:themeColor="text1"/>
              </w:rPr>
              <w:t>Group Name</w:t>
            </w:r>
          </w:p>
        </w:tc>
        <w:tc>
          <w:tcPr>
            <w:tcW w:w="659" w:type="pct"/>
            <w:shd w:val="clear" w:color="auto" w:fill="auto"/>
            <w:vAlign w:val="bottom"/>
          </w:tcPr>
          <w:p w14:paraId="198DD72E" w14:textId="17A750D8" w:rsidR="004E1F6F" w:rsidRPr="005C29F8" w:rsidRDefault="004E1F6F" w:rsidP="004369B2">
            <w:pPr>
              <w:jc w:val="center"/>
              <w:rPr>
                <w:b/>
                <w:color w:val="000000" w:themeColor="text1"/>
              </w:rPr>
            </w:pPr>
            <w:r w:rsidRPr="005C29F8">
              <w:rPr>
                <w:b/>
                <w:color w:val="000000" w:themeColor="text1"/>
              </w:rPr>
              <w:t>Number of Children with IEPs</w:t>
            </w:r>
          </w:p>
        </w:tc>
        <w:tc>
          <w:tcPr>
            <w:tcW w:w="600" w:type="pct"/>
            <w:shd w:val="clear" w:color="auto" w:fill="auto"/>
            <w:vAlign w:val="bottom"/>
          </w:tcPr>
          <w:p w14:paraId="43067EB5" w14:textId="4D999FA2" w:rsidR="004E1F6F" w:rsidRPr="005C29F8" w:rsidRDefault="004E1F6F" w:rsidP="004369B2">
            <w:pPr>
              <w:jc w:val="center"/>
              <w:rPr>
                <w:b/>
                <w:color w:val="000000" w:themeColor="text1"/>
              </w:rPr>
            </w:pPr>
            <w:r w:rsidRPr="005C29F8">
              <w:rPr>
                <w:b/>
                <w:color w:val="000000" w:themeColor="text1"/>
              </w:rPr>
              <w:t>Number of Children with IEPs Participating</w:t>
            </w:r>
          </w:p>
        </w:tc>
        <w:tc>
          <w:tcPr>
            <w:tcW w:w="550" w:type="pct"/>
            <w:shd w:val="clear" w:color="auto" w:fill="auto"/>
            <w:vAlign w:val="bottom"/>
          </w:tcPr>
          <w:p w14:paraId="18374487" w14:textId="79D88D63" w:rsidR="004E1F6F" w:rsidRPr="005C29F8" w:rsidRDefault="004E1F6F" w:rsidP="004369B2">
            <w:pPr>
              <w:jc w:val="center"/>
              <w:rPr>
                <w:b/>
                <w:color w:val="000000" w:themeColor="text1"/>
              </w:rPr>
            </w:pPr>
            <w:r w:rsidRPr="005C29F8">
              <w:rPr>
                <w:b/>
                <w:color w:val="000000" w:themeColor="text1"/>
              </w:rPr>
              <w:t>FFY 2018 Data</w:t>
            </w:r>
          </w:p>
        </w:tc>
        <w:tc>
          <w:tcPr>
            <w:tcW w:w="766" w:type="pct"/>
            <w:shd w:val="clear" w:color="auto" w:fill="auto"/>
            <w:vAlign w:val="bottom"/>
          </w:tcPr>
          <w:p w14:paraId="3E51680E" w14:textId="03B4FB8A" w:rsidR="004E1F6F" w:rsidRPr="005C29F8" w:rsidRDefault="004E1F6F" w:rsidP="004369B2">
            <w:pPr>
              <w:jc w:val="center"/>
              <w:rPr>
                <w:b/>
                <w:color w:val="000000" w:themeColor="text1"/>
              </w:rPr>
            </w:pPr>
            <w:r w:rsidRPr="005C29F8">
              <w:rPr>
                <w:b/>
                <w:color w:val="000000" w:themeColor="text1"/>
              </w:rPr>
              <w:t>FFY 2019 Target</w:t>
            </w:r>
          </w:p>
        </w:tc>
        <w:tc>
          <w:tcPr>
            <w:tcW w:w="506" w:type="pct"/>
            <w:shd w:val="clear" w:color="auto" w:fill="auto"/>
            <w:vAlign w:val="bottom"/>
          </w:tcPr>
          <w:p w14:paraId="29685ECA" w14:textId="51229840" w:rsidR="004E1F6F" w:rsidRPr="005C29F8" w:rsidRDefault="004E1F6F" w:rsidP="004369B2">
            <w:pPr>
              <w:jc w:val="center"/>
              <w:rPr>
                <w:b/>
                <w:color w:val="000000" w:themeColor="text1"/>
              </w:rPr>
            </w:pPr>
            <w:r w:rsidRPr="005C29F8">
              <w:rPr>
                <w:b/>
                <w:color w:val="000000" w:themeColor="text1"/>
              </w:rPr>
              <w:t>FFY 2019 Data</w:t>
            </w:r>
          </w:p>
        </w:tc>
        <w:tc>
          <w:tcPr>
            <w:tcW w:w="611" w:type="pct"/>
            <w:shd w:val="clear" w:color="auto" w:fill="auto"/>
            <w:vAlign w:val="bottom"/>
          </w:tcPr>
          <w:p w14:paraId="5E9D6295" w14:textId="7F28EB50" w:rsidR="004E1F6F" w:rsidRPr="005C29F8" w:rsidRDefault="004E1F6F" w:rsidP="004369B2">
            <w:pPr>
              <w:jc w:val="center"/>
              <w:rPr>
                <w:b/>
                <w:color w:val="000000" w:themeColor="text1"/>
              </w:rPr>
            </w:pPr>
            <w:r w:rsidRPr="005C29F8">
              <w:rPr>
                <w:b/>
                <w:color w:val="000000" w:themeColor="text1"/>
              </w:rPr>
              <w:t>Status</w:t>
            </w:r>
          </w:p>
        </w:tc>
        <w:tc>
          <w:tcPr>
            <w:tcW w:w="595" w:type="pct"/>
            <w:shd w:val="clear" w:color="auto" w:fill="auto"/>
            <w:vAlign w:val="bottom"/>
          </w:tcPr>
          <w:p w14:paraId="7898EF38" w14:textId="75DFA010" w:rsidR="004E1F6F" w:rsidRPr="005C29F8" w:rsidRDefault="004E1F6F" w:rsidP="004369B2">
            <w:pPr>
              <w:jc w:val="center"/>
              <w:rPr>
                <w:b/>
                <w:color w:val="000000" w:themeColor="text1"/>
              </w:rPr>
            </w:pPr>
            <w:r w:rsidRPr="005C29F8">
              <w:rPr>
                <w:b/>
                <w:color w:val="000000" w:themeColor="text1"/>
              </w:rPr>
              <w:t>Slippage</w:t>
            </w:r>
          </w:p>
        </w:tc>
      </w:tr>
      <w:tr w:rsidR="005C29F8" w:rsidRPr="005C29F8" w14:paraId="7760B96D" w14:textId="1E1E2305" w:rsidTr="0033429D">
        <w:tc>
          <w:tcPr>
            <w:tcW w:w="290" w:type="pct"/>
            <w:shd w:val="clear" w:color="auto" w:fill="auto"/>
            <w:vAlign w:val="center"/>
          </w:tcPr>
          <w:p w14:paraId="6F54F4BD" w14:textId="3AB2A2E6" w:rsidR="004E1F6F" w:rsidRPr="005C29F8" w:rsidRDefault="004E1F6F" w:rsidP="004E1F6F">
            <w:pPr>
              <w:pStyle w:val="Default"/>
              <w:jc w:val="center"/>
              <w:rPr>
                <w:rFonts w:eastAsiaTheme="minorHAnsi"/>
                <w:color w:val="000000" w:themeColor="text1"/>
                <w:sz w:val="16"/>
                <w:szCs w:val="16"/>
              </w:rPr>
            </w:pPr>
            <w:r w:rsidRPr="005C29F8">
              <w:rPr>
                <w:b/>
                <w:color w:val="000000" w:themeColor="text1"/>
                <w:sz w:val="16"/>
                <w:szCs w:val="16"/>
              </w:rPr>
              <w:t>A</w:t>
            </w:r>
          </w:p>
        </w:tc>
        <w:tc>
          <w:tcPr>
            <w:tcW w:w="421" w:type="pct"/>
            <w:shd w:val="clear" w:color="auto" w:fill="auto"/>
            <w:vAlign w:val="center"/>
          </w:tcPr>
          <w:p w14:paraId="1AF12AAB" w14:textId="0BCC0A2E" w:rsidR="004E1F6F" w:rsidRPr="005C29F8" w:rsidDel="00DE5045" w:rsidRDefault="004E1F6F" w:rsidP="004E1F6F">
            <w:pPr>
              <w:jc w:val="center"/>
              <w:rPr>
                <w:rFonts w:cs="Arial"/>
                <w:color w:val="000000" w:themeColor="text1"/>
                <w:szCs w:val="16"/>
              </w:rPr>
            </w:pPr>
            <w:r w:rsidRPr="005C29F8">
              <w:rPr>
                <w:rFonts w:cs="Arial"/>
                <w:color w:val="000000" w:themeColor="text1"/>
                <w:szCs w:val="16"/>
              </w:rPr>
              <w:t>Overall</w:t>
            </w:r>
          </w:p>
        </w:tc>
        <w:tc>
          <w:tcPr>
            <w:tcW w:w="659" w:type="pct"/>
            <w:shd w:val="clear" w:color="auto" w:fill="auto"/>
            <w:vAlign w:val="center"/>
          </w:tcPr>
          <w:p w14:paraId="0D75EC1C" w14:textId="4759AE54" w:rsidR="004E1F6F" w:rsidRPr="005C29F8" w:rsidRDefault="004E1F6F" w:rsidP="004E1F6F">
            <w:pPr>
              <w:jc w:val="center"/>
              <w:rPr>
                <w:rFonts w:cs="Arial"/>
                <w:color w:val="000000" w:themeColor="text1"/>
                <w:szCs w:val="16"/>
              </w:rPr>
            </w:pPr>
          </w:p>
        </w:tc>
        <w:tc>
          <w:tcPr>
            <w:tcW w:w="600" w:type="pct"/>
            <w:shd w:val="clear" w:color="auto" w:fill="auto"/>
            <w:vAlign w:val="center"/>
          </w:tcPr>
          <w:p w14:paraId="7E6A021B" w14:textId="0871405F" w:rsidR="004E1F6F" w:rsidRPr="005C29F8" w:rsidRDefault="004E1F6F" w:rsidP="004E1F6F">
            <w:pPr>
              <w:jc w:val="center"/>
              <w:rPr>
                <w:rFonts w:cs="Arial"/>
                <w:color w:val="000000" w:themeColor="text1"/>
                <w:szCs w:val="16"/>
              </w:rPr>
            </w:pPr>
          </w:p>
        </w:tc>
        <w:tc>
          <w:tcPr>
            <w:tcW w:w="550" w:type="pct"/>
            <w:shd w:val="clear" w:color="auto" w:fill="auto"/>
            <w:vAlign w:val="center"/>
          </w:tcPr>
          <w:p w14:paraId="69FD37B5" w14:textId="09B40B87" w:rsidR="004E1F6F" w:rsidRPr="005C29F8" w:rsidRDefault="004E1F6F" w:rsidP="004E1F6F">
            <w:pPr>
              <w:jc w:val="center"/>
              <w:rPr>
                <w:rFonts w:cs="Arial"/>
                <w:color w:val="000000" w:themeColor="text1"/>
                <w:szCs w:val="16"/>
              </w:rPr>
            </w:pPr>
            <w:r w:rsidRPr="005C29F8">
              <w:rPr>
                <w:rFonts w:cs="Arial"/>
                <w:color w:val="000000" w:themeColor="text1"/>
                <w:szCs w:val="16"/>
              </w:rPr>
              <w:t>98.46%</w:t>
            </w:r>
          </w:p>
        </w:tc>
        <w:tc>
          <w:tcPr>
            <w:tcW w:w="766" w:type="pct"/>
            <w:shd w:val="clear" w:color="auto" w:fill="auto"/>
            <w:vAlign w:val="center"/>
          </w:tcPr>
          <w:p w14:paraId="482B7D09" w14:textId="62AFAA78" w:rsidR="004E1F6F" w:rsidRPr="005C29F8" w:rsidRDefault="004E1F6F" w:rsidP="004E1F6F">
            <w:pPr>
              <w:jc w:val="center"/>
              <w:rPr>
                <w:rFonts w:cs="Arial"/>
                <w:color w:val="000000" w:themeColor="text1"/>
                <w:szCs w:val="16"/>
              </w:rPr>
            </w:pPr>
            <w:r w:rsidRPr="005C29F8">
              <w:rPr>
                <w:rFonts w:cs="Arial"/>
                <w:color w:val="000000" w:themeColor="text1"/>
                <w:szCs w:val="16"/>
              </w:rPr>
              <w:t>99.00%</w:t>
            </w:r>
          </w:p>
        </w:tc>
        <w:tc>
          <w:tcPr>
            <w:tcW w:w="506" w:type="pct"/>
            <w:shd w:val="clear" w:color="auto" w:fill="auto"/>
            <w:vAlign w:val="center"/>
          </w:tcPr>
          <w:p w14:paraId="120D94C1" w14:textId="45B7E096" w:rsidR="004E1F6F" w:rsidRPr="005C29F8" w:rsidRDefault="004E1F6F" w:rsidP="004E1F6F">
            <w:pPr>
              <w:jc w:val="center"/>
              <w:rPr>
                <w:rFonts w:cs="Arial"/>
                <w:color w:val="000000" w:themeColor="text1"/>
                <w:szCs w:val="16"/>
              </w:rPr>
            </w:pPr>
          </w:p>
        </w:tc>
        <w:tc>
          <w:tcPr>
            <w:tcW w:w="611" w:type="pct"/>
            <w:shd w:val="clear" w:color="auto" w:fill="auto"/>
            <w:vAlign w:val="center"/>
          </w:tcPr>
          <w:p w14:paraId="4C985877" w14:textId="6C415586" w:rsidR="004E1F6F" w:rsidRPr="005C29F8" w:rsidRDefault="004E1F6F" w:rsidP="004E1F6F">
            <w:pPr>
              <w:jc w:val="center"/>
              <w:rPr>
                <w:rFonts w:cs="Arial"/>
                <w:color w:val="000000" w:themeColor="text1"/>
                <w:szCs w:val="16"/>
              </w:rPr>
            </w:pPr>
            <w:r w:rsidRPr="005C29F8">
              <w:rPr>
                <w:rFonts w:cs="Arial"/>
                <w:color w:val="000000" w:themeColor="text1"/>
                <w:szCs w:val="16"/>
              </w:rPr>
              <w:t>N/A</w:t>
            </w:r>
          </w:p>
        </w:tc>
        <w:tc>
          <w:tcPr>
            <w:tcW w:w="595" w:type="pct"/>
            <w:shd w:val="clear" w:color="auto" w:fill="auto"/>
            <w:vAlign w:val="center"/>
          </w:tcPr>
          <w:p w14:paraId="05322B0C" w14:textId="7DA1FCC0" w:rsidR="004E1F6F" w:rsidRPr="005C29F8" w:rsidRDefault="004E1F6F" w:rsidP="004E1F6F">
            <w:pPr>
              <w:jc w:val="center"/>
              <w:rPr>
                <w:rFonts w:cs="Arial"/>
                <w:color w:val="000000" w:themeColor="text1"/>
                <w:szCs w:val="16"/>
              </w:rPr>
            </w:pPr>
            <w:r w:rsidRPr="005C29F8">
              <w:rPr>
                <w:rFonts w:cs="Arial"/>
                <w:color w:val="000000" w:themeColor="text1"/>
                <w:szCs w:val="16"/>
              </w:rPr>
              <w:t>N/A</w:t>
            </w:r>
          </w:p>
        </w:tc>
      </w:tr>
    </w:tbl>
    <w:p w14:paraId="0EBD556E" w14:textId="365ECBA6" w:rsidR="004D0044" w:rsidRPr="005004AB" w:rsidRDefault="004D0044" w:rsidP="002423F2">
      <w:pPr>
        <w:rPr>
          <w:rFonts w:cs="Arial"/>
          <w:iCs/>
          <w:color w:val="000000" w:themeColor="text1"/>
          <w:szCs w:val="16"/>
        </w:rPr>
      </w:pPr>
    </w:p>
    <w:p w14:paraId="1E0C977F" w14:textId="77777777" w:rsidR="005004AB" w:rsidRPr="005C29F8" w:rsidRDefault="005004AB" w:rsidP="005004AB">
      <w:pPr>
        <w:rPr>
          <w:color w:val="000000" w:themeColor="text1"/>
        </w:rPr>
      </w:pPr>
    </w:p>
    <w:p w14:paraId="324457C6" w14:textId="3737B527" w:rsidR="00497DE4" w:rsidRDefault="00497DE4" w:rsidP="004369B2">
      <w:pPr>
        <w:rPr>
          <w:b/>
          <w:color w:val="000000" w:themeColor="text1"/>
        </w:rPr>
      </w:pPr>
      <w:r w:rsidRPr="005C29F8">
        <w:rPr>
          <w:b/>
          <w:color w:val="000000" w:themeColor="text1"/>
        </w:rPr>
        <w:t>FFY 2019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BFFYAPRDATAMATHASS"/>
      </w:tblPr>
      <w:tblGrid>
        <w:gridCol w:w="696"/>
        <w:gridCol w:w="1019"/>
        <w:gridCol w:w="1395"/>
        <w:gridCol w:w="1270"/>
        <w:gridCol w:w="1162"/>
        <w:gridCol w:w="1626"/>
        <w:gridCol w:w="1069"/>
        <w:gridCol w:w="1294"/>
        <w:gridCol w:w="1259"/>
      </w:tblGrid>
      <w:tr w:rsidR="005C29F8" w:rsidRPr="005C29F8" w14:paraId="1ECD1184" w14:textId="77777777" w:rsidTr="005004AB">
        <w:trPr>
          <w:tblHeader/>
        </w:trPr>
        <w:tc>
          <w:tcPr>
            <w:tcW w:w="222" w:type="pct"/>
            <w:shd w:val="clear" w:color="auto" w:fill="auto"/>
            <w:vAlign w:val="bottom"/>
          </w:tcPr>
          <w:p w14:paraId="2B938423" w14:textId="01A79B33" w:rsidR="004E1F6F" w:rsidRPr="005C29F8" w:rsidRDefault="004E1F6F" w:rsidP="004369B2">
            <w:pPr>
              <w:jc w:val="center"/>
              <w:rPr>
                <w:b/>
                <w:color w:val="000000" w:themeColor="text1"/>
              </w:rPr>
            </w:pPr>
            <w:r w:rsidRPr="005C29F8">
              <w:rPr>
                <w:b/>
                <w:color w:val="000000" w:themeColor="text1"/>
              </w:rPr>
              <w:t>Group</w:t>
            </w:r>
          </w:p>
        </w:tc>
        <w:tc>
          <w:tcPr>
            <w:tcW w:w="485" w:type="pct"/>
            <w:shd w:val="clear" w:color="auto" w:fill="auto"/>
            <w:vAlign w:val="bottom"/>
          </w:tcPr>
          <w:p w14:paraId="45BFCF3F" w14:textId="3F4AB58B" w:rsidR="004E1F6F" w:rsidRPr="005C29F8" w:rsidRDefault="004E1F6F" w:rsidP="004369B2">
            <w:pPr>
              <w:jc w:val="center"/>
              <w:rPr>
                <w:b/>
                <w:color w:val="000000" w:themeColor="text1"/>
              </w:rPr>
            </w:pPr>
            <w:r w:rsidRPr="005C29F8">
              <w:rPr>
                <w:b/>
                <w:color w:val="000000" w:themeColor="text1"/>
              </w:rPr>
              <w:t>Group Name</w:t>
            </w:r>
          </w:p>
        </w:tc>
        <w:tc>
          <w:tcPr>
            <w:tcW w:w="659" w:type="pct"/>
            <w:shd w:val="clear" w:color="auto" w:fill="auto"/>
            <w:vAlign w:val="bottom"/>
          </w:tcPr>
          <w:p w14:paraId="5541073C" w14:textId="3E03CB36" w:rsidR="004E1F6F" w:rsidRPr="005C29F8" w:rsidRDefault="004E1F6F" w:rsidP="004369B2">
            <w:pPr>
              <w:jc w:val="center"/>
              <w:rPr>
                <w:b/>
                <w:color w:val="000000" w:themeColor="text1"/>
              </w:rPr>
            </w:pPr>
            <w:r w:rsidRPr="005C29F8">
              <w:rPr>
                <w:b/>
                <w:color w:val="000000" w:themeColor="text1"/>
              </w:rPr>
              <w:t>Number of Children with IEPs</w:t>
            </w:r>
          </w:p>
        </w:tc>
        <w:tc>
          <w:tcPr>
            <w:tcW w:w="601" w:type="pct"/>
            <w:shd w:val="clear" w:color="auto" w:fill="auto"/>
            <w:vAlign w:val="bottom"/>
          </w:tcPr>
          <w:p w14:paraId="3ABF5E71" w14:textId="26323B68" w:rsidR="004E1F6F" w:rsidRPr="005C29F8" w:rsidRDefault="004E1F6F" w:rsidP="004369B2">
            <w:pPr>
              <w:jc w:val="center"/>
              <w:rPr>
                <w:b/>
                <w:color w:val="000000" w:themeColor="text1"/>
              </w:rPr>
            </w:pPr>
            <w:r w:rsidRPr="005C29F8">
              <w:rPr>
                <w:b/>
                <w:color w:val="000000" w:themeColor="text1"/>
              </w:rPr>
              <w:t>Number of Children with IEPs Participating</w:t>
            </w:r>
          </w:p>
        </w:tc>
        <w:tc>
          <w:tcPr>
            <w:tcW w:w="551" w:type="pct"/>
            <w:shd w:val="clear" w:color="auto" w:fill="auto"/>
            <w:vAlign w:val="bottom"/>
          </w:tcPr>
          <w:p w14:paraId="5A96E021" w14:textId="6F2D7434" w:rsidR="004E1F6F" w:rsidRPr="005C29F8" w:rsidRDefault="004E1F6F" w:rsidP="004369B2">
            <w:pPr>
              <w:jc w:val="center"/>
              <w:rPr>
                <w:b/>
                <w:color w:val="000000" w:themeColor="text1"/>
              </w:rPr>
            </w:pPr>
            <w:r w:rsidRPr="005C29F8">
              <w:rPr>
                <w:b/>
                <w:color w:val="000000" w:themeColor="text1"/>
              </w:rPr>
              <w:t>FFY 2018 Data</w:t>
            </w:r>
          </w:p>
        </w:tc>
        <w:tc>
          <w:tcPr>
            <w:tcW w:w="766" w:type="pct"/>
            <w:shd w:val="clear" w:color="auto" w:fill="auto"/>
            <w:vAlign w:val="bottom"/>
          </w:tcPr>
          <w:p w14:paraId="69212BFA" w14:textId="6B50F1D8" w:rsidR="004E1F6F" w:rsidRPr="005C29F8" w:rsidRDefault="004E1F6F" w:rsidP="004369B2">
            <w:pPr>
              <w:jc w:val="center"/>
              <w:rPr>
                <w:b/>
                <w:color w:val="000000" w:themeColor="text1"/>
              </w:rPr>
            </w:pPr>
            <w:r w:rsidRPr="005C29F8">
              <w:rPr>
                <w:b/>
                <w:color w:val="000000" w:themeColor="text1"/>
              </w:rPr>
              <w:t>FFY 2019 Target</w:t>
            </w:r>
          </w:p>
        </w:tc>
        <w:tc>
          <w:tcPr>
            <w:tcW w:w="508" w:type="pct"/>
            <w:shd w:val="clear" w:color="auto" w:fill="auto"/>
            <w:vAlign w:val="bottom"/>
          </w:tcPr>
          <w:p w14:paraId="38A0F56E" w14:textId="1B5ACDA1" w:rsidR="004E1F6F" w:rsidRPr="005C29F8" w:rsidRDefault="004E1F6F" w:rsidP="004369B2">
            <w:pPr>
              <w:jc w:val="center"/>
              <w:rPr>
                <w:b/>
                <w:color w:val="000000" w:themeColor="text1"/>
              </w:rPr>
            </w:pPr>
            <w:r w:rsidRPr="005C29F8">
              <w:rPr>
                <w:b/>
                <w:color w:val="000000" w:themeColor="text1"/>
              </w:rPr>
              <w:t>FFY 2019 Data</w:t>
            </w:r>
          </w:p>
        </w:tc>
        <w:tc>
          <w:tcPr>
            <w:tcW w:w="612" w:type="pct"/>
            <w:shd w:val="clear" w:color="auto" w:fill="auto"/>
            <w:vAlign w:val="bottom"/>
          </w:tcPr>
          <w:p w14:paraId="11F44E1D" w14:textId="39A61F57" w:rsidR="004E1F6F" w:rsidRPr="005C29F8" w:rsidRDefault="004E1F6F" w:rsidP="004369B2">
            <w:pPr>
              <w:jc w:val="center"/>
              <w:rPr>
                <w:b/>
                <w:color w:val="000000" w:themeColor="text1"/>
              </w:rPr>
            </w:pPr>
            <w:r w:rsidRPr="005C29F8">
              <w:rPr>
                <w:b/>
                <w:color w:val="000000" w:themeColor="text1"/>
              </w:rPr>
              <w:t>Status</w:t>
            </w:r>
          </w:p>
        </w:tc>
        <w:tc>
          <w:tcPr>
            <w:tcW w:w="596" w:type="pct"/>
            <w:shd w:val="clear" w:color="auto" w:fill="auto"/>
            <w:vAlign w:val="bottom"/>
          </w:tcPr>
          <w:p w14:paraId="64655725" w14:textId="350D326F" w:rsidR="004E1F6F" w:rsidRPr="005C29F8" w:rsidRDefault="004E1F6F" w:rsidP="004369B2">
            <w:pPr>
              <w:jc w:val="center"/>
              <w:rPr>
                <w:b/>
                <w:color w:val="000000" w:themeColor="text1"/>
              </w:rPr>
            </w:pPr>
            <w:r w:rsidRPr="005C29F8">
              <w:rPr>
                <w:b/>
                <w:color w:val="000000" w:themeColor="text1"/>
              </w:rPr>
              <w:t>Slippage</w:t>
            </w:r>
          </w:p>
        </w:tc>
      </w:tr>
      <w:tr w:rsidR="005C29F8" w:rsidRPr="005C29F8" w14:paraId="14220C43" w14:textId="77777777" w:rsidTr="0033429D">
        <w:tc>
          <w:tcPr>
            <w:tcW w:w="222" w:type="pct"/>
            <w:shd w:val="clear" w:color="auto" w:fill="auto"/>
            <w:vAlign w:val="center"/>
          </w:tcPr>
          <w:p w14:paraId="16A9CDD2" w14:textId="5DBA3D3A" w:rsidR="004E1F6F" w:rsidRPr="005C29F8" w:rsidRDefault="004E1F6F" w:rsidP="004E1F6F">
            <w:pPr>
              <w:pStyle w:val="Default"/>
              <w:jc w:val="center"/>
              <w:rPr>
                <w:b/>
                <w:color w:val="000000" w:themeColor="text1"/>
                <w:sz w:val="16"/>
                <w:szCs w:val="16"/>
              </w:rPr>
            </w:pPr>
            <w:r w:rsidRPr="005C29F8">
              <w:rPr>
                <w:rFonts w:eastAsiaTheme="minorHAnsi"/>
                <w:b/>
                <w:color w:val="000000" w:themeColor="text1"/>
                <w:sz w:val="16"/>
                <w:szCs w:val="16"/>
              </w:rPr>
              <w:t>A</w:t>
            </w:r>
          </w:p>
        </w:tc>
        <w:tc>
          <w:tcPr>
            <w:tcW w:w="485" w:type="pct"/>
            <w:shd w:val="clear" w:color="auto" w:fill="auto"/>
            <w:vAlign w:val="center"/>
          </w:tcPr>
          <w:p w14:paraId="1392C443" w14:textId="27471772" w:rsidR="004E1F6F" w:rsidRPr="005C29F8" w:rsidDel="00DE5045" w:rsidRDefault="004E1F6F" w:rsidP="004E1F6F">
            <w:pPr>
              <w:jc w:val="center"/>
              <w:rPr>
                <w:rFonts w:cs="Arial"/>
                <w:color w:val="000000" w:themeColor="text1"/>
                <w:szCs w:val="16"/>
              </w:rPr>
            </w:pPr>
            <w:r w:rsidRPr="005C29F8">
              <w:rPr>
                <w:rFonts w:cs="Arial"/>
                <w:color w:val="000000" w:themeColor="text1"/>
                <w:szCs w:val="16"/>
              </w:rPr>
              <w:t>Overall</w:t>
            </w:r>
          </w:p>
        </w:tc>
        <w:tc>
          <w:tcPr>
            <w:tcW w:w="659" w:type="pct"/>
            <w:shd w:val="clear" w:color="auto" w:fill="auto"/>
            <w:vAlign w:val="center"/>
          </w:tcPr>
          <w:p w14:paraId="0B49B780" w14:textId="21FD2762" w:rsidR="004E1F6F" w:rsidRPr="005C29F8" w:rsidRDefault="004E1F6F" w:rsidP="004E1F6F">
            <w:pPr>
              <w:jc w:val="center"/>
              <w:rPr>
                <w:rFonts w:cs="Arial"/>
                <w:color w:val="000000" w:themeColor="text1"/>
                <w:szCs w:val="16"/>
              </w:rPr>
            </w:pPr>
          </w:p>
        </w:tc>
        <w:tc>
          <w:tcPr>
            <w:tcW w:w="601" w:type="pct"/>
            <w:shd w:val="clear" w:color="auto" w:fill="auto"/>
            <w:vAlign w:val="center"/>
          </w:tcPr>
          <w:p w14:paraId="2611648C" w14:textId="4A7DC76D" w:rsidR="004E1F6F" w:rsidRPr="005C29F8" w:rsidRDefault="004E1F6F" w:rsidP="004E1F6F">
            <w:pPr>
              <w:jc w:val="center"/>
              <w:rPr>
                <w:rFonts w:cs="Arial"/>
                <w:color w:val="000000" w:themeColor="text1"/>
                <w:szCs w:val="16"/>
              </w:rPr>
            </w:pPr>
          </w:p>
        </w:tc>
        <w:tc>
          <w:tcPr>
            <w:tcW w:w="551" w:type="pct"/>
            <w:shd w:val="clear" w:color="auto" w:fill="auto"/>
            <w:vAlign w:val="center"/>
          </w:tcPr>
          <w:p w14:paraId="044B076F" w14:textId="2D73EFD2" w:rsidR="004E1F6F" w:rsidRPr="005C29F8" w:rsidRDefault="004E1F6F" w:rsidP="004E1F6F">
            <w:pPr>
              <w:jc w:val="center"/>
              <w:rPr>
                <w:rFonts w:cs="Arial"/>
                <w:color w:val="000000" w:themeColor="text1"/>
                <w:szCs w:val="16"/>
              </w:rPr>
            </w:pPr>
            <w:r w:rsidRPr="005C29F8">
              <w:rPr>
                <w:rFonts w:cs="Arial"/>
                <w:color w:val="000000" w:themeColor="text1"/>
                <w:szCs w:val="16"/>
              </w:rPr>
              <w:t>98.61%</w:t>
            </w:r>
          </w:p>
        </w:tc>
        <w:tc>
          <w:tcPr>
            <w:tcW w:w="766" w:type="pct"/>
            <w:shd w:val="clear" w:color="auto" w:fill="auto"/>
            <w:vAlign w:val="center"/>
          </w:tcPr>
          <w:p w14:paraId="4D68E61F" w14:textId="36DB0B83" w:rsidR="004E1F6F" w:rsidRPr="005C29F8" w:rsidRDefault="004E1F6F" w:rsidP="004E1F6F">
            <w:pPr>
              <w:jc w:val="center"/>
              <w:rPr>
                <w:rFonts w:cs="Arial"/>
                <w:color w:val="000000" w:themeColor="text1"/>
                <w:szCs w:val="16"/>
              </w:rPr>
            </w:pPr>
            <w:r w:rsidRPr="005C29F8">
              <w:rPr>
                <w:rFonts w:cs="Arial"/>
                <w:color w:val="000000" w:themeColor="text1"/>
                <w:szCs w:val="16"/>
              </w:rPr>
              <w:t>99.00%</w:t>
            </w:r>
          </w:p>
        </w:tc>
        <w:tc>
          <w:tcPr>
            <w:tcW w:w="508" w:type="pct"/>
            <w:shd w:val="clear" w:color="auto" w:fill="auto"/>
            <w:vAlign w:val="center"/>
          </w:tcPr>
          <w:p w14:paraId="4C5100F6" w14:textId="23EB35C9" w:rsidR="004E1F6F" w:rsidRPr="005C29F8" w:rsidRDefault="004E1F6F" w:rsidP="004E1F6F">
            <w:pPr>
              <w:jc w:val="center"/>
              <w:rPr>
                <w:rFonts w:cs="Arial"/>
                <w:color w:val="000000" w:themeColor="text1"/>
                <w:szCs w:val="16"/>
              </w:rPr>
            </w:pPr>
          </w:p>
        </w:tc>
        <w:tc>
          <w:tcPr>
            <w:tcW w:w="612" w:type="pct"/>
            <w:shd w:val="clear" w:color="auto" w:fill="auto"/>
            <w:vAlign w:val="center"/>
          </w:tcPr>
          <w:p w14:paraId="5A9EC511" w14:textId="6D6B7DF8" w:rsidR="004E1F6F" w:rsidRPr="005C29F8" w:rsidRDefault="004E1F6F" w:rsidP="004E1F6F">
            <w:pPr>
              <w:jc w:val="center"/>
              <w:rPr>
                <w:rFonts w:cs="Arial"/>
                <w:color w:val="000000" w:themeColor="text1"/>
                <w:szCs w:val="16"/>
              </w:rPr>
            </w:pPr>
            <w:r w:rsidRPr="005C29F8">
              <w:rPr>
                <w:rFonts w:cs="Arial"/>
                <w:color w:val="000000" w:themeColor="text1"/>
                <w:szCs w:val="16"/>
              </w:rPr>
              <w:t>N/A</w:t>
            </w:r>
          </w:p>
        </w:tc>
        <w:tc>
          <w:tcPr>
            <w:tcW w:w="596" w:type="pct"/>
            <w:shd w:val="clear" w:color="auto" w:fill="auto"/>
            <w:vAlign w:val="center"/>
          </w:tcPr>
          <w:p w14:paraId="17FB0601" w14:textId="6AA7FF5B" w:rsidR="004E1F6F" w:rsidRPr="005C29F8" w:rsidRDefault="004E1F6F" w:rsidP="004E1F6F">
            <w:pPr>
              <w:jc w:val="center"/>
              <w:rPr>
                <w:rFonts w:cs="Arial"/>
                <w:color w:val="000000" w:themeColor="text1"/>
                <w:szCs w:val="16"/>
              </w:rPr>
            </w:pPr>
            <w:r w:rsidRPr="005C29F8">
              <w:rPr>
                <w:rFonts w:cs="Arial"/>
                <w:color w:val="000000" w:themeColor="text1"/>
                <w:szCs w:val="16"/>
              </w:rPr>
              <w:t>N/A</w:t>
            </w:r>
          </w:p>
        </w:tc>
      </w:tr>
    </w:tbl>
    <w:p w14:paraId="08CD7761" w14:textId="04E8B6D8" w:rsidR="005004AB" w:rsidRDefault="005004AB" w:rsidP="00580134">
      <w:pPr>
        <w:rPr>
          <w:rFonts w:cs="Arial"/>
          <w:iCs/>
          <w:color w:val="000000" w:themeColor="text1"/>
          <w:szCs w:val="16"/>
        </w:rPr>
      </w:pPr>
    </w:p>
    <w:p w14:paraId="3D6382E8" w14:textId="3FF585D4" w:rsidR="00497DE4" w:rsidRPr="005C29F8" w:rsidRDefault="00497DE4" w:rsidP="004369B2">
      <w:pPr>
        <w:rPr>
          <w:color w:val="000000" w:themeColor="text1"/>
        </w:rPr>
      </w:pPr>
      <w:r w:rsidRPr="005C29F8">
        <w:rPr>
          <w:b/>
          <w:color w:val="000000" w:themeColor="text1"/>
        </w:rPr>
        <w:t>Regulatory Information</w:t>
      </w:r>
    </w:p>
    <w:p w14:paraId="3C6B4961" w14:textId="47AFDEDF" w:rsidR="00497DE4" w:rsidRPr="005C29F8" w:rsidRDefault="00A14B5D" w:rsidP="00552927">
      <w:pPr>
        <w:rPr>
          <w:rFonts w:cs="Arial"/>
          <w:b/>
          <w:color w:val="000000" w:themeColor="text1"/>
          <w:szCs w:val="16"/>
          <w:shd w:val="clear" w:color="auto" w:fill="FFFFFF"/>
        </w:rPr>
      </w:pPr>
      <w:r w:rsidRPr="005C29F8">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5C29F8">
        <w:rPr>
          <w:rFonts w:cs="Arial"/>
          <w:b/>
          <w:color w:val="000000" w:themeColor="text1"/>
          <w:szCs w:val="16"/>
          <w:shd w:val="clear" w:color="auto" w:fill="FFFFFF"/>
        </w:rPr>
        <w:t xml:space="preserve"> </w:t>
      </w:r>
    </w:p>
    <w:p w14:paraId="0071F535" w14:textId="77777777" w:rsidR="00585959" w:rsidRPr="005C29F8" w:rsidRDefault="00585959" w:rsidP="004369B2">
      <w:pPr>
        <w:rPr>
          <w:color w:val="000000" w:themeColor="text1"/>
        </w:rPr>
      </w:pPr>
    </w:p>
    <w:p w14:paraId="36CE185D" w14:textId="50CA6AD9" w:rsidR="000A5A2E" w:rsidRPr="005C29F8" w:rsidRDefault="000A5A2E" w:rsidP="004369B2">
      <w:pPr>
        <w:rPr>
          <w:color w:val="000000" w:themeColor="text1"/>
        </w:rPr>
      </w:pPr>
      <w:r w:rsidRPr="005C29F8">
        <w:rPr>
          <w:b/>
          <w:color w:val="000000" w:themeColor="text1"/>
        </w:rPr>
        <w:t>Public Reporting Information</w:t>
      </w:r>
    </w:p>
    <w:p w14:paraId="09EDA537" w14:textId="77777777" w:rsidR="00E539AB" w:rsidRPr="005C29F8" w:rsidRDefault="00E539AB" w:rsidP="00E539AB">
      <w:pPr>
        <w:rPr>
          <w:rFonts w:cs="Arial"/>
          <w:b/>
          <w:color w:val="000000" w:themeColor="text1"/>
          <w:szCs w:val="16"/>
        </w:rPr>
      </w:pPr>
      <w:r w:rsidRPr="005C29F8">
        <w:rPr>
          <w:rFonts w:cs="Arial"/>
          <w:b/>
          <w:color w:val="000000" w:themeColor="text1"/>
          <w:szCs w:val="16"/>
        </w:rPr>
        <w:t xml:space="preserve">Provide links to the page(s) where you provide public reports of assessment results. </w:t>
      </w:r>
    </w:p>
    <w:p w14:paraId="111DD1A5" w14:textId="0E809EBD" w:rsidR="00A869E9" w:rsidRPr="005C29F8" w:rsidRDefault="002B7490" w:rsidP="00E539AB">
      <w:pPr>
        <w:rPr>
          <w:rFonts w:cs="Arial"/>
          <w:color w:val="000000" w:themeColor="text1"/>
          <w:szCs w:val="16"/>
        </w:rPr>
      </w:pPr>
      <w:r w:rsidRPr="005C29F8">
        <w:rPr>
          <w:rFonts w:cs="Arial"/>
          <w:color w:val="000000" w:themeColor="text1"/>
          <w:szCs w:val="16"/>
        </w:rPr>
        <w:t xml:space="preserve">As required by 34 CFR § 300.160(f), Massachusetts publicly reports on the performance of children with disabilities on statewide assessments with the same frequency and in the same detail as it reports on the assessments of children without disabilities, including participation rates and performance results on regular assessments at the district and school levels. Participation results for students with disabilities, including the participation of students with disabilities at the district and school levels, in regular assessments, with and without accommodations, and in MCAS-Alt assessments are available on the MA DESE website: http://profiles.doe.mass.edu/statereport/participation.aspx.  </w:t>
      </w:r>
      <w:r w:rsidRPr="005C29F8">
        <w:rPr>
          <w:rFonts w:cs="Arial"/>
          <w:color w:val="000000" w:themeColor="text1"/>
          <w:szCs w:val="16"/>
        </w:rPr>
        <w:br/>
        <w:t xml:space="preserve"> </w:t>
      </w:r>
      <w:r w:rsidRPr="005C29F8">
        <w:rPr>
          <w:rFonts w:cs="Arial"/>
          <w:color w:val="000000" w:themeColor="text1"/>
          <w:szCs w:val="16"/>
        </w:rPr>
        <w:br/>
        <w:t xml:space="preserve">Performance results for students with disabilities on the regular state assessment, with and without accommodations and at both the district and school levels, is available on MA DESE’s website at http://profiles.doe.mass.edu/statereport/nextgenmcas.aspx. As of FFY 2018, all students in grades 3-8, and 10 are now taking the Next-Generation MCAS in both reading and mathematics. Performance results for the old legacy MCAS are still available here: http://profiles.doe.mass.edu/statereport/mcas.aspx. The results, on both of these pages, are sortable by report type (district or school), year, grade, school type, and student group, including students with disabilities. To view for different subgroups, including students with disabilities, use the dropdown menus. To view students with disabilities, use the student group menu on the top right of the page to select “Students w/disabilities,” and then click the “View Report” button. To switch between district and school level data, use the “Report Type” menu. Select either “District” or “School,” and then click the “View Report” button.  </w:t>
      </w:r>
      <w:r w:rsidRPr="005C29F8">
        <w:rPr>
          <w:rFonts w:cs="Arial"/>
          <w:color w:val="000000" w:themeColor="text1"/>
          <w:szCs w:val="16"/>
        </w:rPr>
        <w:br/>
        <w:t xml:space="preserve"> </w:t>
      </w:r>
      <w:r w:rsidRPr="005C29F8">
        <w:rPr>
          <w:rFonts w:cs="Arial"/>
          <w:color w:val="000000" w:themeColor="text1"/>
          <w:szCs w:val="16"/>
        </w:rPr>
        <w:br/>
        <w:t xml:space="preserve">MA DESE reports performance results for students with disabilities who participate in the MCAS-Alt in a separate report found here: http://profiles.doe.mass.edu/statereport/mcas_alt.aspx. All students participating in the administration of the MCAS-Alt are students with disabilities. The MCAS-Alt results page is sortable by report type (district or school), year, and subject. To switch between district and school level data, use the “Report Type” menu. Select either “District” or “School,” and then click the “View Report” button. </w:t>
      </w:r>
    </w:p>
    <w:p w14:paraId="2BE473B4" w14:textId="77777777" w:rsidR="00053391" w:rsidRPr="005C29F8" w:rsidRDefault="00053391" w:rsidP="004369B2">
      <w:pPr>
        <w:rPr>
          <w:b/>
          <w:color w:val="000000" w:themeColor="text1"/>
        </w:rPr>
      </w:pPr>
      <w:bookmarkStart w:id="14" w:name="_Toc382082367"/>
      <w:bookmarkStart w:id="15" w:name="_Toc392159276"/>
      <w:r w:rsidRPr="005C29F8">
        <w:rPr>
          <w:b/>
          <w:color w:val="000000" w:themeColor="text1"/>
        </w:rPr>
        <w:t>Provide additional information about this indicator (optional)</w:t>
      </w:r>
    </w:p>
    <w:p w14:paraId="3E9E8793" w14:textId="126D5C73" w:rsidR="00A869E9" w:rsidRPr="005C29F8" w:rsidRDefault="002B7490" w:rsidP="000E33D0">
      <w:pPr>
        <w:rPr>
          <w:rFonts w:cs="Arial"/>
          <w:color w:val="000000" w:themeColor="text1"/>
          <w:szCs w:val="16"/>
        </w:rPr>
      </w:pPr>
      <w:r w:rsidRPr="005C29F8">
        <w:rPr>
          <w:rFonts w:cs="Arial"/>
          <w:color w:val="000000" w:themeColor="text1"/>
          <w:szCs w:val="16"/>
        </w:rPr>
        <w:t>The Massachusetts Department of Elementary and Secondary Education did not administer the Spring 2020 MCAS for the 2019-20 school year due to the cancellation of state assessments and school closures related to COVID-19. MA DESE cannot provide context or comment on the validity, accuracy and completeness of data, because there is no data to report.</w:t>
      </w:r>
      <w:r w:rsidRPr="005C29F8">
        <w:rPr>
          <w:rFonts w:cs="Arial"/>
          <w:color w:val="000000" w:themeColor="text1"/>
          <w:szCs w:val="16"/>
        </w:rPr>
        <w:br/>
        <w:t xml:space="preserve"> </w:t>
      </w:r>
      <w:r w:rsidRPr="005C29F8">
        <w:rPr>
          <w:rFonts w:cs="Arial"/>
          <w:color w:val="000000" w:themeColor="text1"/>
          <w:szCs w:val="16"/>
        </w:rPr>
        <w:br/>
        <w:t>USED Waiver</w:t>
      </w:r>
      <w:r w:rsidRPr="005C29F8">
        <w:rPr>
          <w:rFonts w:cs="Arial"/>
          <w:color w:val="000000" w:themeColor="text1"/>
          <w:szCs w:val="16"/>
        </w:rPr>
        <w:br/>
        <w:t>On March 24, 2020, Massachusetts applied for a wavier from USED to not administer the statewide assessment. On March 27th, 2020, USED granted, based on section 8401(b) of the ESEA, a waiver of the assessment, accountability, and reporting requirements for the 2019-2020 school year for the following:</w:t>
      </w:r>
      <w:r w:rsidRPr="005C29F8">
        <w:rPr>
          <w:rFonts w:cs="Arial"/>
          <w:color w:val="000000" w:themeColor="text1"/>
          <w:szCs w:val="16"/>
        </w:rPr>
        <w:br/>
        <w:t>• Assessment requirements in section 1111(b)(2) for the school year 2019-2020.</w:t>
      </w:r>
      <w:r w:rsidRPr="005C29F8">
        <w:rPr>
          <w:rFonts w:cs="Arial"/>
          <w:color w:val="000000" w:themeColor="text1"/>
          <w:szCs w:val="16"/>
        </w:rPr>
        <w:br/>
        <w:t>• Accountability and school identification requirements in sections 1111(c)(4) and 1111(d)(2)(C)-(D) that are based on data from the 2019-2020 school year.</w:t>
      </w:r>
      <w:r w:rsidRPr="005C29F8">
        <w:rPr>
          <w:rFonts w:cs="Arial"/>
          <w:color w:val="000000" w:themeColor="text1"/>
          <w:szCs w:val="16"/>
        </w:rPr>
        <w:br/>
        <w:t>• Report card provisions related to assessments and accountability in section 1111(h) based on data from the 2019-2020 school year. These include:</w:t>
      </w:r>
      <w:r w:rsidRPr="005C29F8">
        <w:rPr>
          <w:rFonts w:cs="Arial"/>
          <w:color w:val="000000" w:themeColor="text1"/>
          <w:szCs w:val="16"/>
        </w:rPr>
        <w:br/>
        <w:t>1) Section 1111(h)(1)(C)(i) (accountability system description);</w:t>
      </w:r>
      <w:r w:rsidRPr="005C29F8">
        <w:rPr>
          <w:rFonts w:cs="Arial"/>
          <w:color w:val="000000" w:themeColor="text1"/>
          <w:szCs w:val="16"/>
        </w:rPr>
        <w:br/>
        <w:t>2) Section 1111(h)(1)(C)(ii) (assessment results);</w:t>
      </w:r>
      <w:r w:rsidRPr="005C29F8">
        <w:rPr>
          <w:rFonts w:cs="Arial"/>
          <w:color w:val="000000" w:themeColor="text1"/>
          <w:szCs w:val="16"/>
        </w:rPr>
        <w:br/>
        <w:t>3) Section 1111(h)(1)(C)(iii)(I) (other academic indicator results);</w:t>
      </w:r>
      <w:r w:rsidRPr="005C29F8">
        <w:rPr>
          <w:rFonts w:cs="Arial"/>
          <w:color w:val="000000" w:themeColor="text1"/>
          <w:szCs w:val="16"/>
        </w:rPr>
        <w:br/>
        <w:t>4) Section 1111(h)(1)(C)(iv) (English language proficiency results);</w:t>
      </w:r>
      <w:r w:rsidRPr="005C29F8">
        <w:rPr>
          <w:rFonts w:cs="Arial"/>
          <w:color w:val="000000" w:themeColor="text1"/>
          <w:szCs w:val="16"/>
        </w:rPr>
        <w:br/>
        <w:t>5) Section 1111(h)(1)(C)(v) (school quality or student success indicator results);</w:t>
      </w:r>
      <w:r w:rsidRPr="005C29F8">
        <w:rPr>
          <w:rFonts w:cs="Arial"/>
          <w:color w:val="000000" w:themeColor="text1"/>
          <w:szCs w:val="16"/>
        </w:rPr>
        <w:br/>
        <w:t>6) Section 1111(h)(1)(C)(vi) (progress toward meeting long-term goals and measurements of interim progress);</w:t>
      </w:r>
      <w:r w:rsidRPr="005C29F8">
        <w:rPr>
          <w:rFonts w:cs="Arial"/>
          <w:color w:val="000000" w:themeColor="text1"/>
          <w:szCs w:val="16"/>
        </w:rPr>
        <w:br/>
        <w:t>7) Section 1111(h)(1)(C)(vii) (percentage of students assessed and not assessed);</w:t>
      </w:r>
      <w:r w:rsidRPr="005C29F8">
        <w:rPr>
          <w:rFonts w:cs="Arial"/>
          <w:color w:val="000000" w:themeColor="text1"/>
          <w:szCs w:val="16"/>
        </w:rPr>
        <w:br/>
        <w:t>8) Section 1111(h)(1)(C)(xi) (number and percentage of students with the most significant cognitive disabilities taking an alternate assessment); and</w:t>
      </w:r>
      <w:r w:rsidRPr="005C29F8">
        <w:rPr>
          <w:rFonts w:cs="Arial"/>
          <w:color w:val="000000" w:themeColor="text1"/>
          <w:szCs w:val="16"/>
        </w:rPr>
        <w:br/>
        <w:t>9) Section 1111(h)(2)(C) with respect to all waived requirements in section 1111(h)(1)(C) as well as 1111(h)(2)(C)(i)-(ii) (information showing how students in an LEA and each school, respectively, achieved on the academic assessments compared to students in the State and LEA).</w:t>
      </w:r>
      <w:r w:rsidRPr="005C29F8">
        <w:rPr>
          <w:rFonts w:cs="Arial"/>
          <w:color w:val="000000" w:themeColor="text1"/>
          <w:szCs w:val="16"/>
        </w:rPr>
        <w:br/>
      </w:r>
      <w:r w:rsidRPr="005C29F8">
        <w:rPr>
          <w:rFonts w:cs="Arial"/>
          <w:color w:val="000000" w:themeColor="text1"/>
          <w:szCs w:val="16"/>
        </w:rPr>
        <w:br/>
        <w:t>The 1993 Massachusetts Education Reform Law, M.G.L. c. 69, § 1I, mandates that all students educated with Massachusetts public funds participate in MCAS testing. MA DESE regularly updates its student participation requirements, (http://www.doe.mass.edu/mcas/participation.html?section=gr3-8and10) and information about accessibility and accommodations (http://www.doe.mass.edu/mcas/accessibility/) to support students' access to statewide assessments. On Friday, April 10, 2020 (https://malegislature.gov/Bills/191/H4616) the state of Massachusetts passed legislation (H. 4616: An Act to further address challenges faced by municipalities, school districts, and state authorities resulting from COVID-19) that allowed for the cancellation of the MCAS for SY19-20. On the evening of April 10, 2020, Jeffrey C. Riley, Massachusetts Commissioner of Elementary and Secondary Education, made the decision to cancel the MCAS and let all districts know of this decision.</w:t>
      </w:r>
    </w:p>
    <w:p w14:paraId="7E90E47A" w14:textId="1FCF2660" w:rsidR="000A2C83" w:rsidRPr="0033429D" w:rsidRDefault="00573F6C" w:rsidP="008645AD">
      <w:pPr>
        <w:pStyle w:val="Heading2"/>
      </w:pPr>
      <w:r w:rsidRPr="0033429D">
        <w:t>3B</w:t>
      </w:r>
      <w:r w:rsidR="00BB4FD7" w:rsidRPr="0033429D">
        <w:t xml:space="preserve"> </w:t>
      </w:r>
      <w:r w:rsidRPr="0033429D">
        <w:t xml:space="preserve">- </w:t>
      </w:r>
      <w:r w:rsidR="000A2C83" w:rsidRPr="0033429D">
        <w:t>Prior FFY Required Actions</w:t>
      </w:r>
    </w:p>
    <w:p w14:paraId="020116A7" w14:textId="30989224" w:rsidR="00CA1E5A" w:rsidRPr="005C29F8" w:rsidRDefault="002B7490" w:rsidP="000A2C83">
      <w:pPr>
        <w:rPr>
          <w:rFonts w:cs="Arial"/>
          <w:color w:val="000000" w:themeColor="text1"/>
          <w:szCs w:val="16"/>
        </w:rPr>
      </w:pPr>
      <w:r w:rsidRPr="005C29F8">
        <w:rPr>
          <w:rFonts w:cs="Arial"/>
          <w:color w:val="000000" w:themeColor="text1"/>
          <w:szCs w:val="16"/>
        </w:rPr>
        <w:t>None</w:t>
      </w:r>
    </w:p>
    <w:p w14:paraId="40E83F51" w14:textId="68FFF50F" w:rsidR="00053391" w:rsidRPr="0033429D" w:rsidRDefault="00573F6C" w:rsidP="008645AD">
      <w:pPr>
        <w:pStyle w:val="Heading2"/>
      </w:pPr>
      <w:r w:rsidRPr="0033429D">
        <w:lastRenderedPageBreak/>
        <w:t>3B - OSEP Response</w:t>
      </w:r>
    </w:p>
    <w:p w14:paraId="3ED35024" w14:textId="0A8D2725" w:rsidR="00A869E9" w:rsidRPr="005C29F8" w:rsidRDefault="002B7490" w:rsidP="001F692C">
      <w:pPr>
        <w:rPr>
          <w:rFonts w:cs="Arial"/>
          <w:color w:val="000000" w:themeColor="text1"/>
          <w:szCs w:val="16"/>
        </w:rPr>
      </w:pPr>
      <w:r w:rsidRPr="005C29F8">
        <w:rPr>
          <w:rFonts w:cs="Arial"/>
          <w:color w:val="000000" w:themeColor="text1"/>
          <w:szCs w:val="16"/>
          <w:shd w:val="clear" w:color="auto" w:fill="FFFFFF"/>
        </w:rPr>
        <w:t>The State was not required to provide any data for this indicator. Due to the circumstances created by the COVID-19 pandemic, and resulting school closures, the State received a waiver of the assessment requirements in section 1111(b)(2) of the ESEA, and, as a result, does not have any FFY 2019 data for this indicator.</w:t>
      </w:r>
    </w:p>
    <w:p w14:paraId="4E98DE68" w14:textId="3E692587" w:rsidR="00053391" w:rsidRPr="0033429D" w:rsidRDefault="00573F6C" w:rsidP="008645AD">
      <w:pPr>
        <w:pStyle w:val="Heading2"/>
      </w:pPr>
      <w:r w:rsidRPr="0033429D">
        <w:t>3B - Required Actions</w:t>
      </w:r>
    </w:p>
    <w:p w14:paraId="54E3AE73" w14:textId="681577C9" w:rsidR="00A869E9" w:rsidRPr="005C29F8" w:rsidRDefault="00A869E9" w:rsidP="001F692C">
      <w:pPr>
        <w:rPr>
          <w:rFonts w:cs="Arial"/>
          <w:color w:val="000000" w:themeColor="text1"/>
          <w:szCs w:val="16"/>
        </w:rPr>
      </w:pPr>
    </w:p>
    <w:p w14:paraId="4DBC1CB9" w14:textId="77777777" w:rsidR="00D37BF0" w:rsidRPr="005C29F8" w:rsidRDefault="00D37BF0">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162E86A4" w14:textId="004ADC3D" w:rsidR="009D378C" w:rsidRPr="005C29F8" w:rsidRDefault="009D378C">
      <w:pPr>
        <w:pStyle w:val="Heading1"/>
        <w:rPr>
          <w:color w:val="000000" w:themeColor="text1"/>
          <w:sz w:val="22"/>
        </w:rPr>
      </w:pPr>
      <w:r w:rsidRPr="005C29F8">
        <w:rPr>
          <w:color w:val="000000" w:themeColor="text1"/>
          <w:sz w:val="22"/>
        </w:rPr>
        <w:lastRenderedPageBreak/>
        <w:t>Indicator 3C: Proficiency for Students with IEPs</w:t>
      </w:r>
      <w:bookmarkEnd w:id="14"/>
      <w:bookmarkEnd w:id="15"/>
    </w:p>
    <w:p w14:paraId="52EFBCBE" w14:textId="26DA486B" w:rsidR="008878CC" w:rsidRPr="005C29F8" w:rsidRDefault="008878CC" w:rsidP="00A018D4">
      <w:pPr>
        <w:rPr>
          <w:color w:val="000000" w:themeColor="text1"/>
          <w:szCs w:val="20"/>
        </w:rPr>
      </w:pPr>
      <w:r w:rsidRPr="005C29F8">
        <w:rPr>
          <w:b/>
          <w:color w:val="000000" w:themeColor="text1"/>
          <w:sz w:val="20"/>
          <w:szCs w:val="20"/>
        </w:rPr>
        <w:t xml:space="preserve">Instructions and Measurement </w:t>
      </w:r>
    </w:p>
    <w:p w14:paraId="241F1C78" w14:textId="77777777" w:rsidR="000A5A2E" w:rsidRPr="005C29F8" w:rsidRDefault="000A5A2E" w:rsidP="004369B2">
      <w:pPr>
        <w:rPr>
          <w:color w:val="000000" w:themeColor="text1"/>
        </w:rPr>
      </w:pPr>
      <w:bookmarkStart w:id="16" w:name="_Toc384383330"/>
      <w:bookmarkStart w:id="17" w:name="_Toc392159282"/>
      <w:bookmarkStart w:id="18" w:name="_Toc382082372"/>
      <w:r w:rsidRPr="005C29F8">
        <w:rPr>
          <w:b/>
          <w:color w:val="000000" w:themeColor="text1"/>
        </w:rPr>
        <w:t xml:space="preserve">Monitoring Priority: </w:t>
      </w:r>
      <w:r w:rsidRPr="005C29F8">
        <w:rPr>
          <w:color w:val="000000" w:themeColor="text1"/>
        </w:rPr>
        <w:t>FAPE in the LRE</w:t>
      </w:r>
    </w:p>
    <w:p w14:paraId="40B194E0" w14:textId="1AA1580D" w:rsidR="000A5A2E" w:rsidRPr="005C29F8" w:rsidRDefault="000A5A2E" w:rsidP="00552927">
      <w:pPr>
        <w:rPr>
          <w:rFonts w:cs="Arial"/>
          <w:color w:val="000000" w:themeColor="text1"/>
          <w:szCs w:val="16"/>
        </w:rPr>
      </w:pPr>
      <w:r w:rsidRPr="005C29F8">
        <w:rPr>
          <w:rFonts w:cs="Arial"/>
          <w:b/>
          <w:color w:val="000000" w:themeColor="text1"/>
          <w:szCs w:val="16"/>
        </w:rPr>
        <w:t>Results indicator:</w:t>
      </w:r>
      <w:r w:rsidRPr="005C29F8">
        <w:rPr>
          <w:rFonts w:cs="Arial"/>
          <w:color w:val="000000" w:themeColor="text1"/>
          <w:szCs w:val="16"/>
        </w:rPr>
        <w:t xml:space="preserve"> Participation and performance </w:t>
      </w:r>
      <w:r w:rsidR="00DA7FAE" w:rsidRPr="005C29F8">
        <w:rPr>
          <w:rFonts w:cs="Arial"/>
          <w:color w:val="000000" w:themeColor="text1"/>
          <w:szCs w:val="16"/>
        </w:rPr>
        <w:t xml:space="preserve">of </w:t>
      </w:r>
      <w:r w:rsidRPr="005C29F8">
        <w:rPr>
          <w:rFonts w:cs="Arial"/>
          <w:color w:val="000000" w:themeColor="text1"/>
          <w:szCs w:val="16"/>
        </w:rPr>
        <w:t>children with IEPs on statewide assessments:</w:t>
      </w:r>
    </w:p>
    <w:p w14:paraId="77A9374E" w14:textId="53BE2CB1" w:rsidR="000A5A2E" w:rsidRPr="005C29F8" w:rsidRDefault="00C516D2" w:rsidP="006A01BD">
      <w:pPr>
        <w:ind w:firstLine="720"/>
        <w:rPr>
          <w:rFonts w:cs="Arial"/>
          <w:color w:val="000000" w:themeColor="text1"/>
          <w:szCs w:val="16"/>
        </w:rPr>
      </w:pPr>
      <w:r w:rsidRPr="005C29F8">
        <w:rPr>
          <w:rFonts w:cs="Arial"/>
          <w:color w:val="000000" w:themeColor="text1"/>
          <w:szCs w:val="16"/>
        </w:rPr>
        <w:t>A. Indicator 3A – Reserved</w:t>
      </w:r>
    </w:p>
    <w:p w14:paraId="31BB94B0" w14:textId="6261B0F5" w:rsidR="000A5A2E" w:rsidRPr="005C29F8" w:rsidRDefault="00C516D2" w:rsidP="006A01BD">
      <w:pPr>
        <w:ind w:firstLine="720"/>
        <w:rPr>
          <w:rFonts w:cs="Arial"/>
          <w:color w:val="000000" w:themeColor="text1"/>
          <w:szCs w:val="16"/>
        </w:rPr>
      </w:pPr>
      <w:r w:rsidRPr="005C29F8">
        <w:rPr>
          <w:rFonts w:cs="Arial"/>
          <w:color w:val="000000" w:themeColor="text1"/>
          <w:szCs w:val="16"/>
        </w:rPr>
        <w:t>B. Participation rate for children with IEPs</w:t>
      </w:r>
    </w:p>
    <w:p w14:paraId="0443E667" w14:textId="5053607C" w:rsidR="000A5A2E" w:rsidRPr="005C29F8" w:rsidRDefault="00C516D2" w:rsidP="006A01BD">
      <w:pPr>
        <w:ind w:firstLine="720"/>
        <w:rPr>
          <w:rFonts w:cs="Arial"/>
          <w:color w:val="000000" w:themeColor="text1"/>
          <w:szCs w:val="16"/>
        </w:rPr>
      </w:pPr>
      <w:r w:rsidRPr="005C29F8">
        <w:rPr>
          <w:rFonts w:cs="Arial"/>
          <w:color w:val="000000" w:themeColor="text1"/>
          <w:szCs w:val="16"/>
        </w:rPr>
        <w:t>C. Proficiency rate for children with IEPs against grade level and alternate academic achievement standards.</w:t>
      </w:r>
    </w:p>
    <w:p w14:paraId="3BEAB551" w14:textId="1740F3BD" w:rsidR="000A5A2E" w:rsidRPr="005C29F8" w:rsidRDefault="0011074D" w:rsidP="000A5A2E">
      <w:pPr>
        <w:rPr>
          <w:rFonts w:cs="Arial"/>
          <w:b/>
          <w:color w:val="000000" w:themeColor="text1"/>
          <w:szCs w:val="16"/>
        </w:rPr>
      </w:pPr>
      <w:r w:rsidRPr="005C29F8">
        <w:rPr>
          <w:rFonts w:cs="Arial"/>
          <w:color w:val="000000" w:themeColor="text1"/>
          <w:szCs w:val="16"/>
        </w:rPr>
        <w:t>(20 U.S.C. 1416 (a)(3)(A))</w:t>
      </w:r>
    </w:p>
    <w:p w14:paraId="363AAB3C" w14:textId="77777777" w:rsidR="000A5A2E" w:rsidRPr="005C29F8" w:rsidRDefault="000A5A2E" w:rsidP="004369B2">
      <w:pPr>
        <w:rPr>
          <w:color w:val="000000" w:themeColor="text1"/>
        </w:rPr>
      </w:pPr>
      <w:r w:rsidRPr="005C29F8">
        <w:rPr>
          <w:b/>
          <w:color w:val="000000" w:themeColor="text1"/>
        </w:rPr>
        <w:t>Data Source</w:t>
      </w:r>
    </w:p>
    <w:p w14:paraId="274B140A" w14:textId="3ABBB221" w:rsidR="000A5A2E" w:rsidRPr="005C29F8" w:rsidRDefault="000A5A2E" w:rsidP="00552927">
      <w:pPr>
        <w:rPr>
          <w:rFonts w:cs="Arial"/>
          <w:color w:val="000000" w:themeColor="text1"/>
          <w:szCs w:val="16"/>
        </w:rPr>
      </w:pPr>
      <w:r w:rsidRPr="005C29F8">
        <w:rPr>
          <w:rFonts w:cs="Arial"/>
          <w:color w:val="000000" w:themeColor="text1"/>
          <w:szCs w:val="16"/>
        </w:rPr>
        <w:t>3C. Same data as used for reporting to the Department under Title I of the ESEA, using EDFacts file specifications FS175 and 178.</w:t>
      </w:r>
    </w:p>
    <w:p w14:paraId="064C7F6E" w14:textId="77777777" w:rsidR="000A5A2E" w:rsidRPr="005C29F8" w:rsidRDefault="000A5A2E" w:rsidP="004369B2">
      <w:pPr>
        <w:rPr>
          <w:color w:val="000000" w:themeColor="text1"/>
        </w:rPr>
      </w:pPr>
      <w:r w:rsidRPr="005C29F8">
        <w:rPr>
          <w:b/>
          <w:color w:val="000000" w:themeColor="text1"/>
        </w:rPr>
        <w:t>Measurement</w:t>
      </w:r>
    </w:p>
    <w:p w14:paraId="7639A7B8" w14:textId="030A9D64" w:rsidR="000A5A2E" w:rsidRPr="005C29F8" w:rsidRDefault="000A5A2E" w:rsidP="00552927">
      <w:pPr>
        <w:rPr>
          <w:rFonts w:cs="Arial"/>
          <w:color w:val="000000" w:themeColor="text1"/>
          <w:szCs w:val="16"/>
        </w:rPr>
      </w:pPr>
      <w:r w:rsidRPr="005C29F8">
        <w:rPr>
          <w:rFonts w:cs="Arial"/>
          <w:color w:val="000000" w:themeColor="text1"/>
          <w:szCs w:val="16"/>
        </w:rPr>
        <w:t>C. Proficiency rate percent = [(# of children with IEPs scoring at or above proficient against grade level and alternate academic achievement standards) divided by the (total # of children with IEPs who received a valid score and for whom a proficiency level was assigned)]. Calculate separately for reading and math. The proficiency rate includes both children with IEPs enrolled for a full academic year and those not enrolled for a full academic year.</w:t>
      </w:r>
    </w:p>
    <w:p w14:paraId="1CE435A8" w14:textId="77777777" w:rsidR="000A5A2E" w:rsidRPr="005C29F8" w:rsidRDefault="000A5A2E" w:rsidP="004369B2">
      <w:pPr>
        <w:rPr>
          <w:color w:val="000000" w:themeColor="text1"/>
        </w:rPr>
      </w:pPr>
      <w:r w:rsidRPr="005C29F8">
        <w:rPr>
          <w:b/>
          <w:color w:val="000000" w:themeColor="text1"/>
        </w:rPr>
        <w:t>Instructions</w:t>
      </w:r>
    </w:p>
    <w:p w14:paraId="79EB3296" w14:textId="77777777" w:rsidR="000A5A2E" w:rsidRPr="005C29F8" w:rsidRDefault="000A5A2E" w:rsidP="00552927">
      <w:pPr>
        <w:rPr>
          <w:rFonts w:cs="Arial"/>
          <w:color w:val="000000" w:themeColor="text1"/>
          <w:szCs w:val="16"/>
        </w:rPr>
      </w:pPr>
      <w:r w:rsidRPr="005C29F8">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5C29F8" w:rsidRDefault="000A5A2E" w:rsidP="00552927">
      <w:pPr>
        <w:rPr>
          <w:rFonts w:cs="Arial"/>
          <w:color w:val="000000" w:themeColor="text1"/>
          <w:szCs w:val="16"/>
        </w:rPr>
      </w:pPr>
      <w:r w:rsidRPr="005C29F8">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1015A11D" w14:textId="77777777" w:rsidR="000A5A2E" w:rsidRPr="005C29F8" w:rsidRDefault="000A5A2E" w:rsidP="00552927">
      <w:pPr>
        <w:rPr>
          <w:rFonts w:cs="Arial"/>
          <w:color w:val="000000" w:themeColor="text1"/>
          <w:szCs w:val="16"/>
        </w:rPr>
      </w:pPr>
      <w:r w:rsidRPr="005C29F8">
        <w:rPr>
          <w:rFonts w:cs="Arial"/>
          <w:color w:val="000000" w:themeColor="text1"/>
          <w:szCs w:val="16"/>
        </w:rPr>
        <w:t>Indicator 3C: Proficiency calculations in this SPP/APR must result in proficiency rates for reading/language arts and mathematics assessments (combining regular and alternate) for children with IEPs, in all grades assessed (3-8 and high school), including both children with IEPs enrolled for a full academic year and those not enrolled for a full academic year. Only include children with disabilities who had an IEP at the time of testing.</w:t>
      </w:r>
    </w:p>
    <w:p w14:paraId="7CE600A3" w14:textId="62D18727" w:rsidR="001B5210" w:rsidRPr="0033429D" w:rsidRDefault="00573F6C" w:rsidP="008645AD">
      <w:pPr>
        <w:pStyle w:val="Heading2"/>
      </w:pPr>
      <w:r w:rsidRPr="0033429D">
        <w:t>3C</w:t>
      </w:r>
      <w:r w:rsidR="00BB4FD7" w:rsidRPr="0033429D">
        <w:t xml:space="preserve"> </w:t>
      </w:r>
      <w:r w:rsidRPr="0033429D">
        <w:t xml:space="preserve">- </w:t>
      </w:r>
      <w:r w:rsidR="001B5210" w:rsidRPr="0033429D">
        <w:t>Indicator Data</w:t>
      </w:r>
    </w:p>
    <w:p w14:paraId="4B49BFE5" w14:textId="260706EC" w:rsidR="000A5A2E" w:rsidRPr="005C29F8" w:rsidRDefault="000A5A2E" w:rsidP="004369B2">
      <w:pPr>
        <w:rPr>
          <w:color w:val="000000" w:themeColor="text1"/>
        </w:rPr>
      </w:pPr>
      <w:r w:rsidRPr="005C29F8">
        <w:rPr>
          <w:b/>
          <w:color w:val="000000" w:themeColor="text1"/>
        </w:rPr>
        <w:t>Reporting Group Selection</w:t>
      </w:r>
    </w:p>
    <w:p w14:paraId="16D8E255" w14:textId="42EB7DA3" w:rsidR="006D7F77" w:rsidRDefault="007F5071" w:rsidP="00286BDF">
      <w:pPr>
        <w:rPr>
          <w:rFonts w:cs="Arial"/>
          <w:b/>
          <w:color w:val="000000" w:themeColor="text1"/>
          <w:szCs w:val="16"/>
        </w:rPr>
      </w:pPr>
      <w:r w:rsidRPr="005C29F8">
        <w:rPr>
          <w:rFonts w:cs="Arial"/>
          <w:b/>
          <w:color w:val="000000" w:themeColor="text1"/>
          <w:szCs w:val="16"/>
        </w:rPr>
        <w:t>Based on previously reported data, these are the grade groups defined for this indicator.</w:t>
      </w:r>
    </w:p>
    <w:tbl>
      <w:tblPr>
        <w:tblpPr w:leftFromText="180" w:rightFromText="180" w:vertAnchor="text" w:horzAnchor="margin" w:tblpY="168"/>
        <w:tblW w:w="5000" w:type="pct"/>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ayout w:type="fixed"/>
        <w:tblLook w:val="0000" w:firstRow="0" w:lastRow="0" w:firstColumn="0" w:lastColumn="0" w:noHBand="0" w:noVBand="0"/>
        <w:tblCaption w:val="B03CGRADEGRPS"/>
      </w:tblPr>
      <w:tblGrid>
        <w:gridCol w:w="584"/>
        <w:gridCol w:w="850"/>
        <w:gridCol w:w="850"/>
        <w:gridCol w:w="851"/>
        <w:gridCol w:w="851"/>
        <w:gridCol w:w="851"/>
        <w:gridCol w:w="851"/>
        <w:gridCol w:w="851"/>
        <w:gridCol w:w="851"/>
        <w:gridCol w:w="851"/>
        <w:gridCol w:w="851"/>
        <w:gridCol w:w="851"/>
        <w:gridCol w:w="851"/>
      </w:tblGrid>
      <w:tr w:rsidR="005C29F8" w:rsidRPr="005C29F8" w14:paraId="6080CDA7" w14:textId="77777777" w:rsidTr="00044B5C">
        <w:trPr>
          <w:trHeight w:val="280"/>
          <w:tblHeader/>
        </w:trPr>
        <w:tc>
          <w:tcPr>
            <w:tcW w:w="271" w:type="pct"/>
            <w:shd w:val="clear" w:color="auto" w:fill="auto"/>
            <w:vAlign w:val="bottom"/>
          </w:tcPr>
          <w:p w14:paraId="41480B1D" w14:textId="77777777" w:rsidR="00421D14" w:rsidRPr="005C29F8" w:rsidRDefault="00421D14" w:rsidP="007D7A20">
            <w:pPr>
              <w:spacing w:before="0" w:after="0"/>
              <w:jc w:val="center"/>
              <w:rPr>
                <w:rFonts w:cs="Arial"/>
                <w:b/>
                <w:bCs/>
                <w:color w:val="000000" w:themeColor="text1"/>
                <w:szCs w:val="16"/>
              </w:rPr>
            </w:pPr>
            <w:r w:rsidRPr="005C29F8">
              <w:rPr>
                <w:rFonts w:cs="Arial"/>
                <w:b/>
                <w:bCs/>
                <w:color w:val="000000" w:themeColor="text1"/>
                <w:szCs w:val="16"/>
              </w:rPr>
              <w:t>Group</w:t>
            </w:r>
          </w:p>
        </w:tc>
        <w:tc>
          <w:tcPr>
            <w:tcW w:w="394" w:type="pct"/>
            <w:shd w:val="clear" w:color="auto" w:fill="auto"/>
            <w:vAlign w:val="bottom"/>
          </w:tcPr>
          <w:p w14:paraId="03DF3CB1" w14:textId="4944C53E"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Group Name</w:t>
            </w:r>
          </w:p>
        </w:tc>
        <w:tc>
          <w:tcPr>
            <w:tcW w:w="394" w:type="pct"/>
            <w:shd w:val="clear" w:color="auto" w:fill="auto"/>
            <w:vAlign w:val="bottom"/>
          </w:tcPr>
          <w:p w14:paraId="26280E05"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3</w:t>
            </w:r>
          </w:p>
        </w:tc>
        <w:tc>
          <w:tcPr>
            <w:tcW w:w="394" w:type="pct"/>
            <w:shd w:val="clear" w:color="auto" w:fill="auto"/>
            <w:vAlign w:val="bottom"/>
          </w:tcPr>
          <w:p w14:paraId="69AEA6BD"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4</w:t>
            </w:r>
          </w:p>
        </w:tc>
        <w:tc>
          <w:tcPr>
            <w:tcW w:w="394" w:type="pct"/>
            <w:shd w:val="clear" w:color="auto" w:fill="auto"/>
            <w:vAlign w:val="bottom"/>
          </w:tcPr>
          <w:p w14:paraId="6C3F8117"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5</w:t>
            </w:r>
          </w:p>
        </w:tc>
        <w:tc>
          <w:tcPr>
            <w:tcW w:w="394" w:type="pct"/>
            <w:shd w:val="clear" w:color="auto" w:fill="auto"/>
            <w:vAlign w:val="bottom"/>
          </w:tcPr>
          <w:p w14:paraId="5B4846CA"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6</w:t>
            </w:r>
          </w:p>
        </w:tc>
        <w:tc>
          <w:tcPr>
            <w:tcW w:w="394" w:type="pct"/>
            <w:shd w:val="clear" w:color="auto" w:fill="auto"/>
            <w:vAlign w:val="bottom"/>
          </w:tcPr>
          <w:p w14:paraId="7ED0A1E6"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7</w:t>
            </w:r>
          </w:p>
        </w:tc>
        <w:tc>
          <w:tcPr>
            <w:tcW w:w="394" w:type="pct"/>
            <w:shd w:val="clear" w:color="auto" w:fill="auto"/>
            <w:vAlign w:val="bottom"/>
          </w:tcPr>
          <w:p w14:paraId="24DFF1B0"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8</w:t>
            </w:r>
          </w:p>
        </w:tc>
        <w:tc>
          <w:tcPr>
            <w:tcW w:w="394" w:type="pct"/>
            <w:shd w:val="clear" w:color="auto" w:fill="auto"/>
            <w:vAlign w:val="bottom"/>
          </w:tcPr>
          <w:p w14:paraId="3E47AD9A"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9</w:t>
            </w:r>
          </w:p>
        </w:tc>
        <w:tc>
          <w:tcPr>
            <w:tcW w:w="394" w:type="pct"/>
            <w:shd w:val="clear" w:color="auto" w:fill="auto"/>
            <w:vAlign w:val="bottom"/>
          </w:tcPr>
          <w:p w14:paraId="5EDBBD6B"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10</w:t>
            </w:r>
          </w:p>
        </w:tc>
        <w:tc>
          <w:tcPr>
            <w:tcW w:w="394" w:type="pct"/>
            <w:shd w:val="clear" w:color="auto" w:fill="auto"/>
            <w:vAlign w:val="bottom"/>
          </w:tcPr>
          <w:p w14:paraId="2EFE8EDC"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11</w:t>
            </w:r>
          </w:p>
        </w:tc>
        <w:tc>
          <w:tcPr>
            <w:tcW w:w="394" w:type="pct"/>
            <w:shd w:val="clear" w:color="auto" w:fill="auto"/>
            <w:vAlign w:val="bottom"/>
          </w:tcPr>
          <w:p w14:paraId="76BB515B"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Grade 12</w:t>
            </w:r>
          </w:p>
        </w:tc>
        <w:tc>
          <w:tcPr>
            <w:tcW w:w="394" w:type="pct"/>
            <w:shd w:val="clear" w:color="auto" w:fill="auto"/>
            <w:vAlign w:val="bottom"/>
          </w:tcPr>
          <w:p w14:paraId="0B2CFC2F"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HS</w:t>
            </w:r>
          </w:p>
        </w:tc>
      </w:tr>
      <w:tr w:rsidR="005C29F8" w:rsidRPr="005C29F8" w14:paraId="385C2918" w14:textId="77777777" w:rsidTr="0033429D">
        <w:trPr>
          <w:trHeight w:val="361"/>
        </w:trPr>
        <w:tc>
          <w:tcPr>
            <w:tcW w:w="271" w:type="pct"/>
            <w:shd w:val="clear" w:color="auto" w:fill="auto"/>
            <w:vAlign w:val="center"/>
          </w:tcPr>
          <w:p w14:paraId="485E5875" w14:textId="77777777" w:rsidR="00421D14" w:rsidRPr="005C29F8" w:rsidRDefault="00421D14" w:rsidP="007D7A20">
            <w:pPr>
              <w:pStyle w:val="Default"/>
              <w:jc w:val="center"/>
              <w:rPr>
                <w:b/>
                <w:color w:val="000000" w:themeColor="text1"/>
                <w:sz w:val="16"/>
                <w:szCs w:val="16"/>
              </w:rPr>
            </w:pPr>
            <w:r w:rsidRPr="005C29F8">
              <w:rPr>
                <w:b/>
                <w:color w:val="000000" w:themeColor="text1"/>
                <w:sz w:val="16"/>
                <w:szCs w:val="16"/>
              </w:rPr>
              <w:t>A</w:t>
            </w:r>
          </w:p>
        </w:tc>
        <w:tc>
          <w:tcPr>
            <w:tcW w:w="394" w:type="pct"/>
            <w:shd w:val="clear" w:color="auto" w:fill="auto"/>
            <w:vAlign w:val="center"/>
          </w:tcPr>
          <w:p w14:paraId="667463B5" w14:textId="40FA5906" w:rsidR="00421D14" w:rsidRPr="005C29F8" w:rsidRDefault="00421D14" w:rsidP="007D7A20">
            <w:pPr>
              <w:pStyle w:val="Default"/>
              <w:jc w:val="center"/>
              <w:rPr>
                <w:color w:val="000000" w:themeColor="text1"/>
                <w:sz w:val="16"/>
                <w:szCs w:val="16"/>
              </w:rPr>
            </w:pPr>
            <w:r w:rsidRPr="005C29F8">
              <w:rPr>
                <w:color w:val="000000" w:themeColor="text1"/>
                <w:sz w:val="16"/>
                <w:szCs w:val="16"/>
              </w:rPr>
              <w:t>Overall</w:t>
            </w:r>
          </w:p>
        </w:tc>
        <w:tc>
          <w:tcPr>
            <w:tcW w:w="394" w:type="pct"/>
            <w:shd w:val="clear" w:color="auto" w:fill="auto"/>
            <w:vAlign w:val="center"/>
          </w:tcPr>
          <w:p w14:paraId="1A22037A" w14:textId="39C8675E"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25EC284D" w14:textId="1D697E23"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6FD2E8A9" w14:textId="1A9D9097"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0934A1AB" w14:textId="60A08934"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432AE3C7" w14:textId="1BCF4101"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5F712E25" w14:textId="3273BD5C"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14042E04" w14:textId="78FA080C"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7F660A7E" w14:textId="2A0937D8"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08AD8913" w14:textId="040FC487"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047056C7" w14:textId="6A4C30CE"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c>
          <w:tcPr>
            <w:tcW w:w="394" w:type="pct"/>
            <w:shd w:val="clear" w:color="auto" w:fill="auto"/>
            <w:vAlign w:val="center"/>
          </w:tcPr>
          <w:p w14:paraId="64BDBE99" w14:textId="7EB0EE76" w:rsidR="00421D14" w:rsidRPr="005C29F8" w:rsidRDefault="00421D14" w:rsidP="007D7A20">
            <w:pPr>
              <w:pStyle w:val="Default"/>
              <w:jc w:val="center"/>
              <w:rPr>
                <w:b/>
                <w:color w:val="000000" w:themeColor="text1"/>
                <w:sz w:val="16"/>
                <w:szCs w:val="16"/>
              </w:rPr>
            </w:pPr>
            <w:r w:rsidRPr="005C29F8">
              <w:rPr>
                <w:color w:val="000000" w:themeColor="text1"/>
                <w:sz w:val="16"/>
                <w:szCs w:val="16"/>
              </w:rPr>
              <w:t>X</w:t>
            </w:r>
          </w:p>
        </w:tc>
      </w:tr>
    </w:tbl>
    <w:p w14:paraId="0B1C0DD7" w14:textId="1E5339C3" w:rsidR="00A10323" w:rsidRPr="005C29F8" w:rsidRDefault="00A10323">
      <w:pPr>
        <w:rPr>
          <w:b/>
          <w:color w:val="000000" w:themeColor="text1"/>
        </w:rPr>
      </w:pPr>
      <w:r w:rsidRPr="005C29F8">
        <w:rPr>
          <w:b/>
          <w:color w:val="000000" w:themeColor="text1"/>
        </w:rPr>
        <w:t xml:space="preserve">Historical Data: Reading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RLA"/>
      </w:tblPr>
      <w:tblGrid>
        <w:gridCol w:w="445"/>
        <w:gridCol w:w="1081"/>
        <w:gridCol w:w="1172"/>
        <w:gridCol w:w="723"/>
        <w:gridCol w:w="1476"/>
        <w:gridCol w:w="1476"/>
        <w:gridCol w:w="1476"/>
        <w:gridCol w:w="1476"/>
        <w:gridCol w:w="1465"/>
      </w:tblGrid>
      <w:tr w:rsidR="005C29F8" w:rsidRPr="005C29F8" w14:paraId="7D8498EA" w14:textId="77777777" w:rsidTr="00044B5C">
        <w:trPr>
          <w:trHeight w:val="80"/>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tcPr>
          <w:p w14:paraId="3E1F7D76" w14:textId="3163E403" w:rsidR="00A447E0" w:rsidRPr="005C29F8" w:rsidRDefault="00A447E0" w:rsidP="004369B2">
            <w:pPr>
              <w:jc w:val="center"/>
              <w:rPr>
                <w:rFonts w:cs="Arial"/>
                <w:b/>
                <w:color w:val="000000" w:themeColor="text1"/>
                <w:szCs w:val="16"/>
              </w:rPr>
            </w:pPr>
            <w:r w:rsidRPr="005C29F8">
              <w:rPr>
                <w:rFonts w:cs="Arial"/>
                <w:b/>
                <w:color w:val="000000" w:themeColor="text1"/>
                <w:szCs w:val="16"/>
              </w:rPr>
              <w:t>Group</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14:paraId="591CDB14" w14:textId="602F20DA" w:rsidR="00A447E0" w:rsidRPr="005C29F8" w:rsidRDefault="00A447E0" w:rsidP="004369B2">
            <w:pPr>
              <w:jc w:val="center"/>
              <w:rPr>
                <w:rFonts w:cs="Arial"/>
                <w:b/>
                <w:color w:val="000000" w:themeColor="text1"/>
                <w:szCs w:val="16"/>
              </w:rPr>
            </w:pPr>
            <w:r w:rsidRPr="005C29F8">
              <w:rPr>
                <w:rFonts w:cs="Arial"/>
                <w:b/>
                <w:color w:val="000000" w:themeColor="text1"/>
                <w:szCs w:val="16"/>
              </w:rPr>
              <w:t>Group Name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30D70F2" w14:textId="6E4FB30A" w:rsidR="00A447E0" w:rsidRPr="005C29F8" w:rsidRDefault="00A447E0" w:rsidP="004369B2">
            <w:pPr>
              <w:jc w:val="center"/>
              <w:rPr>
                <w:rFonts w:cs="Arial"/>
                <w:b/>
                <w:color w:val="000000" w:themeColor="text1"/>
                <w:szCs w:val="16"/>
              </w:rPr>
            </w:pPr>
            <w:r w:rsidRPr="005C29F8">
              <w:rPr>
                <w:rFonts w:cs="Arial"/>
                <w:b/>
                <w:color w:val="000000" w:themeColor="text1"/>
                <w:szCs w:val="16"/>
              </w:rPr>
              <w:t xml:space="preserve">Baseline </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5B2D638" w14:textId="77777777" w:rsidR="00A447E0" w:rsidRPr="005C29F8" w:rsidRDefault="00A447E0" w:rsidP="004369B2">
            <w:pPr>
              <w:jc w:val="center"/>
              <w:rPr>
                <w:rFonts w:cs="Arial"/>
                <w:b/>
                <w:color w:val="000000" w:themeColor="text1"/>
                <w:szCs w:val="16"/>
              </w:rPr>
            </w:pPr>
            <w:r w:rsidRPr="005C29F8">
              <w:rPr>
                <w:rFonts w:cs="Arial"/>
                <w:b/>
                <w:color w:val="000000" w:themeColor="text1"/>
                <w:szCs w:val="16"/>
              </w:rPr>
              <w:t>FFY</w:t>
            </w:r>
          </w:p>
        </w:tc>
        <w:tc>
          <w:tcPr>
            <w:tcW w:w="684" w:type="pct"/>
            <w:tcBorders>
              <w:top w:val="single" w:sz="4" w:space="0" w:color="auto"/>
              <w:left w:val="single" w:sz="4" w:space="0" w:color="auto"/>
              <w:bottom w:val="single" w:sz="4" w:space="0" w:color="auto"/>
              <w:right w:val="single" w:sz="4" w:space="0" w:color="auto"/>
            </w:tcBorders>
            <w:shd w:val="clear" w:color="auto" w:fill="auto"/>
            <w:vAlign w:val="bottom"/>
          </w:tcPr>
          <w:p w14:paraId="68D1082B" w14:textId="77777777" w:rsidR="00A447E0" w:rsidRPr="005C29F8" w:rsidRDefault="00A447E0" w:rsidP="004369B2">
            <w:pPr>
              <w:jc w:val="center"/>
              <w:rPr>
                <w:rFonts w:cs="Arial"/>
                <w:b/>
                <w:color w:val="000000" w:themeColor="text1"/>
                <w:szCs w:val="16"/>
              </w:rPr>
            </w:pPr>
            <w:r w:rsidRPr="005C29F8">
              <w:rPr>
                <w:rFonts w:cs="Arial"/>
                <w:b/>
                <w:color w:val="000000" w:themeColor="text1"/>
                <w:szCs w:val="16"/>
              </w:rPr>
              <w:t>2014</w:t>
            </w:r>
          </w:p>
        </w:tc>
        <w:tc>
          <w:tcPr>
            <w:tcW w:w="684" w:type="pct"/>
            <w:tcBorders>
              <w:top w:val="single" w:sz="4" w:space="0" w:color="auto"/>
              <w:left w:val="single" w:sz="4" w:space="0" w:color="auto"/>
              <w:bottom w:val="single" w:sz="4" w:space="0" w:color="auto"/>
              <w:right w:val="single" w:sz="4" w:space="0" w:color="auto"/>
            </w:tcBorders>
            <w:shd w:val="clear" w:color="auto" w:fill="auto"/>
            <w:vAlign w:val="bottom"/>
          </w:tcPr>
          <w:p w14:paraId="36335421" w14:textId="77777777" w:rsidR="00A447E0" w:rsidRPr="005C29F8" w:rsidRDefault="00A447E0" w:rsidP="004369B2">
            <w:pPr>
              <w:jc w:val="center"/>
              <w:rPr>
                <w:rFonts w:cs="Arial"/>
                <w:b/>
                <w:color w:val="000000" w:themeColor="text1"/>
                <w:szCs w:val="16"/>
              </w:rPr>
            </w:pPr>
            <w:r w:rsidRPr="005C29F8">
              <w:rPr>
                <w:rFonts w:cs="Arial"/>
                <w:b/>
                <w:color w:val="000000" w:themeColor="text1"/>
                <w:szCs w:val="16"/>
              </w:rPr>
              <w:t>2015</w:t>
            </w:r>
          </w:p>
        </w:tc>
        <w:tc>
          <w:tcPr>
            <w:tcW w:w="684" w:type="pct"/>
            <w:tcBorders>
              <w:top w:val="single" w:sz="4" w:space="0" w:color="auto"/>
              <w:left w:val="single" w:sz="4" w:space="0" w:color="auto"/>
              <w:bottom w:val="single" w:sz="4" w:space="0" w:color="auto"/>
              <w:right w:val="single" w:sz="4" w:space="0" w:color="auto"/>
            </w:tcBorders>
            <w:shd w:val="clear" w:color="auto" w:fill="auto"/>
            <w:vAlign w:val="bottom"/>
          </w:tcPr>
          <w:p w14:paraId="6A2F4F27" w14:textId="77777777" w:rsidR="00A447E0" w:rsidRPr="005C29F8" w:rsidRDefault="00A447E0" w:rsidP="004369B2">
            <w:pPr>
              <w:jc w:val="center"/>
              <w:rPr>
                <w:rFonts w:cs="Arial"/>
                <w:b/>
                <w:color w:val="000000" w:themeColor="text1"/>
                <w:szCs w:val="16"/>
              </w:rPr>
            </w:pPr>
            <w:r w:rsidRPr="005C29F8">
              <w:rPr>
                <w:rFonts w:cs="Arial"/>
                <w:b/>
                <w:color w:val="000000" w:themeColor="text1"/>
                <w:szCs w:val="16"/>
              </w:rPr>
              <w:t>2016</w:t>
            </w:r>
          </w:p>
        </w:tc>
        <w:tc>
          <w:tcPr>
            <w:tcW w:w="684" w:type="pct"/>
            <w:tcBorders>
              <w:top w:val="single" w:sz="4" w:space="0" w:color="auto"/>
              <w:left w:val="single" w:sz="4" w:space="0" w:color="auto"/>
              <w:bottom w:val="single" w:sz="4" w:space="0" w:color="auto"/>
              <w:right w:val="single" w:sz="4" w:space="0" w:color="auto"/>
            </w:tcBorders>
            <w:shd w:val="clear" w:color="auto" w:fill="auto"/>
            <w:vAlign w:val="bottom"/>
          </w:tcPr>
          <w:p w14:paraId="33FC6ADA" w14:textId="77777777" w:rsidR="00A447E0" w:rsidRPr="005C29F8" w:rsidRDefault="00A447E0" w:rsidP="004369B2">
            <w:pPr>
              <w:jc w:val="center"/>
              <w:rPr>
                <w:rFonts w:cs="Arial"/>
                <w:b/>
                <w:color w:val="000000" w:themeColor="text1"/>
                <w:szCs w:val="16"/>
              </w:rPr>
            </w:pPr>
            <w:r w:rsidRPr="005C29F8">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14:paraId="759C054F" w14:textId="77777777" w:rsidR="00A447E0" w:rsidRPr="005C29F8" w:rsidRDefault="00A447E0" w:rsidP="004369B2">
            <w:pPr>
              <w:jc w:val="center"/>
              <w:rPr>
                <w:rFonts w:cs="Arial"/>
                <w:b/>
                <w:color w:val="000000" w:themeColor="text1"/>
                <w:szCs w:val="16"/>
              </w:rPr>
            </w:pPr>
            <w:r w:rsidRPr="005C29F8">
              <w:rPr>
                <w:rFonts w:cs="Arial"/>
                <w:b/>
                <w:color w:val="000000" w:themeColor="text1"/>
                <w:szCs w:val="16"/>
              </w:rPr>
              <w:t>2018</w:t>
            </w:r>
          </w:p>
        </w:tc>
      </w:tr>
      <w:tr w:rsidR="005C29F8" w:rsidRPr="005C29F8" w14:paraId="703F59EA" w14:textId="77777777" w:rsidTr="0033429D">
        <w:trPr>
          <w:trHeight w:val="8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2EB3487" w14:textId="77777777" w:rsidR="00A447E0" w:rsidRPr="00691ABA" w:rsidRDefault="00A447E0" w:rsidP="00A018D4">
            <w:pPr>
              <w:jc w:val="center"/>
              <w:rPr>
                <w:rFonts w:cs="Arial"/>
                <w:b/>
                <w:bCs/>
                <w:color w:val="000000" w:themeColor="text1"/>
                <w:szCs w:val="16"/>
              </w:rPr>
            </w:pPr>
            <w:r w:rsidRPr="00691ABA">
              <w:rPr>
                <w:rFonts w:cs="Arial"/>
                <w:b/>
                <w:bCs/>
                <w:color w:val="000000" w:themeColor="text1"/>
                <w:szCs w:val="16"/>
              </w:rPr>
              <w:t>A</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744B120E" w14:textId="60BB891B" w:rsidR="00A447E0" w:rsidRPr="005C29F8" w:rsidRDefault="00A447E0" w:rsidP="00A018D4">
            <w:pPr>
              <w:jc w:val="center"/>
              <w:rPr>
                <w:rFonts w:cs="Arial"/>
                <w:color w:val="000000" w:themeColor="text1"/>
                <w:szCs w:val="16"/>
              </w:rPr>
            </w:pPr>
            <w:r w:rsidRPr="005C29F8">
              <w:rPr>
                <w:rFonts w:cs="Arial"/>
                <w:color w:val="000000" w:themeColor="text1"/>
                <w:szCs w:val="16"/>
              </w:rPr>
              <w:t>Overall</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F009C51" w14:textId="21186CFD" w:rsidR="00D342B0" w:rsidRPr="005C29F8" w:rsidRDefault="00D342B0" w:rsidP="00A018D4">
            <w:pPr>
              <w:jc w:val="center"/>
              <w:rPr>
                <w:rFonts w:cs="Arial"/>
                <w:color w:val="000000" w:themeColor="text1"/>
                <w:szCs w:val="16"/>
              </w:rPr>
            </w:pPr>
            <w:r w:rsidRPr="005C29F8">
              <w:rPr>
                <w:rFonts w:cs="Arial"/>
                <w:color w:val="000000" w:themeColor="text1"/>
                <w:szCs w:val="16"/>
              </w:rPr>
              <w:t>2018</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5579CBBB" w14:textId="77777777" w:rsidR="00A447E0" w:rsidRPr="005C29F8" w:rsidRDefault="00A447E0">
            <w:pPr>
              <w:rPr>
                <w:rFonts w:cs="Arial"/>
                <w:color w:val="000000" w:themeColor="text1"/>
                <w:szCs w:val="16"/>
              </w:rPr>
            </w:pPr>
            <w:r w:rsidRPr="005C29F8">
              <w:rPr>
                <w:rFonts w:cs="Arial"/>
                <w:color w:val="000000" w:themeColor="text1"/>
                <w:szCs w:val="16"/>
              </w:rPr>
              <w:t>Target &gt;=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C89ABF6" w14:textId="2A43FA80" w:rsidR="00A447E0" w:rsidRPr="005C29F8" w:rsidRDefault="00A447E0" w:rsidP="00A018D4">
            <w:pPr>
              <w:jc w:val="center"/>
              <w:rPr>
                <w:rFonts w:cs="Arial"/>
                <w:color w:val="000000" w:themeColor="text1"/>
                <w:szCs w:val="16"/>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896CCD8" w14:textId="17EA3ACE" w:rsidR="00A447E0" w:rsidRPr="005C29F8" w:rsidRDefault="00A447E0" w:rsidP="00A018D4">
            <w:pPr>
              <w:jc w:val="center"/>
              <w:rPr>
                <w:rFonts w:cs="Arial"/>
                <w:color w:val="000000" w:themeColor="text1"/>
                <w:szCs w:val="16"/>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C3D3118" w14:textId="6A2D2FEC" w:rsidR="00A447E0" w:rsidRPr="005C29F8" w:rsidRDefault="00A447E0" w:rsidP="00A018D4">
            <w:pPr>
              <w:jc w:val="center"/>
              <w:rPr>
                <w:rFonts w:cs="Arial"/>
                <w:color w:val="000000" w:themeColor="text1"/>
                <w:szCs w:val="16"/>
              </w:rPr>
            </w:pPr>
            <w:r w:rsidRPr="005C29F8">
              <w:rPr>
                <w:rFonts w:cs="Arial"/>
                <w:color w:val="000000" w:themeColor="text1"/>
                <w:szCs w:val="16"/>
              </w:rPr>
              <w:t>50.00%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2912927" w14:textId="736CFC7A" w:rsidR="00A447E0" w:rsidRPr="005C29F8" w:rsidRDefault="00A447E0" w:rsidP="00A018D4">
            <w:pPr>
              <w:jc w:val="center"/>
              <w:rPr>
                <w:rFonts w:cs="Arial"/>
                <w:color w:val="000000" w:themeColor="text1"/>
                <w:szCs w:val="16"/>
              </w:rPr>
            </w:pPr>
            <w:r w:rsidRPr="005C29F8">
              <w:rPr>
                <w:rFonts w:cs="Arial"/>
                <w:color w:val="000000" w:themeColor="text1"/>
                <w:szCs w:val="16"/>
              </w:rPr>
              <w:t>60.00%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5E4A94A" w14:textId="34C62AB0" w:rsidR="00A447E0" w:rsidRPr="005C29F8" w:rsidRDefault="00A447E0" w:rsidP="00A018D4">
            <w:pPr>
              <w:jc w:val="center"/>
              <w:rPr>
                <w:rFonts w:cs="Arial"/>
                <w:color w:val="000000" w:themeColor="text1"/>
                <w:szCs w:val="16"/>
              </w:rPr>
            </w:pPr>
          </w:p>
        </w:tc>
      </w:tr>
      <w:tr w:rsidR="005C29F8" w:rsidRPr="005C29F8" w14:paraId="713481B3" w14:textId="77777777" w:rsidTr="0033429D">
        <w:trPr>
          <w:trHeight w:val="8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96964A3" w14:textId="73817F35" w:rsidR="004427EB" w:rsidRPr="00691ABA" w:rsidRDefault="004427EB" w:rsidP="00A018D4">
            <w:pPr>
              <w:jc w:val="center"/>
              <w:rPr>
                <w:rFonts w:cs="Arial"/>
                <w:b/>
                <w:bCs/>
                <w:color w:val="000000" w:themeColor="text1"/>
                <w:szCs w:val="16"/>
              </w:rPr>
            </w:pPr>
            <w:r w:rsidRPr="00691ABA">
              <w:rPr>
                <w:rFonts w:cs="Arial"/>
                <w:b/>
                <w:bCs/>
                <w:color w:val="000000" w:themeColor="text1"/>
                <w:szCs w:val="16"/>
              </w:rPr>
              <w:t>A</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B469A27" w14:textId="49FA1069" w:rsidR="004427EB" w:rsidRPr="005C29F8" w:rsidRDefault="004427EB" w:rsidP="00A018D4">
            <w:pPr>
              <w:jc w:val="center"/>
              <w:rPr>
                <w:rFonts w:cs="Arial"/>
                <w:color w:val="000000" w:themeColor="text1"/>
                <w:szCs w:val="16"/>
              </w:rPr>
            </w:pPr>
            <w:r w:rsidRPr="005C29F8">
              <w:rPr>
                <w:rFonts w:cs="Arial"/>
                <w:color w:val="000000" w:themeColor="text1"/>
                <w:szCs w:val="16"/>
              </w:rPr>
              <w:t>Overall</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E94BB50" w14:textId="1B4CCC15" w:rsidR="004427EB" w:rsidRPr="005C29F8" w:rsidRDefault="00D342B0" w:rsidP="00A018D4">
            <w:pPr>
              <w:jc w:val="center"/>
              <w:rPr>
                <w:rFonts w:cs="Arial"/>
                <w:color w:val="000000" w:themeColor="text1"/>
                <w:szCs w:val="16"/>
              </w:rPr>
            </w:pPr>
            <w:r w:rsidRPr="005C29F8">
              <w:rPr>
                <w:rFonts w:cs="Arial"/>
                <w:color w:val="000000" w:themeColor="text1"/>
                <w:szCs w:val="16"/>
              </w:rPr>
              <w:t>16.69%</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AE2AA53" w14:textId="77777777" w:rsidR="004427EB" w:rsidRPr="005C29F8" w:rsidRDefault="004427EB">
            <w:pPr>
              <w:rPr>
                <w:rFonts w:cs="Arial"/>
                <w:color w:val="000000" w:themeColor="text1"/>
                <w:szCs w:val="16"/>
              </w:rPr>
            </w:pPr>
            <w:r w:rsidRPr="005C29F8">
              <w:rPr>
                <w:rFonts w:cs="Arial"/>
                <w:color w:val="000000" w:themeColor="text1"/>
                <w:szCs w:val="16"/>
              </w:rPr>
              <w:t>Actual</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4AD302E" w14:textId="59EFDBB4" w:rsidR="004427EB" w:rsidRPr="005C29F8" w:rsidRDefault="004427EB" w:rsidP="00A018D4">
            <w:pPr>
              <w:jc w:val="center"/>
              <w:rPr>
                <w:rFonts w:cs="Arial"/>
                <w:color w:val="000000" w:themeColor="text1"/>
                <w:szCs w:val="16"/>
              </w:rPr>
            </w:pPr>
            <w:r w:rsidRPr="005C29F8">
              <w:rPr>
                <w:rFonts w:cs="Arial"/>
                <w:color w:val="000000" w:themeColor="text1"/>
                <w:szCs w:val="16"/>
              </w:rPr>
              <w:t>31.73%</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31E42A1" w14:textId="77E16E9D" w:rsidR="004427EB" w:rsidRPr="005C29F8" w:rsidRDefault="004427EB" w:rsidP="00A018D4">
            <w:pPr>
              <w:jc w:val="center"/>
              <w:rPr>
                <w:rFonts w:cs="Arial"/>
                <w:color w:val="000000" w:themeColor="text1"/>
                <w:szCs w:val="16"/>
              </w:rPr>
            </w:pPr>
            <w:r w:rsidRPr="005C29F8">
              <w:rPr>
                <w:rFonts w:cs="Arial"/>
                <w:color w:val="000000" w:themeColor="text1"/>
                <w:szCs w:val="16"/>
              </w:rPr>
              <w:t>33.73%</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AEF063D" w14:textId="01025CB6" w:rsidR="004427EB" w:rsidRPr="005C29F8" w:rsidRDefault="004427EB" w:rsidP="00A018D4">
            <w:pPr>
              <w:jc w:val="center"/>
              <w:rPr>
                <w:rFonts w:cs="Arial"/>
                <w:color w:val="000000" w:themeColor="text1"/>
                <w:szCs w:val="16"/>
              </w:rPr>
            </w:pPr>
            <w:r w:rsidRPr="005C29F8">
              <w:rPr>
                <w:rFonts w:cs="Arial"/>
                <w:color w:val="000000" w:themeColor="text1"/>
                <w:szCs w:val="16"/>
              </w:rPr>
              <w:t>19.68%</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ECF0D47" w14:textId="1342F6F5" w:rsidR="004427EB" w:rsidRPr="005C29F8" w:rsidRDefault="004427EB" w:rsidP="00A018D4">
            <w:pPr>
              <w:jc w:val="center"/>
              <w:rPr>
                <w:rFonts w:cs="Arial"/>
                <w:color w:val="000000" w:themeColor="text1"/>
                <w:szCs w:val="16"/>
              </w:rPr>
            </w:pPr>
            <w:r w:rsidRPr="005C29F8">
              <w:rPr>
                <w:rFonts w:cs="Arial"/>
                <w:color w:val="000000" w:themeColor="text1"/>
                <w:szCs w:val="16"/>
              </w:rPr>
              <w:t>21.35%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83D42B2" w14:textId="6BC91F4D" w:rsidR="004427EB" w:rsidRPr="005C29F8" w:rsidRDefault="004427EB" w:rsidP="00A018D4">
            <w:pPr>
              <w:jc w:val="center"/>
              <w:rPr>
                <w:rFonts w:cs="Arial"/>
                <w:color w:val="000000" w:themeColor="text1"/>
                <w:szCs w:val="16"/>
              </w:rPr>
            </w:pPr>
            <w:r w:rsidRPr="005C29F8">
              <w:rPr>
                <w:rFonts w:cs="Arial"/>
                <w:color w:val="000000" w:themeColor="text1"/>
                <w:szCs w:val="16"/>
              </w:rPr>
              <w:t>16.69%</w:t>
            </w:r>
          </w:p>
        </w:tc>
      </w:tr>
    </w:tbl>
    <w:p w14:paraId="08C54CF4" w14:textId="683C55A4" w:rsidR="00A10323" w:rsidRDefault="00A10323" w:rsidP="004369B2">
      <w:pPr>
        <w:rPr>
          <w:b/>
          <w:color w:val="000000" w:themeColor="text1"/>
        </w:rPr>
      </w:pPr>
      <w:r w:rsidRPr="005C29F8">
        <w:rPr>
          <w:b/>
          <w:color w:val="000000" w:themeColor="text1"/>
        </w:rPr>
        <w:t>Historical Data: Math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MATH"/>
      </w:tblPr>
      <w:tblGrid>
        <w:gridCol w:w="535"/>
        <w:gridCol w:w="991"/>
        <w:gridCol w:w="1167"/>
        <w:gridCol w:w="723"/>
        <w:gridCol w:w="1474"/>
        <w:gridCol w:w="1476"/>
        <w:gridCol w:w="1476"/>
        <w:gridCol w:w="1476"/>
        <w:gridCol w:w="1472"/>
      </w:tblGrid>
      <w:tr w:rsidR="005C29F8" w:rsidRPr="005C29F8" w14:paraId="1A195441" w14:textId="77777777" w:rsidTr="0033429D">
        <w:trPr>
          <w:trHeight w:val="300"/>
        </w:trPr>
        <w:tc>
          <w:tcPr>
            <w:tcW w:w="248" w:type="pct"/>
            <w:tcBorders>
              <w:top w:val="single" w:sz="2" w:space="0" w:color="262626" w:themeColor="text1" w:themeTint="D9"/>
            </w:tcBorders>
            <w:shd w:val="clear" w:color="auto" w:fill="auto"/>
            <w:vAlign w:val="bottom"/>
          </w:tcPr>
          <w:p w14:paraId="17AD0806" w14:textId="0297E062" w:rsidR="00162F4A" w:rsidRPr="005C29F8" w:rsidRDefault="00162F4A" w:rsidP="00162F4A">
            <w:pPr>
              <w:jc w:val="center"/>
              <w:rPr>
                <w:rFonts w:cs="Arial"/>
                <w:b/>
                <w:color w:val="000000" w:themeColor="text1"/>
                <w:szCs w:val="16"/>
              </w:rPr>
            </w:pPr>
            <w:r w:rsidRPr="005C29F8">
              <w:rPr>
                <w:rFonts w:cs="Arial"/>
                <w:b/>
                <w:color w:val="000000" w:themeColor="text1"/>
                <w:szCs w:val="16"/>
              </w:rPr>
              <w:t xml:space="preserve">Group </w:t>
            </w:r>
          </w:p>
        </w:tc>
        <w:tc>
          <w:tcPr>
            <w:tcW w:w="459" w:type="pct"/>
            <w:tcBorders>
              <w:top w:val="single" w:sz="2" w:space="0" w:color="262626" w:themeColor="text1" w:themeTint="D9"/>
              <w:bottom w:val="single" w:sz="4" w:space="0" w:color="auto"/>
            </w:tcBorders>
            <w:shd w:val="clear" w:color="auto" w:fill="auto"/>
            <w:vAlign w:val="bottom"/>
          </w:tcPr>
          <w:p w14:paraId="6EA04F79" w14:textId="59B0D9C6" w:rsidR="00162F4A" w:rsidRPr="005C29F8" w:rsidRDefault="00162F4A" w:rsidP="00162F4A">
            <w:pPr>
              <w:jc w:val="center"/>
              <w:rPr>
                <w:rFonts w:cs="Arial"/>
                <w:b/>
                <w:color w:val="000000" w:themeColor="text1"/>
                <w:szCs w:val="16"/>
              </w:rPr>
            </w:pPr>
            <w:r w:rsidRPr="005C29F8">
              <w:rPr>
                <w:rFonts w:cs="Arial"/>
                <w:b/>
                <w:color w:val="000000" w:themeColor="text1"/>
                <w:szCs w:val="16"/>
              </w:rPr>
              <w:t>Group Name</w:t>
            </w:r>
          </w:p>
        </w:tc>
        <w:tc>
          <w:tcPr>
            <w:tcW w:w="541" w:type="pct"/>
            <w:tcBorders>
              <w:top w:val="single" w:sz="2" w:space="0" w:color="262626" w:themeColor="text1" w:themeTint="D9"/>
            </w:tcBorders>
            <w:shd w:val="clear" w:color="auto" w:fill="auto"/>
            <w:vAlign w:val="bottom"/>
          </w:tcPr>
          <w:p w14:paraId="4ED5A5C5" w14:textId="709F6F4C" w:rsidR="00162F4A" w:rsidRPr="005C29F8" w:rsidRDefault="00162F4A" w:rsidP="00162F4A">
            <w:pPr>
              <w:jc w:val="center"/>
              <w:rPr>
                <w:rFonts w:cs="Arial"/>
                <w:b/>
                <w:color w:val="000000" w:themeColor="text1"/>
                <w:szCs w:val="16"/>
              </w:rPr>
            </w:pPr>
            <w:r w:rsidRPr="005C29F8">
              <w:rPr>
                <w:rFonts w:cs="Arial"/>
                <w:b/>
                <w:color w:val="000000" w:themeColor="text1"/>
                <w:szCs w:val="16"/>
              </w:rPr>
              <w:t xml:space="preserve">Baseline </w:t>
            </w:r>
          </w:p>
        </w:tc>
        <w:tc>
          <w:tcPr>
            <w:tcW w:w="335" w:type="pct"/>
            <w:tcBorders>
              <w:top w:val="single" w:sz="2" w:space="0" w:color="262626" w:themeColor="text1" w:themeTint="D9"/>
            </w:tcBorders>
            <w:shd w:val="clear" w:color="auto" w:fill="auto"/>
            <w:vAlign w:val="bottom"/>
          </w:tcPr>
          <w:p w14:paraId="64199270" w14:textId="083E086B" w:rsidR="00162F4A" w:rsidRPr="005C29F8" w:rsidRDefault="00162F4A" w:rsidP="00162F4A">
            <w:pPr>
              <w:jc w:val="center"/>
              <w:rPr>
                <w:rFonts w:cs="Arial"/>
                <w:b/>
                <w:color w:val="000000" w:themeColor="text1"/>
                <w:szCs w:val="16"/>
              </w:rPr>
            </w:pPr>
            <w:r w:rsidRPr="005C29F8">
              <w:rPr>
                <w:rFonts w:cs="Arial"/>
                <w:b/>
                <w:color w:val="000000" w:themeColor="text1"/>
                <w:szCs w:val="16"/>
              </w:rPr>
              <w:t>FFY</w:t>
            </w:r>
          </w:p>
        </w:tc>
        <w:tc>
          <w:tcPr>
            <w:tcW w:w="683" w:type="pct"/>
            <w:tcBorders>
              <w:top w:val="single" w:sz="2" w:space="0" w:color="262626" w:themeColor="text1" w:themeTint="D9"/>
              <w:bottom w:val="single" w:sz="4" w:space="0" w:color="auto"/>
            </w:tcBorders>
            <w:shd w:val="clear" w:color="auto" w:fill="auto"/>
            <w:vAlign w:val="bottom"/>
          </w:tcPr>
          <w:p w14:paraId="4413BEBC" w14:textId="4F4FD61B" w:rsidR="00162F4A" w:rsidRPr="005C29F8" w:rsidRDefault="00162F4A" w:rsidP="00162F4A">
            <w:pPr>
              <w:jc w:val="center"/>
              <w:rPr>
                <w:rFonts w:cs="Arial"/>
                <w:b/>
                <w:color w:val="000000" w:themeColor="text1"/>
                <w:szCs w:val="16"/>
              </w:rPr>
            </w:pPr>
            <w:r w:rsidRPr="005C29F8">
              <w:rPr>
                <w:rFonts w:cs="Arial"/>
                <w:b/>
                <w:color w:val="000000" w:themeColor="text1"/>
                <w:szCs w:val="16"/>
              </w:rPr>
              <w:t>2014</w:t>
            </w:r>
          </w:p>
        </w:tc>
        <w:tc>
          <w:tcPr>
            <w:tcW w:w="684" w:type="pct"/>
            <w:tcBorders>
              <w:top w:val="single" w:sz="2" w:space="0" w:color="262626" w:themeColor="text1" w:themeTint="D9"/>
            </w:tcBorders>
            <w:shd w:val="clear" w:color="auto" w:fill="auto"/>
            <w:vAlign w:val="bottom"/>
          </w:tcPr>
          <w:p w14:paraId="4489094A" w14:textId="50B1500E" w:rsidR="00162F4A" w:rsidRPr="005C29F8" w:rsidRDefault="00162F4A" w:rsidP="00162F4A">
            <w:pPr>
              <w:jc w:val="center"/>
              <w:rPr>
                <w:rFonts w:cs="Arial"/>
                <w:b/>
                <w:color w:val="000000" w:themeColor="text1"/>
                <w:szCs w:val="16"/>
              </w:rPr>
            </w:pPr>
            <w:r w:rsidRPr="005C29F8">
              <w:rPr>
                <w:rFonts w:cs="Arial"/>
                <w:b/>
                <w:color w:val="000000" w:themeColor="text1"/>
                <w:szCs w:val="16"/>
              </w:rPr>
              <w:t>2015</w:t>
            </w:r>
          </w:p>
        </w:tc>
        <w:tc>
          <w:tcPr>
            <w:tcW w:w="684" w:type="pct"/>
            <w:tcBorders>
              <w:top w:val="single" w:sz="2" w:space="0" w:color="262626" w:themeColor="text1" w:themeTint="D9"/>
            </w:tcBorders>
            <w:shd w:val="clear" w:color="auto" w:fill="auto"/>
            <w:vAlign w:val="bottom"/>
          </w:tcPr>
          <w:p w14:paraId="5836314D" w14:textId="1B544C22" w:rsidR="00162F4A" w:rsidRPr="005C29F8" w:rsidRDefault="00162F4A" w:rsidP="00162F4A">
            <w:pPr>
              <w:jc w:val="center"/>
              <w:rPr>
                <w:rFonts w:cs="Arial"/>
                <w:b/>
                <w:color w:val="000000" w:themeColor="text1"/>
                <w:szCs w:val="16"/>
              </w:rPr>
            </w:pPr>
            <w:r w:rsidRPr="005C29F8">
              <w:rPr>
                <w:rFonts w:cs="Arial"/>
                <w:b/>
                <w:color w:val="000000" w:themeColor="text1"/>
                <w:szCs w:val="16"/>
              </w:rPr>
              <w:t>2016</w:t>
            </w:r>
          </w:p>
        </w:tc>
        <w:tc>
          <w:tcPr>
            <w:tcW w:w="684" w:type="pct"/>
            <w:tcBorders>
              <w:top w:val="single" w:sz="2" w:space="0" w:color="262626" w:themeColor="text1" w:themeTint="D9"/>
            </w:tcBorders>
            <w:shd w:val="clear" w:color="auto" w:fill="auto"/>
            <w:vAlign w:val="bottom"/>
          </w:tcPr>
          <w:p w14:paraId="320E3383" w14:textId="16FADC25" w:rsidR="00162F4A" w:rsidRPr="005C29F8" w:rsidRDefault="00162F4A" w:rsidP="00162F4A">
            <w:pPr>
              <w:jc w:val="center"/>
              <w:rPr>
                <w:rFonts w:cs="Arial"/>
                <w:b/>
                <w:color w:val="000000" w:themeColor="text1"/>
                <w:szCs w:val="16"/>
              </w:rPr>
            </w:pPr>
            <w:r w:rsidRPr="005C29F8">
              <w:rPr>
                <w:rFonts w:cs="Arial"/>
                <w:b/>
                <w:color w:val="000000" w:themeColor="text1"/>
                <w:szCs w:val="16"/>
              </w:rPr>
              <w:t>2017</w:t>
            </w:r>
          </w:p>
        </w:tc>
        <w:tc>
          <w:tcPr>
            <w:tcW w:w="682" w:type="pct"/>
            <w:tcBorders>
              <w:top w:val="single" w:sz="2" w:space="0" w:color="262626" w:themeColor="text1" w:themeTint="D9"/>
            </w:tcBorders>
            <w:shd w:val="clear" w:color="auto" w:fill="auto"/>
            <w:vAlign w:val="bottom"/>
          </w:tcPr>
          <w:p w14:paraId="65DAE894" w14:textId="17DC684B" w:rsidR="00162F4A" w:rsidRPr="005C29F8" w:rsidRDefault="00162F4A" w:rsidP="00162F4A">
            <w:pPr>
              <w:jc w:val="center"/>
              <w:rPr>
                <w:rFonts w:cs="Arial"/>
                <w:b/>
                <w:color w:val="000000" w:themeColor="text1"/>
                <w:szCs w:val="16"/>
              </w:rPr>
            </w:pPr>
            <w:r w:rsidRPr="005C29F8">
              <w:rPr>
                <w:rFonts w:cs="Arial"/>
                <w:b/>
                <w:color w:val="000000" w:themeColor="text1"/>
                <w:szCs w:val="16"/>
              </w:rPr>
              <w:t>2018</w:t>
            </w:r>
          </w:p>
        </w:tc>
      </w:tr>
      <w:tr w:rsidR="005C29F8" w:rsidRPr="005C29F8" w14:paraId="0EF5BCBF" w14:textId="77777777" w:rsidTr="00AB0D6A">
        <w:trPr>
          <w:trHeight w:val="152"/>
        </w:trPr>
        <w:tc>
          <w:tcPr>
            <w:tcW w:w="248" w:type="pct"/>
            <w:shd w:val="clear" w:color="auto" w:fill="auto"/>
            <w:vAlign w:val="center"/>
          </w:tcPr>
          <w:p w14:paraId="728F2A22" w14:textId="77777777" w:rsidR="00911AA1" w:rsidRPr="00691ABA" w:rsidRDefault="00911AA1">
            <w:pPr>
              <w:spacing w:before="0" w:after="0"/>
              <w:jc w:val="center"/>
              <w:rPr>
                <w:rFonts w:cs="Arial"/>
                <w:b/>
                <w:bCs/>
                <w:color w:val="000000" w:themeColor="text1"/>
                <w:szCs w:val="16"/>
              </w:rPr>
            </w:pPr>
            <w:r w:rsidRPr="00691ABA">
              <w:rPr>
                <w:rFonts w:cs="Arial"/>
                <w:b/>
                <w:bCs/>
                <w:color w:val="000000" w:themeColor="text1"/>
                <w:szCs w:val="16"/>
              </w:rPr>
              <w:t>A</w:t>
            </w:r>
          </w:p>
        </w:tc>
        <w:tc>
          <w:tcPr>
            <w:tcW w:w="459" w:type="pct"/>
            <w:shd w:val="clear" w:color="auto" w:fill="auto"/>
            <w:vAlign w:val="center"/>
          </w:tcPr>
          <w:p w14:paraId="62FBAB2C" w14:textId="6BE2B037" w:rsidR="00911AA1" w:rsidRPr="005C29F8" w:rsidDel="00DE5045" w:rsidRDefault="00911AA1" w:rsidP="00A018D4">
            <w:pPr>
              <w:jc w:val="center"/>
              <w:rPr>
                <w:rFonts w:cs="Arial"/>
                <w:color w:val="000000" w:themeColor="text1"/>
                <w:szCs w:val="16"/>
              </w:rPr>
            </w:pPr>
            <w:r w:rsidRPr="005C29F8">
              <w:rPr>
                <w:rFonts w:cs="Arial"/>
                <w:color w:val="000000" w:themeColor="text1"/>
                <w:szCs w:val="16"/>
              </w:rPr>
              <w:t>Overall</w:t>
            </w:r>
          </w:p>
        </w:tc>
        <w:tc>
          <w:tcPr>
            <w:tcW w:w="541" w:type="pct"/>
            <w:shd w:val="clear" w:color="auto" w:fill="auto"/>
            <w:vAlign w:val="center"/>
          </w:tcPr>
          <w:p w14:paraId="008927AE" w14:textId="1C40C102" w:rsidR="00EF0D49" w:rsidRPr="005C29F8" w:rsidRDefault="00EF0D49">
            <w:pPr>
              <w:spacing w:before="0" w:after="0"/>
              <w:jc w:val="center"/>
              <w:rPr>
                <w:rFonts w:cs="Arial"/>
                <w:color w:val="000000" w:themeColor="text1"/>
                <w:szCs w:val="16"/>
              </w:rPr>
            </w:pPr>
            <w:r w:rsidRPr="005C29F8">
              <w:rPr>
                <w:rFonts w:cs="Arial"/>
                <w:color w:val="000000" w:themeColor="text1"/>
                <w:szCs w:val="16"/>
              </w:rPr>
              <w:t>2018</w:t>
            </w:r>
          </w:p>
        </w:tc>
        <w:tc>
          <w:tcPr>
            <w:tcW w:w="335" w:type="pct"/>
            <w:shd w:val="clear" w:color="auto" w:fill="auto"/>
            <w:vAlign w:val="center"/>
          </w:tcPr>
          <w:p w14:paraId="242C21CC" w14:textId="7B392FA2" w:rsidR="00911AA1" w:rsidRPr="005C29F8" w:rsidRDefault="00911AA1" w:rsidP="00A018D4">
            <w:pPr>
              <w:spacing w:before="0" w:after="0"/>
              <w:rPr>
                <w:rFonts w:cs="Arial"/>
                <w:color w:val="000000" w:themeColor="text1"/>
                <w:szCs w:val="16"/>
              </w:rPr>
            </w:pPr>
            <w:r w:rsidRPr="005C29F8">
              <w:rPr>
                <w:rFonts w:cs="Arial"/>
                <w:color w:val="000000" w:themeColor="text1"/>
                <w:szCs w:val="16"/>
              </w:rPr>
              <w:t>Target &gt;=</w:t>
            </w:r>
          </w:p>
        </w:tc>
        <w:tc>
          <w:tcPr>
            <w:tcW w:w="683" w:type="pct"/>
            <w:shd w:val="clear" w:color="auto" w:fill="auto"/>
            <w:vAlign w:val="bottom"/>
          </w:tcPr>
          <w:p w14:paraId="4C194E33" w14:textId="50E2B3DB" w:rsidR="00911AA1" w:rsidRPr="005C29F8" w:rsidRDefault="00911AA1" w:rsidP="00A018D4">
            <w:pPr>
              <w:jc w:val="center"/>
              <w:rPr>
                <w:rFonts w:cs="Arial"/>
                <w:color w:val="000000" w:themeColor="text1"/>
                <w:szCs w:val="16"/>
              </w:rPr>
            </w:pPr>
          </w:p>
        </w:tc>
        <w:tc>
          <w:tcPr>
            <w:tcW w:w="684" w:type="pct"/>
            <w:shd w:val="clear" w:color="auto" w:fill="auto"/>
            <w:vAlign w:val="bottom"/>
          </w:tcPr>
          <w:p w14:paraId="01D9D21F" w14:textId="3F7E75CD" w:rsidR="00911AA1" w:rsidRPr="005C29F8" w:rsidRDefault="00911AA1" w:rsidP="00A018D4">
            <w:pPr>
              <w:jc w:val="center"/>
              <w:rPr>
                <w:rFonts w:cs="Arial"/>
                <w:color w:val="000000" w:themeColor="text1"/>
                <w:szCs w:val="16"/>
              </w:rPr>
            </w:pPr>
          </w:p>
        </w:tc>
        <w:tc>
          <w:tcPr>
            <w:tcW w:w="684" w:type="pct"/>
            <w:shd w:val="clear" w:color="auto" w:fill="auto"/>
            <w:vAlign w:val="bottom"/>
          </w:tcPr>
          <w:p w14:paraId="1C5EAFB4" w14:textId="56F72B3E" w:rsidR="00911AA1" w:rsidRPr="005C29F8" w:rsidRDefault="00911AA1" w:rsidP="00A018D4">
            <w:pPr>
              <w:jc w:val="center"/>
              <w:rPr>
                <w:rFonts w:cs="Arial"/>
                <w:color w:val="000000" w:themeColor="text1"/>
                <w:szCs w:val="16"/>
              </w:rPr>
            </w:pPr>
            <w:r w:rsidRPr="005C29F8">
              <w:rPr>
                <w:rFonts w:cs="Arial"/>
                <w:color w:val="000000" w:themeColor="text1"/>
                <w:szCs w:val="16"/>
              </w:rPr>
              <w:t>50.00%</w:t>
            </w:r>
          </w:p>
        </w:tc>
        <w:tc>
          <w:tcPr>
            <w:tcW w:w="684" w:type="pct"/>
            <w:shd w:val="clear" w:color="auto" w:fill="auto"/>
            <w:vAlign w:val="bottom"/>
          </w:tcPr>
          <w:p w14:paraId="778747F5" w14:textId="5FAE52D8" w:rsidR="00911AA1" w:rsidRPr="005C29F8" w:rsidRDefault="00911AA1" w:rsidP="00A018D4">
            <w:pPr>
              <w:jc w:val="center"/>
              <w:rPr>
                <w:rFonts w:cs="Arial"/>
                <w:color w:val="000000" w:themeColor="text1"/>
                <w:szCs w:val="16"/>
              </w:rPr>
            </w:pPr>
            <w:r w:rsidRPr="005C29F8">
              <w:rPr>
                <w:rFonts w:cs="Arial"/>
                <w:color w:val="000000" w:themeColor="text1"/>
                <w:szCs w:val="16"/>
              </w:rPr>
              <w:t>60.00%</w:t>
            </w:r>
          </w:p>
        </w:tc>
        <w:tc>
          <w:tcPr>
            <w:tcW w:w="682" w:type="pct"/>
            <w:shd w:val="clear" w:color="auto" w:fill="auto"/>
            <w:vAlign w:val="bottom"/>
          </w:tcPr>
          <w:p w14:paraId="1BE0825C" w14:textId="6C340F48" w:rsidR="00911AA1" w:rsidRPr="005C29F8" w:rsidRDefault="00911AA1" w:rsidP="00A018D4">
            <w:pPr>
              <w:jc w:val="center"/>
              <w:rPr>
                <w:rFonts w:cs="Arial"/>
                <w:color w:val="000000" w:themeColor="text1"/>
                <w:szCs w:val="16"/>
              </w:rPr>
            </w:pPr>
          </w:p>
        </w:tc>
      </w:tr>
      <w:tr w:rsidR="005C29F8" w:rsidRPr="005C29F8" w14:paraId="052BBF2E" w14:textId="77777777" w:rsidTr="00AB0D6A">
        <w:trPr>
          <w:trHeight w:val="80"/>
        </w:trPr>
        <w:tc>
          <w:tcPr>
            <w:tcW w:w="248" w:type="pct"/>
            <w:shd w:val="clear" w:color="auto" w:fill="auto"/>
            <w:vAlign w:val="center"/>
          </w:tcPr>
          <w:p w14:paraId="1A098B45" w14:textId="31A66B0C" w:rsidR="009F5EEA" w:rsidRPr="00691ABA" w:rsidRDefault="009F5EEA">
            <w:pPr>
              <w:spacing w:before="0" w:after="0"/>
              <w:jc w:val="center"/>
              <w:rPr>
                <w:rFonts w:cs="Arial"/>
                <w:b/>
                <w:bCs/>
                <w:color w:val="000000" w:themeColor="text1"/>
                <w:szCs w:val="16"/>
              </w:rPr>
            </w:pPr>
            <w:r w:rsidRPr="00691ABA">
              <w:rPr>
                <w:rFonts w:cs="Arial"/>
                <w:b/>
                <w:bCs/>
                <w:color w:val="000000" w:themeColor="text1"/>
                <w:szCs w:val="16"/>
              </w:rPr>
              <w:t>A</w:t>
            </w:r>
          </w:p>
        </w:tc>
        <w:tc>
          <w:tcPr>
            <w:tcW w:w="459" w:type="pct"/>
            <w:shd w:val="clear" w:color="auto" w:fill="auto"/>
            <w:vAlign w:val="center"/>
          </w:tcPr>
          <w:p w14:paraId="7B30A018" w14:textId="58657E74" w:rsidR="009F5EEA" w:rsidRPr="005C29F8" w:rsidRDefault="009F5EEA">
            <w:pPr>
              <w:spacing w:before="0" w:after="0"/>
              <w:jc w:val="center"/>
              <w:rPr>
                <w:rFonts w:cs="Arial"/>
                <w:color w:val="000000" w:themeColor="text1"/>
                <w:szCs w:val="16"/>
              </w:rPr>
            </w:pPr>
            <w:r w:rsidRPr="005C29F8">
              <w:rPr>
                <w:rFonts w:cs="Arial"/>
                <w:color w:val="000000" w:themeColor="text1"/>
                <w:szCs w:val="16"/>
              </w:rPr>
              <w:t>Overall</w:t>
            </w:r>
          </w:p>
        </w:tc>
        <w:tc>
          <w:tcPr>
            <w:tcW w:w="541" w:type="pct"/>
            <w:shd w:val="clear" w:color="auto" w:fill="auto"/>
            <w:vAlign w:val="center"/>
          </w:tcPr>
          <w:p w14:paraId="7F6F465E" w14:textId="5FA8C219" w:rsidR="009F5EEA" w:rsidRPr="005C29F8" w:rsidRDefault="00EF0D49">
            <w:pPr>
              <w:spacing w:before="0" w:after="0"/>
              <w:jc w:val="center"/>
              <w:rPr>
                <w:rFonts w:cs="Arial"/>
                <w:color w:val="000000" w:themeColor="text1"/>
                <w:szCs w:val="16"/>
              </w:rPr>
            </w:pPr>
            <w:r w:rsidRPr="005C29F8">
              <w:rPr>
                <w:rFonts w:cs="Arial"/>
                <w:color w:val="000000" w:themeColor="text1"/>
                <w:szCs w:val="16"/>
              </w:rPr>
              <w:t>15.31%</w:t>
            </w:r>
          </w:p>
        </w:tc>
        <w:tc>
          <w:tcPr>
            <w:tcW w:w="335" w:type="pct"/>
            <w:shd w:val="clear" w:color="auto" w:fill="auto"/>
            <w:vAlign w:val="center"/>
          </w:tcPr>
          <w:p w14:paraId="09D738EF" w14:textId="28C3ED31" w:rsidR="009F5EEA" w:rsidRPr="005C29F8" w:rsidRDefault="009F5EEA" w:rsidP="00A018D4">
            <w:pPr>
              <w:spacing w:before="0" w:after="0"/>
              <w:rPr>
                <w:rFonts w:cs="Arial"/>
                <w:color w:val="000000" w:themeColor="text1"/>
                <w:szCs w:val="16"/>
              </w:rPr>
            </w:pPr>
            <w:r w:rsidRPr="005C29F8">
              <w:rPr>
                <w:rFonts w:cs="Arial"/>
                <w:color w:val="000000" w:themeColor="text1"/>
                <w:szCs w:val="16"/>
              </w:rPr>
              <w:t>Actual</w:t>
            </w:r>
          </w:p>
        </w:tc>
        <w:tc>
          <w:tcPr>
            <w:tcW w:w="683" w:type="pct"/>
            <w:shd w:val="clear" w:color="auto" w:fill="auto"/>
            <w:vAlign w:val="bottom"/>
          </w:tcPr>
          <w:p w14:paraId="20AFEDE9" w14:textId="32769F7B" w:rsidR="009F5EEA" w:rsidRPr="005C29F8" w:rsidRDefault="009F5EEA" w:rsidP="00A018D4">
            <w:pPr>
              <w:jc w:val="center"/>
              <w:rPr>
                <w:rFonts w:cs="Arial"/>
                <w:color w:val="000000" w:themeColor="text1"/>
                <w:szCs w:val="16"/>
              </w:rPr>
            </w:pPr>
            <w:r w:rsidRPr="005C29F8">
              <w:rPr>
                <w:rFonts w:cs="Arial"/>
                <w:color w:val="000000" w:themeColor="text1"/>
                <w:szCs w:val="16"/>
              </w:rPr>
              <w:t>22.71%</w:t>
            </w:r>
          </w:p>
        </w:tc>
        <w:tc>
          <w:tcPr>
            <w:tcW w:w="684" w:type="pct"/>
            <w:tcBorders>
              <w:bottom w:val="single" w:sz="4" w:space="0" w:color="auto"/>
            </w:tcBorders>
            <w:shd w:val="clear" w:color="auto" w:fill="auto"/>
            <w:vAlign w:val="bottom"/>
          </w:tcPr>
          <w:p w14:paraId="1846C941" w14:textId="218BCD53" w:rsidR="009F5EEA" w:rsidRPr="005C29F8" w:rsidRDefault="009F5EEA" w:rsidP="00A018D4">
            <w:pPr>
              <w:jc w:val="center"/>
              <w:rPr>
                <w:rFonts w:cs="Arial"/>
                <w:color w:val="000000" w:themeColor="text1"/>
                <w:szCs w:val="16"/>
              </w:rPr>
            </w:pPr>
            <w:r w:rsidRPr="005C29F8">
              <w:rPr>
                <w:rFonts w:cs="Arial"/>
                <w:color w:val="000000" w:themeColor="text1"/>
                <w:szCs w:val="16"/>
              </w:rPr>
              <w:t>24.71%</w:t>
            </w:r>
          </w:p>
        </w:tc>
        <w:tc>
          <w:tcPr>
            <w:tcW w:w="684" w:type="pct"/>
            <w:tcBorders>
              <w:bottom w:val="single" w:sz="4" w:space="0" w:color="auto"/>
            </w:tcBorders>
            <w:shd w:val="clear" w:color="auto" w:fill="auto"/>
            <w:vAlign w:val="bottom"/>
          </w:tcPr>
          <w:p w14:paraId="6EA392A2" w14:textId="30FB9779" w:rsidR="009F5EEA" w:rsidRPr="005C29F8" w:rsidRDefault="009F5EEA" w:rsidP="00A018D4">
            <w:pPr>
              <w:jc w:val="center"/>
              <w:rPr>
                <w:rFonts w:cs="Arial"/>
                <w:color w:val="000000" w:themeColor="text1"/>
                <w:szCs w:val="16"/>
              </w:rPr>
            </w:pPr>
            <w:r w:rsidRPr="005C29F8">
              <w:rPr>
                <w:rFonts w:cs="Arial"/>
                <w:color w:val="000000" w:themeColor="text1"/>
                <w:szCs w:val="16"/>
              </w:rPr>
              <w:t>17.39%</w:t>
            </w:r>
          </w:p>
        </w:tc>
        <w:tc>
          <w:tcPr>
            <w:tcW w:w="684" w:type="pct"/>
            <w:tcBorders>
              <w:bottom w:val="single" w:sz="4" w:space="0" w:color="auto"/>
            </w:tcBorders>
            <w:shd w:val="clear" w:color="auto" w:fill="auto"/>
            <w:vAlign w:val="bottom"/>
          </w:tcPr>
          <w:p w14:paraId="143D50C2" w14:textId="5204B1F0" w:rsidR="009F5EEA" w:rsidRPr="005C29F8" w:rsidRDefault="009F5EEA" w:rsidP="00A018D4">
            <w:pPr>
              <w:jc w:val="center"/>
              <w:rPr>
                <w:rFonts w:cs="Arial"/>
                <w:color w:val="000000" w:themeColor="text1"/>
                <w:szCs w:val="16"/>
              </w:rPr>
            </w:pPr>
            <w:r w:rsidRPr="005C29F8">
              <w:rPr>
                <w:rFonts w:cs="Arial"/>
                <w:color w:val="000000" w:themeColor="text1"/>
                <w:szCs w:val="16"/>
              </w:rPr>
              <w:t>17.36%</w:t>
            </w:r>
          </w:p>
        </w:tc>
        <w:tc>
          <w:tcPr>
            <w:tcW w:w="682" w:type="pct"/>
            <w:tcBorders>
              <w:bottom w:val="single" w:sz="4" w:space="0" w:color="auto"/>
            </w:tcBorders>
            <w:shd w:val="clear" w:color="auto" w:fill="auto"/>
            <w:vAlign w:val="bottom"/>
          </w:tcPr>
          <w:p w14:paraId="0F4FD85A" w14:textId="0F627091" w:rsidR="009F5EEA" w:rsidRPr="005C29F8" w:rsidRDefault="009F5EEA" w:rsidP="00A018D4">
            <w:pPr>
              <w:jc w:val="center"/>
              <w:rPr>
                <w:rFonts w:cs="Arial"/>
                <w:color w:val="000000" w:themeColor="text1"/>
                <w:szCs w:val="16"/>
              </w:rPr>
            </w:pPr>
            <w:r w:rsidRPr="005C29F8">
              <w:rPr>
                <w:rFonts w:cs="Arial"/>
                <w:color w:val="000000" w:themeColor="text1"/>
                <w:szCs w:val="16"/>
              </w:rPr>
              <w:t>15.31%</w:t>
            </w:r>
          </w:p>
        </w:tc>
      </w:tr>
    </w:tbl>
    <w:p w14:paraId="764C016B" w14:textId="48180105" w:rsidR="00A10323" w:rsidRDefault="00A10323" w:rsidP="004369B2">
      <w:pPr>
        <w:rPr>
          <w:b/>
          <w:color w:val="000000" w:themeColor="text1"/>
        </w:rPr>
      </w:pPr>
      <w:r w:rsidRPr="005C29F8">
        <w:rPr>
          <w:b/>
          <w:color w:val="000000" w:themeColor="text1"/>
        </w:rPr>
        <w:t>Targets</w:t>
      </w:r>
    </w:p>
    <w:tbl>
      <w:tblPr>
        <w:tblW w:w="3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TARGETS"/>
      </w:tblPr>
      <w:tblGrid>
        <w:gridCol w:w="813"/>
        <w:gridCol w:w="753"/>
        <w:gridCol w:w="2149"/>
        <w:gridCol w:w="3680"/>
      </w:tblGrid>
      <w:tr w:rsidR="00085D89" w:rsidRPr="005C29F8" w14:paraId="6FE97918" w14:textId="6786F570" w:rsidTr="0033429D">
        <w:tc>
          <w:tcPr>
            <w:tcW w:w="550" w:type="pct"/>
            <w:tcBorders>
              <w:bottom w:val="single" w:sz="4" w:space="0" w:color="auto"/>
            </w:tcBorders>
            <w:shd w:val="clear" w:color="auto" w:fill="auto"/>
          </w:tcPr>
          <w:p w14:paraId="5CDF6985" w14:textId="5342FC63" w:rsidR="00085D89" w:rsidRPr="005C29F8" w:rsidRDefault="002B6965" w:rsidP="004369B2">
            <w:pPr>
              <w:jc w:val="center"/>
              <w:rPr>
                <w:b/>
                <w:color w:val="000000" w:themeColor="text1"/>
              </w:rPr>
            </w:pPr>
            <w:r>
              <w:rPr>
                <w:b/>
                <w:color w:val="000000" w:themeColor="text1"/>
              </w:rPr>
              <w:t>Subject</w:t>
            </w:r>
          </w:p>
        </w:tc>
        <w:tc>
          <w:tcPr>
            <w:tcW w:w="509" w:type="pct"/>
            <w:tcBorders>
              <w:bottom w:val="single" w:sz="4" w:space="0" w:color="auto"/>
            </w:tcBorders>
            <w:shd w:val="clear" w:color="auto" w:fill="auto"/>
          </w:tcPr>
          <w:p w14:paraId="01DFF2B4" w14:textId="2094C240" w:rsidR="00085D89" w:rsidRPr="005C29F8" w:rsidRDefault="00085D89" w:rsidP="004369B2">
            <w:pPr>
              <w:jc w:val="center"/>
              <w:rPr>
                <w:b/>
                <w:color w:val="000000" w:themeColor="text1"/>
              </w:rPr>
            </w:pPr>
            <w:r w:rsidRPr="005C29F8">
              <w:rPr>
                <w:b/>
                <w:color w:val="000000" w:themeColor="text1"/>
              </w:rPr>
              <w:t>Group</w:t>
            </w:r>
          </w:p>
        </w:tc>
        <w:tc>
          <w:tcPr>
            <w:tcW w:w="1453" w:type="pct"/>
            <w:shd w:val="clear" w:color="auto" w:fill="auto"/>
          </w:tcPr>
          <w:p w14:paraId="3976F221" w14:textId="32F28582" w:rsidR="00085D89" w:rsidRPr="005C29F8" w:rsidDel="008E7B87" w:rsidRDefault="00085D89" w:rsidP="004369B2">
            <w:pPr>
              <w:jc w:val="center"/>
              <w:rPr>
                <w:b/>
                <w:color w:val="000000" w:themeColor="text1"/>
              </w:rPr>
            </w:pPr>
            <w:r w:rsidRPr="005C29F8">
              <w:rPr>
                <w:b/>
                <w:color w:val="000000" w:themeColor="text1"/>
              </w:rPr>
              <w:t>Group Name</w:t>
            </w:r>
          </w:p>
        </w:tc>
        <w:tc>
          <w:tcPr>
            <w:tcW w:w="2488" w:type="pct"/>
            <w:shd w:val="clear" w:color="auto" w:fill="auto"/>
          </w:tcPr>
          <w:p w14:paraId="076E9FA3" w14:textId="2BDFEC53" w:rsidR="00085D89" w:rsidRPr="005C29F8" w:rsidRDefault="00085D89" w:rsidP="004369B2">
            <w:pPr>
              <w:jc w:val="center"/>
              <w:rPr>
                <w:b/>
                <w:color w:val="000000" w:themeColor="text1"/>
              </w:rPr>
            </w:pPr>
            <w:r w:rsidRPr="005C29F8">
              <w:rPr>
                <w:b/>
                <w:color w:val="000000" w:themeColor="text1"/>
              </w:rPr>
              <w:t>2019</w:t>
            </w:r>
          </w:p>
        </w:tc>
      </w:tr>
      <w:tr w:rsidR="00085D89" w:rsidRPr="005C29F8" w14:paraId="24016D03" w14:textId="13B6AD79" w:rsidTr="00085D89">
        <w:tc>
          <w:tcPr>
            <w:tcW w:w="550" w:type="pct"/>
            <w:shd w:val="clear" w:color="auto" w:fill="auto"/>
          </w:tcPr>
          <w:p w14:paraId="6AD78348" w14:textId="77777777" w:rsidR="00085D89" w:rsidRPr="005C29F8" w:rsidRDefault="00085D89" w:rsidP="00EC2237">
            <w:pPr>
              <w:spacing w:before="0" w:after="0"/>
              <w:jc w:val="center"/>
              <w:rPr>
                <w:rFonts w:cs="Arial"/>
                <w:color w:val="000000" w:themeColor="text1"/>
                <w:szCs w:val="16"/>
              </w:rPr>
            </w:pPr>
            <w:r w:rsidRPr="005C29F8">
              <w:rPr>
                <w:rFonts w:cs="Arial"/>
                <w:color w:val="000000" w:themeColor="text1"/>
                <w:szCs w:val="16"/>
              </w:rPr>
              <w:t>Reading</w:t>
            </w:r>
          </w:p>
        </w:tc>
        <w:tc>
          <w:tcPr>
            <w:tcW w:w="509" w:type="pct"/>
            <w:shd w:val="clear" w:color="auto" w:fill="auto"/>
            <w:vAlign w:val="center"/>
          </w:tcPr>
          <w:p w14:paraId="68D451C5" w14:textId="0D62DF33" w:rsidR="00085D89" w:rsidRPr="005C29F8" w:rsidRDefault="00085D89" w:rsidP="00EC2237">
            <w:pPr>
              <w:spacing w:before="0" w:after="0"/>
              <w:jc w:val="center"/>
              <w:rPr>
                <w:rFonts w:cs="Arial"/>
                <w:color w:val="000000" w:themeColor="text1"/>
                <w:szCs w:val="16"/>
              </w:rPr>
            </w:pPr>
            <w:r w:rsidRPr="005C29F8">
              <w:rPr>
                <w:rFonts w:cs="Arial"/>
                <w:color w:val="000000" w:themeColor="text1"/>
                <w:szCs w:val="16"/>
              </w:rPr>
              <w:t>A &gt;=</w:t>
            </w:r>
          </w:p>
        </w:tc>
        <w:tc>
          <w:tcPr>
            <w:tcW w:w="1453" w:type="pct"/>
            <w:shd w:val="clear" w:color="auto" w:fill="auto"/>
          </w:tcPr>
          <w:p w14:paraId="10A86524" w14:textId="5A0D56E6" w:rsidR="00085D89" w:rsidRPr="005C29F8" w:rsidDel="00DE5045" w:rsidRDefault="00085D89" w:rsidP="00A018D4">
            <w:pPr>
              <w:jc w:val="center"/>
              <w:rPr>
                <w:rFonts w:cs="Arial"/>
                <w:color w:val="000000" w:themeColor="text1"/>
                <w:szCs w:val="16"/>
              </w:rPr>
            </w:pPr>
            <w:r w:rsidRPr="005C29F8">
              <w:rPr>
                <w:rFonts w:cs="Arial"/>
                <w:color w:val="000000" w:themeColor="text1"/>
                <w:szCs w:val="16"/>
              </w:rPr>
              <w:t>Overall</w:t>
            </w:r>
          </w:p>
        </w:tc>
        <w:tc>
          <w:tcPr>
            <w:tcW w:w="2488" w:type="pct"/>
            <w:shd w:val="clear" w:color="auto" w:fill="auto"/>
            <w:vAlign w:val="center"/>
          </w:tcPr>
          <w:p w14:paraId="3451F312" w14:textId="2295E6F6" w:rsidR="00085D89" w:rsidRPr="005C29F8" w:rsidRDefault="00085D89" w:rsidP="00A018D4">
            <w:pPr>
              <w:jc w:val="center"/>
              <w:rPr>
                <w:rFonts w:cs="Arial"/>
                <w:color w:val="000000" w:themeColor="text1"/>
                <w:szCs w:val="16"/>
              </w:rPr>
            </w:pPr>
            <w:r w:rsidRPr="005C29F8">
              <w:rPr>
                <w:rFonts w:cs="Arial"/>
                <w:color w:val="000000" w:themeColor="text1"/>
                <w:szCs w:val="16"/>
              </w:rPr>
              <w:t>20.00%</w:t>
            </w:r>
          </w:p>
        </w:tc>
      </w:tr>
      <w:tr w:rsidR="00085D89" w:rsidRPr="005C29F8" w14:paraId="4D7E1CB4" w14:textId="424ACF7D" w:rsidTr="00085D89">
        <w:tc>
          <w:tcPr>
            <w:tcW w:w="550" w:type="pct"/>
            <w:shd w:val="clear" w:color="auto" w:fill="auto"/>
          </w:tcPr>
          <w:p w14:paraId="3E17FC71" w14:textId="77777777" w:rsidR="00085D89" w:rsidRPr="005C29F8" w:rsidRDefault="00085D89" w:rsidP="00EC2237">
            <w:pPr>
              <w:spacing w:before="0" w:after="0"/>
              <w:jc w:val="center"/>
              <w:rPr>
                <w:rFonts w:cs="Arial"/>
                <w:color w:val="000000" w:themeColor="text1"/>
                <w:szCs w:val="16"/>
              </w:rPr>
            </w:pPr>
            <w:r w:rsidRPr="005C29F8">
              <w:rPr>
                <w:rFonts w:cs="Arial"/>
                <w:color w:val="000000" w:themeColor="text1"/>
                <w:szCs w:val="16"/>
              </w:rPr>
              <w:t>Math</w:t>
            </w:r>
          </w:p>
        </w:tc>
        <w:tc>
          <w:tcPr>
            <w:tcW w:w="509" w:type="pct"/>
            <w:shd w:val="clear" w:color="auto" w:fill="auto"/>
          </w:tcPr>
          <w:p w14:paraId="393C59D6" w14:textId="4FA6AC82" w:rsidR="00085D89" w:rsidRPr="005C29F8" w:rsidRDefault="00085D89" w:rsidP="00EC2237">
            <w:pPr>
              <w:spacing w:before="0" w:after="0"/>
              <w:jc w:val="center"/>
              <w:rPr>
                <w:rFonts w:cs="Arial"/>
                <w:color w:val="000000" w:themeColor="text1"/>
                <w:szCs w:val="16"/>
              </w:rPr>
            </w:pPr>
            <w:r w:rsidRPr="005C29F8">
              <w:rPr>
                <w:rFonts w:cs="Arial"/>
                <w:color w:val="000000" w:themeColor="text1"/>
                <w:szCs w:val="16"/>
              </w:rPr>
              <w:t>A &gt;=</w:t>
            </w:r>
          </w:p>
        </w:tc>
        <w:tc>
          <w:tcPr>
            <w:tcW w:w="1453" w:type="pct"/>
            <w:shd w:val="clear" w:color="auto" w:fill="auto"/>
          </w:tcPr>
          <w:p w14:paraId="06CBBAA1" w14:textId="37FD6A87" w:rsidR="00085D89" w:rsidRPr="005C29F8" w:rsidDel="00DE5045" w:rsidRDefault="00085D89" w:rsidP="00A018D4">
            <w:pPr>
              <w:jc w:val="center"/>
              <w:rPr>
                <w:rFonts w:cs="Arial"/>
                <w:color w:val="000000" w:themeColor="text1"/>
                <w:szCs w:val="16"/>
              </w:rPr>
            </w:pPr>
            <w:r w:rsidRPr="005C29F8">
              <w:rPr>
                <w:rFonts w:cs="Arial"/>
                <w:color w:val="000000" w:themeColor="text1"/>
                <w:szCs w:val="16"/>
              </w:rPr>
              <w:t>Overall</w:t>
            </w:r>
          </w:p>
        </w:tc>
        <w:tc>
          <w:tcPr>
            <w:tcW w:w="2488" w:type="pct"/>
            <w:shd w:val="clear" w:color="auto" w:fill="auto"/>
            <w:vAlign w:val="center"/>
          </w:tcPr>
          <w:p w14:paraId="5B4F37F7" w14:textId="0586B65B" w:rsidR="00085D89" w:rsidRPr="005C29F8" w:rsidRDefault="00085D89" w:rsidP="00A018D4">
            <w:pPr>
              <w:jc w:val="center"/>
              <w:rPr>
                <w:rFonts w:cs="Arial"/>
                <w:color w:val="000000" w:themeColor="text1"/>
                <w:szCs w:val="16"/>
              </w:rPr>
            </w:pPr>
            <w:r w:rsidRPr="005C29F8">
              <w:rPr>
                <w:rFonts w:cs="Arial"/>
                <w:color w:val="000000" w:themeColor="text1"/>
                <w:szCs w:val="16"/>
              </w:rPr>
              <w:t>19.00%</w:t>
            </w:r>
          </w:p>
        </w:tc>
      </w:tr>
    </w:tbl>
    <w:p w14:paraId="0A08A514" w14:textId="2DB51945" w:rsidR="002D145D" w:rsidRDefault="002D145D" w:rsidP="004369B2">
      <w:pPr>
        <w:rPr>
          <w:b/>
          <w:color w:val="000000" w:themeColor="text1"/>
        </w:rPr>
      </w:pPr>
      <w:r w:rsidRPr="005C29F8">
        <w:rPr>
          <w:b/>
          <w:color w:val="000000" w:themeColor="text1"/>
        </w:rPr>
        <w:t xml:space="preserve">Targets: Description of Stakeholder Input </w:t>
      </w:r>
    </w:p>
    <w:p w14:paraId="08B1A70A" w14:textId="19A83495" w:rsidR="002D145D" w:rsidRDefault="002B7490" w:rsidP="002D145D">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2261CE05" w14:textId="31E113F2" w:rsidR="002D145D" w:rsidRPr="005C29F8" w:rsidRDefault="002B7490" w:rsidP="002D145D">
      <w:pPr>
        <w:rPr>
          <w:rFonts w:cs="Arial"/>
          <w:color w:val="000000" w:themeColor="text1"/>
          <w:szCs w:val="16"/>
        </w:rPr>
      </w:pPr>
      <w:r w:rsidRPr="005C29F8">
        <w:rPr>
          <w:rFonts w:cs="Arial"/>
          <w:color w:val="000000" w:themeColor="text1"/>
          <w:szCs w:val="16"/>
        </w:rPr>
        <w:lastRenderedPageBreak/>
        <w:t>NOTE: In FFY 2016, MA DESE introduced a new statewide assessment, the Next-Generation Massachusetts Comprehensive Assessment System (MCAS), (http://www.doe.mass.edu/accountability/). With this new statewide assessment, MA DESE no longer reports proficiency rates and CPI scores, as it had in the past. For reporting purposes as required by the SPP/APR, MA DESE has reported "Meeting Expectations" and "Exceeding Expectations" on the Next-Generation MCAS as "Proficient."  As noted in prior SPP-APRs, this assessment was gradually implemented over multiple school years.</w:t>
      </w:r>
      <w:r w:rsidRPr="005C29F8">
        <w:rPr>
          <w:rFonts w:cs="Arial"/>
          <w:color w:val="000000" w:themeColor="text1"/>
          <w:szCs w:val="16"/>
        </w:rPr>
        <w:br/>
      </w:r>
      <w:r w:rsidRPr="005C29F8">
        <w:rPr>
          <w:rFonts w:cs="Arial"/>
          <w:color w:val="000000" w:themeColor="text1"/>
          <w:szCs w:val="16"/>
        </w:rPr>
        <w:br/>
        <w:t xml:space="preserve">MA DESE set targets with the Advisory Panel at its January 2020 meeting. Although historical records indicate that FFY 2016 was a new baseline year, in practice, FFY 2018 was the first year that all students tested took the Next-Generation MCAS. Therefore the Advisory Panel endorsed setting FFY 2018 as a new baseline year with new targets for FFY 2019 of 20% for reading and 19% for math proficiency. These targets reflect under the gradual implementation of the Next-Generation MCAS. Moving forward, MA DESE will continue to engage its special education stakeholders in discussions around proficiency on the Next-Generation MCAS. As more years of assessment results are available, allowing for year-over-year comparison, MA DESE, with support from the IDEA Data Center and in collaboration with the Advisory Panel, will continue to update targets that are rigorous yet reflective of actual and anticipated growth.  </w:t>
      </w:r>
      <w:r w:rsidRPr="005C29F8">
        <w:rPr>
          <w:rFonts w:cs="Arial"/>
          <w:color w:val="000000" w:themeColor="text1"/>
          <w:szCs w:val="16"/>
        </w:rPr>
        <w:br/>
      </w:r>
      <w:r w:rsidRPr="005C29F8">
        <w:rPr>
          <w:rFonts w:cs="Arial"/>
          <w:color w:val="000000" w:themeColor="text1"/>
          <w:szCs w:val="16"/>
        </w:rPr>
        <w:br/>
        <w:t>MA DESE did not administer the Spring 2020 MCAS due to the cancellation of state assessments and school closures related to COVID-19. MA DESE cannot provide context or comment on the validity, accuracy and completeness of data, because there is no data to report. With no new MCAS data, the Advisory Panel endorsed at its January 2021 meeting that targets should remain at FFY 19 levels for FFY 2020: 20% for reading and 19% for math proficiency.</w:t>
      </w:r>
      <w:r w:rsidRPr="005C29F8">
        <w:rPr>
          <w:rFonts w:cs="Arial"/>
          <w:color w:val="000000" w:themeColor="text1"/>
          <w:szCs w:val="16"/>
        </w:rPr>
        <w:br/>
      </w:r>
      <w:r w:rsidRPr="005C29F8">
        <w:rPr>
          <w:rFonts w:cs="Arial"/>
          <w:color w:val="000000" w:themeColor="text1"/>
          <w:szCs w:val="16"/>
        </w:rPr>
        <w:br/>
        <w:t>USED Waiver</w:t>
      </w:r>
      <w:r w:rsidRPr="005C29F8">
        <w:rPr>
          <w:rFonts w:cs="Arial"/>
          <w:color w:val="000000" w:themeColor="text1"/>
          <w:szCs w:val="16"/>
        </w:rPr>
        <w:br/>
        <w:t>On March 24, 2020, Massachusetts applied for a wavier from USED to not administer the statewide assessment. On March 27th, 2020, USED granted, based on section 8401(b) of the ESEA, a waiver of the assessment, accountability and reporting requirements for the 2019-2020 school year for the following:</w:t>
      </w:r>
      <w:r w:rsidRPr="005C29F8">
        <w:rPr>
          <w:rFonts w:cs="Arial"/>
          <w:color w:val="000000" w:themeColor="text1"/>
          <w:szCs w:val="16"/>
        </w:rPr>
        <w:br/>
        <w:t>• Assessment requirements in section 1111(b)(2) for the school year 2019-2020.</w:t>
      </w:r>
      <w:r w:rsidRPr="005C29F8">
        <w:rPr>
          <w:rFonts w:cs="Arial"/>
          <w:color w:val="000000" w:themeColor="text1"/>
          <w:szCs w:val="16"/>
        </w:rPr>
        <w:br/>
        <w:t>• Accountability and school identification requirements in sections 1111(c)(4) and 1111(d)(2)(C)-(D) that are based on data from the 2019-2020 school year.</w:t>
      </w:r>
      <w:r w:rsidRPr="005C29F8">
        <w:rPr>
          <w:rFonts w:cs="Arial"/>
          <w:color w:val="000000" w:themeColor="text1"/>
          <w:szCs w:val="16"/>
        </w:rPr>
        <w:br/>
        <w:t>• Report card provisions related to assessments and accountability in section 1111(h) based on data from the 2019-2020 school year. These include:</w:t>
      </w:r>
      <w:r w:rsidRPr="005C29F8">
        <w:rPr>
          <w:rFonts w:cs="Arial"/>
          <w:color w:val="000000" w:themeColor="text1"/>
          <w:szCs w:val="16"/>
        </w:rPr>
        <w:br/>
        <w:t>1) Section 1111(h)(1)(C)(i) (accountability system description);</w:t>
      </w:r>
      <w:r w:rsidRPr="005C29F8">
        <w:rPr>
          <w:rFonts w:cs="Arial"/>
          <w:color w:val="000000" w:themeColor="text1"/>
          <w:szCs w:val="16"/>
        </w:rPr>
        <w:br/>
        <w:t>2) Section 1111(h)(1)(C)(ii) (assessment results);</w:t>
      </w:r>
      <w:r w:rsidRPr="005C29F8">
        <w:rPr>
          <w:rFonts w:cs="Arial"/>
          <w:color w:val="000000" w:themeColor="text1"/>
          <w:szCs w:val="16"/>
        </w:rPr>
        <w:br/>
        <w:t>3) Section 1111(h)(1)(C)(iii)(I) (other academic indicator results);</w:t>
      </w:r>
      <w:r w:rsidRPr="005C29F8">
        <w:rPr>
          <w:rFonts w:cs="Arial"/>
          <w:color w:val="000000" w:themeColor="text1"/>
          <w:szCs w:val="16"/>
        </w:rPr>
        <w:br/>
        <w:t>4) Section 1111(h)(1)(C)(iv) (English language proficiency results);</w:t>
      </w:r>
      <w:r w:rsidRPr="005C29F8">
        <w:rPr>
          <w:rFonts w:cs="Arial"/>
          <w:color w:val="000000" w:themeColor="text1"/>
          <w:szCs w:val="16"/>
        </w:rPr>
        <w:br/>
        <w:t>5) Section 1111(h)(1)(C)(v) (school quality or student success indicator results);</w:t>
      </w:r>
      <w:r w:rsidRPr="005C29F8">
        <w:rPr>
          <w:rFonts w:cs="Arial"/>
          <w:color w:val="000000" w:themeColor="text1"/>
          <w:szCs w:val="16"/>
        </w:rPr>
        <w:br/>
        <w:t>6) Section 1111(h)(1)(C)(vi) (progress toward meeting long-term goals and measurements of interim progress);</w:t>
      </w:r>
      <w:r w:rsidRPr="005C29F8">
        <w:rPr>
          <w:rFonts w:cs="Arial"/>
          <w:color w:val="000000" w:themeColor="text1"/>
          <w:szCs w:val="16"/>
        </w:rPr>
        <w:br/>
        <w:t>7) Section 1111(h)(1)(C)(vii) (percentage of students assessed and not assessed);</w:t>
      </w:r>
      <w:r w:rsidRPr="005C29F8">
        <w:rPr>
          <w:rFonts w:cs="Arial"/>
          <w:color w:val="000000" w:themeColor="text1"/>
          <w:szCs w:val="16"/>
        </w:rPr>
        <w:br/>
        <w:t>8) Section 1111(h)(1)(C)(xi) (number and percentage of students with the most significant cognitive disabilities taking an alternate assessment); and</w:t>
      </w:r>
      <w:r w:rsidRPr="005C29F8">
        <w:rPr>
          <w:rFonts w:cs="Arial"/>
          <w:color w:val="000000" w:themeColor="text1"/>
          <w:szCs w:val="16"/>
        </w:rPr>
        <w:br/>
        <w:t>9) Section 1111(h)(2)(C) with respect to all waived requirements in section 1111(h)(1)(C) as well as 1111(h)(2)(C)(i)-(ii) (information showing how students in an LEA and each school, respectively, achieved on the academic assessments compared to students in the State and LEA).</w:t>
      </w:r>
      <w:r w:rsidRPr="005C29F8">
        <w:rPr>
          <w:rFonts w:cs="Arial"/>
          <w:color w:val="000000" w:themeColor="text1"/>
          <w:szCs w:val="16"/>
        </w:rPr>
        <w:br/>
      </w:r>
      <w:r w:rsidRPr="005C29F8">
        <w:rPr>
          <w:rFonts w:cs="Arial"/>
          <w:color w:val="000000" w:themeColor="text1"/>
          <w:szCs w:val="16"/>
        </w:rPr>
        <w:br/>
        <w:t xml:space="preserve">The 1993 Massachusetts Education Reform Law, M.G.L. c. 69, § 1I, mandates that all students educated with Massachusetts public funds participate in MCAS testing. MA DESE regularly updates its student participation requirements, (http://www.doe.mass.edu/mcas/participation.html?section=gr3-8and10) and information about accessibility and accommodations (http://www.doe.mass.edu/mcas/accessibility/) to support students' access to statewide assessments. On Friday April 10, 2020 (https://malegislature.gov/Bills/191/H4616) the state of Massachusetts passed legislation (H. 4616: An Act to further address challenges faced by municipalities, school districts and state authorities resulting from COVID-19) that allowed for the cancellation of the MCAS for SY19-20. On the evening of April 10, 2020, Jeffrey C. Riley, Massachusetts Commissioner of Elementary and Secondary Education, made the decision to cancel the MCAS and let all districts know of this decision.    </w:t>
      </w:r>
    </w:p>
    <w:p w14:paraId="4A15E54A" w14:textId="77777777" w:rsidR="00B8751C" w:rsidRPr="005C29F8" w:rsidRDefault="00B8751C">
      <w:pPr>
        <w:rPr>
          <w:b/>
          <w:color w:val="000000" w:themeColor="text1"/>
        </w:rPr>
      </w:pPr>
    </w:p>
    <w:p w14:paraId="01651096" w14:textId="65437481" w:rsidR="000A5A2E" w:rsidRPr="005C29F8" w:rsidRDefault="000A5A2E">
      <w:pPr>
        <w:rPr>
          <w:b/>
          <w:color w:val="000000" w:themeColor="text1"/>
        </w:rPr>
      </w:pPr>
      <w:r w:rsidRPr="005C29F8">
        <w:rPr>
          <w:b/>
          <w:color w:val="000000" w:themeColor="text1"/>
        </w:rPr>
        <w:t>FFY 2019 Data Disaggregation from EDFacts</w:t>
      </w:r>
    </w:p>
    <w:p w14:paraId="4A1354B9" w14:textId="4BC8E3AA" w:rsidR="00B8751C" w:rsidRPr="005C29F8" w:rsidRDefault="00B8751C">
      <w:pPr>
        <w:rPr>
          <w:rFonts w:cs="Arial"/>
          <w:b/>
          <w:color w:val="000000" w:themeColor="text1"/>
          <w:szCs w:val="16"/>
        </w:rPr>
      </w:pPr>
      <w:r w:rsidRPr="005C29F8">
        <w:rPr>
          <w:rFonts w:cs="Arial"/>
          <w:b/>
          <w:color w:val="000000" w:themeColor="text1"/>
          <w:szCs w:val="16"/>
        </w:rPr>
        <w:t>Include the disaggregated data in your final SPP/APR. (yes/no)</w:t>
      </w:r>
    </w:p>
    <w:p w14:paraId="74D2BC48" w14:textId="2C845965" w:rsidR="00B8751C" w:rsidRPr="005C29F8" w:rsidRDefault="00B8751C" w:rsidP="004369B2">
      <w:pPr>
        <w:rPr>
          <w:color w:val="000000" w:themeColor="text1"/>
        </w:rPr>
      </w:pPr>
      <w:r w:rsidRPr="005C29F8">
        <w:rPr>
          <w:rFonts w:cs="Arial"/>
          <w:color w:val="000000" w:themeColor="text1"/>
          <w:szCs w:val="16"/>
        </w:rPr>
        <w:t>YES</w:t>
      </w:r>
    </w:p>
    <w:p w14:paraId="42AECFE6" w14:textId="77777777" w:rsidR="00F41DFF" w:rsidRPr="005C29F8" w:rsidRDefault="00A10323" w:rsidP="00286BDF">
      <w:pPr>
        <w:rPr>
          <w:rFonts w:cs="Arial"/>
          <w:b/>
          <w:color w:val="000000" w:themeColor="text1"/>
          <w:szCs w:val="16"/>
        </w:rPr>
      </w:pPr>
      <w:r w:rsidRPr="005C29F8">
        <w:rPr>
          <w:rFonts w:cs="Arial"/>
          <w:b/>
          <w:color w:val="000000" w:themeColor="text1"/>
          <w:szCs w:val="16"/>
        </w:rPr>
        <w:t xml:space="preserve">Data Source: </w:t>
      </w:r>
    </w:p>
    <w:p w14:paraId="4E62FCFE" w14:textId="0B9900E2" w:rsidR="00A10323" w:rsidRPr="005C29F8" w:rsidRDefault="002B7490" w:rsidP="00286BDF">
      <w:pPr>
        <w:rPr>
          <w:rFonts w:cs="Arial"/>
          <w:color w:val="000000" w:themeColor="text1"/>
          <w:szCs w:val="16"/>
        </w:rPr>
      </w:pPr>
      <w:r w:rsidRPr="005C29F8">
        <w:rPr>
          <w:rFonts w:cs="Arial"/>
          <w:color w:val="000000" w:themeColor="text1"/>
          <w:szCs w:val="16"/>
        </w:rPr>
        <w:t>SY 2019-20 Assessment Data Groups - Reading (EDFacts file spec FS178; Data Group: 584)</w:t>
      </w:r>
    </w:p>
    <w:p w14:paraId="5E404A07" w14:textId="77777777" w:rsidR="00F41DFF" w:rsidRPr="005C29F8" w:rsidRDefault="00A10323" w:rsidP="00286BDF">
      <w:pPr>
        <w:rPr>
          <w:rFonts w:cs="Arial"/>
          <w:b/>
          <w:color w:val="000000" w:themeColor="text1"/>
          <w:szCs w:val="16"/>
        </w:rPr>
      </w:pPr>
      <w:r w:rsidRPr="005C29F8">
        <w:rPr>
          <w:rFonts w:cs="Arial"/>
          <w:b/>
          <w:color w:val="000000" w:themeColor="text1"/>
          <w:szCs w:val="16"/>
        </w:rPr>
        <w:t xml:space="preserve">Date: </w:t>
      </w:r>
    </w:p>
    <w:p w14:paraId="46908A6B" w14:textId="07C3945A" w:rsidR="00A10323" w:rsidRPr="005C29F8" w:rsidRDefault="00A10323" w:rsidP="00286BDF">
      <w:pPr>
        <w:rPr>
          <w:rFonts w:cs="Arial"/>
          <w:color w:val="000000" w:themeColor="text1"/>
          <w:szCs w:val="16"/>
        </w:rPr>
      </w:pPr>
    </w:p>
    <w:p w14:paraId="7A786FF9" w14:textId="77777777" w:rsidR="00A63347" w:rsidRPr="005C29F8" w:rsidRDefault="00A63347">
      <w:pPr>
        <w:rPr>
          <w:b/>
          <w:color w:val="000000" w:themeColor="text1"/>
        </w:rPr>
      </w:pPr>
    </w:p>
    <w:p w14:paraId="603FD8CB" w14:textId="2DBE4B25" w:rsidR="00162F4A" w:rsidRPr="005C29F8" w:rsidRDefault="00162F4A">
      <w:pPr>
        <w:rPr>
          <w:b/>
          <w:color w:val="000000" w:themeColor="text1"/>
        </w:rPr>
      </w:pPr>
      <w:r w:rsidRPr="005C29F8">
        <w:rPr>
          <w:b/>
          <w:color w:val="000000" w:themeColor="text1"/>
        </w:rPr>
        <w:t>Reading Proficiency Data by Grade</w:t>
      </w:r>
    </w:p>
    <w:tbl>
      <w:tblPr>
        <w:tblStyle w:val="TableGrid"/>
        <w:tblW w:w="0" w:type="auto"/>
        <w:tblLayout w:type="fixed"/>
        <w:tblLook w:val="04A0" w:firstRow="1" w:lastRow="0" w:firstColumn="1" w:lastColumn="0" w:noHBand="0" w:noVBand="1"/>
        <w:tblCaption w:val="B03CASSPARTDATABYGRDRLA"/>
      </w:tblPr>
      <w:tblGrid>
        <w:gridCol w:w="1795"/>
        <w:gridCol w:w="810"/>
        <w:gridCol w:w="900"/>
        <w:gridCol w:w="720"/>
        <w:gridCol w:w="900"/>
        <w:gridCol w:w="810"/>
        <w:gridCol w:w="810"/>
        <w:gridCol w:w="810"/>
        <w:gridCol w:w="810"/>
        <w:gridCol w:w="810"/>
        <w:gridCol w:w="810"/>
        <w:gridCol w:w="805"/>
      </w:tblGrid>
      <w:tr w:rsidR="005C29F8" w:rsidRPr="005C29F8" w14:paraId="428FB0F7" w14:textId="08DAAE1B" w:rsidTr="00AB0D6A">
        <w:trPr>
          <w:tblHeader/>
        </w:trPr>
        <w:tc>
          <w:tcPr>
            <w:tcW w:w="1795" w:type="dxa"/>
            <w:shd w:val="clear" w:color="auto" w:fill="auto"/>
          </w:tcPr>
          <w:p w14:paraId="3C2A5B11" w14:textId="5D9E5182" w:rsidR="000013E5" w:rsidRPr="005C29F8" w:rsidRDefault="000013E5" w:rsidP="004369B2">
            <w:pPr>
              <w:jc w:val="center"/>
              <w:rPr>
                <w:b/>
                <w:color w:val="000000" w:themeColor="text1"/>
              </w:rPr>
            </w:pPr>
            <w:r w:rsidRPr="005C29F8">
              <w:rPr>
                <w:b/>
                <w:color w:val="000000" w:themeColor="text1"/>
              </w:rPr>
              <w:t>Grade</w:t>
            </w:r>
          </w:p>
        </w:tc>
        <w:tc>
          <w:tcPr>
            <w:tcW w:w="810" w:type="dxa"/>
            <w:shd w:val="clear" w:color="auto" w:fill="auto"/>
          </w:tcPr>
          <w:p w14:paraId="3FF46CFF" w14:textId="385448B3" w:rsidR="000013E5" w:rsidRPr="005C29F8" w:rsidRDefault="000013E5" w:rsidP="004369B2">
            <w:pPr>
              <w:jc w:val="center"/>
              <w:rPr>
                <w:b/>
                <w:color w:val="000000" w:themeColor="text1"/>
              </w:rPr>
            </w:pPr>
            <w:r w:rsidRPr="005C29F8">
              <w:rPr>
                <w:b/>
                <w:color w:val="000000" w:themeColor="text1"/>
              </w:rPr>
              <w:t>3</w:t>
            </w:r>
          </w:p>
        </w:tc>
        <w:tc>
          <w:tcPr>
            <w:tcW w:w="900" w:type="dxa"/>
            <w:shd w:val="clear" w:color="auto" w:fill="auto"/>
          </w:tcPr>
          <w:p w14:paraId="1F0659F7" w14:textId="58EC34DC" w:rsidR="000013E5" w:rsidRPr="005C29F8" w:rsidRDefault="000013E5" w:rsidP="004369B2">
            <w:pPr>
              <w:jc w:val="center"/>
              <w:rPr>
                <w:b/>
                <w:color w:val="000000" w:themeColor="text1"/>
              </w:rPr>
            </w:pPr>
            <w:r w:rsidRPr="005C29F8">
              <w:rPr>
                <w:b/>
                <w:color w:val="000000" w:themeColor="text1"/>
              </w:rPr>
              <w:t>4</w:t>
            </w:r>
          </w:p>
        </w:tc>
        <w:tc>
          <w:tcPr>
            <w:tcW w:w="720" w:type="dxa"/>
            <w:shd w:val="clear" w:color="auto" w:fill="auto"/>
          </w:tcPr>
          <w:p w14:paraId="51B61EB6" w14:textId="676D3EB3" w:rsidR="000013E5" w:rsidRPr="005C29F8" w:rsidRDefault="000013E5" w:rsidP="004369B2">
            <w:pPr>
              <w:jc w:val="center"/>
              <w:rPr>
                <w:b/>
                <w:color w:val="000000" w:themeColor="text1"/>
              </w:rPr>
            </w:pPr>
            <w:r w:rsidRPr="005C29F8">
              <w:rPr>
                <w:b/>
                <w:color w:val="000000" w:themeColor="text1"/>
              </w:rPr>
              <w:t>5</w:t>
            </w:r>
          </w:p>
        </w:tc>
        <w:tc>
          <w:tcPr>
            <w:tcW w:w="900" w:type="dxa"/>
            <w:shd w:val="clear" w:color="auto" w:fill="auto"/>
          </w:tcPr>
          <w:p w14:paraId="52C51EFB" w14:textId="7482683D" w:rsidR="000013E5" w:rsidRPr="005C29F8" w:rsidRDefault="000013E5" w:rsidP="004369B2">
            <w:pPr>
              <w:jc w:val="center"/>
              <w:rPr>
                <w:b/>
                <w:color w:val="000000" w:themeColor="text1"/>
              </w:rPr>
            </w:pPr>
            <w:r w:rsidRPr="005C29F8">
              <w:rPr>
                <w:b/>
                <w:color w:val="000000" w:themeColor="text1"/>
              </w:rPr>
              <w:t>6</w:t>
            </w:r>
          </w:p>
        </w:tc>
        <w:tc>
          <w:tcPr>
            <w:tcW w:w="810" w:type="dxa"/>
            <w:shd w:val="clear" w:color="auto" w:fill="auto"/>
          </w:tcPr>
          <w:p w14:paraId="6F426E7A" w14:textId="2C3FB294" w:rsidR="000013E5" w:rsidRPr="005C29F8" w:rsidRDefault="000013E5" w:rsidP="004369B2">
            <w:pPr>
              <w:jc w:val="center"/>
              <w:rPr>
                <w:b/>
                <w:color w:val="000000" w:themeColor="text1"/>
              </w:rPr>
            </w:pPr>
            <w:r w:rsidRPr="005C29F8">
              <w:rPr>
                <w:b/>
                <w:color w:val="000000" w:themeColor="text1"/>
              </w:rPr>
              <w:t>7</w:t>
            </w:r>
          </w:p>
        </w:tc>
        <w:tc>
          <w:tcPr>
            <w:tcW w:w="810" w:type="dxa"/>
            <w:shd w:val="clear" w:color="auto" w:fill="auto"/>
          </w:tcPr>
          <w:p w14:paraId="629542B8" w14:textId="32DC43BB" w:rsidR="000013E5" w:rsidRPr="005C29F8" w:rsidRDefault="000013E5" w:rsidP="004369B2">
            <w:pPr>
              <w:jc w:val="center"/>
              <w:rPr>
                <w:b/>
                <w:color w:val="000000" w:themeColor="text1"/>
              </w:rPr>
            </w:pPr>
            <w:r w:rsidRPr="005C29F8">
              <w:rPr>
                <w:b/>
                <w:color w:val="000000" w:themeColor="text1"/>
              </w:rPr>
              <w:t>8</w:t>
            </w:r>
          </w:p>
        </w:tc>
        <w:tc>
          <w:tcPr>
            <w:tcW w:w="810" w:type="dxa"/>
            <w:shd w:val="clear" w:color="auto" w:fill="auto"/>
          </w:tcPr>
          <w:p w14:paraId="132D6530" w14:textId="08A8802D" w:rsidR="000013E5" w:rsidRPr="005C29F8" w:rsidRDefault="000013E5" w:rsidP="004369B2">
            <w:pPr>
              <w:jc w:val="center"/>
              <w:rPr>
                <w:b/>
                <w:color w:val="000000" w:themeColor="text1"/>
              </w:rPr>
            </w:pPr>
            <w:r w:rsidRPr="005C29F8">
              <w:rPr>
                <w:b/>
                <w:color w:val="000000" w:themeColor="text1"/>
              </w:rPr>
              <w:t>9</w:t>
            </w:r>
          </w:p>
        </w:tc>
        <w:tc>
          <w:tcPr>
            <w:tcW w:w="810" w:type="dxa"/>
            <w:shd w:val="clear" w:color="auto" w:fill="auto"/>
          </w:tcPr>
          <w:p w14:paraId="4F8F9BD5" w14:textId="702D209D" w:rsidR="000013E5" w:rsidRPr="005C29F8" w:rsidRDefault="000013E5" w:rsidP="004369B2">
            <w:pPr>
              <w:jc w:val="center"/>
              <w:rPr>
                <w:b/>
                <w:color w:val="000000" w:themeColor="text1"/>
              </w:rPr>
            </w:pPr>
            <w:r w:rsidRPr="005C29F8">
              <w:rPr>
                <w:b/>
                <w:color w:val="000000" w:themeColor="text1"/>
              </w:rPr>
              <w:t>10</w:t>
            </w:r>
          </w:p>
        </w:tc>
        <w:tc>
          <w:tcPr>
            <w:tcW w:w="810" w:type="dxa"/>
            <w:shd w:val="clear" w:color="auto" w:fill="auto"/>
          </w:tcPr>
          <w:p w14:paraId="535A1976" w14:textId="49D22332" w:rsidR="000013E5" w:rsidRPr="005C29F8" w:rsidRDefault="000013E5" w:rsidP="004369B2">
            <w:pPr>
              <w:jc w:val="center"/>
              <w:rPr>
                <w:b/>
                <w:color w:val="000000" w:themeColor="text1"/>
              </w:rPr>
            </w:pPr>
            <w:r w:rsidRPr="005C29F8">
              <w:rPr>
                <w:b/>
                <w:color w:val="000000" w:themeColor="text1"/>
              </w:rPr>
              <w:t>11</w:t>
            </w:r>
          </w:p>
        </w:tc>
        <w:tc>
          <w:tcPr>
            <w:tcW w:w="810" w:type="dxa"/>
            <w:shd w:val="clear" w:color="auto" w:fill="auto"/>
          </w:tcPr>
          <w:p w14:paraId="6DBADB5F" w14:textId="33B8ABDE" w:rsidR="000013E5" w:rsidRPr="005C29F8" w:rsidRDefault="000013E5" w:rsidP="004369B2">
            <w:pPr>
              <w:jc w:val="center"/>
              <w:rPr>
                <w:b/>
                <w:color w:val="000000" w:themeColor="text1"/>
              </w:rPr>
            </w:pPr>
            <w:r w:rsidRPr="005C29F8">
              <w:rPr>
                <w:b/>
                <w:color w:val="000000" w:themeColor="text1"/>
              </w:rPr>
              <w:t>12</w:t>
            </w:r>
          </w:p>
        </w:tc>
        <w:tc>
          <w:tcPr>
            <w:tcW w:w="805" w:type="dxa"/>
            <w:shd w:val="clear" w:color="auto" w:fill="auto"/>
          </w:tcPr>
          <w:p w14:paraId="4855EE3E" w14:textId="520F4910" w:rsidR="000013E5" w:rsidRPr="005C29F8" w:rsidRDefault="000013E5" w:rsidP="004369B2">
            <w:pPr>
              <w:jc w:val="center"/>
              <w:rPr>
                <w:b/>
                <w:color w:val="000000" w:themeColor="text1"/>
              </w:rPr>
            </w:pPr>
            <w:r w:rsidRPr="005C29F8">
              <w:rPr>
                <w:b/>
                <w:color w:val="000000" w:themeColor="text1"/>
              </w:rPr>
              <w:t>HS</w:t>
            </w:r>
          </w:p>
        </w:tc>
      </w:tr>
      <w:tr w:rsidR="005C29F8" w:rsidRPr="005C29F8" w14:paraId="15C4E2F5" w14:textId="23A18F5A" w:rsidTr="00AB0D6A">
        <w:tc>
          <w:tcPr>
            <w:tcW w:w="1795" w:type="dxa"/>
            <w:shd w:val="clear" w:color="auto" w:fill="auto"/>
          </w:tcPr>
          <w:p w14:paraId="1D84B931" w14:textId="28E46D65" w:rsidR="000013E5" w:rsidRPr="005C29F8" w:rsidRDefault="000013E5">
            <w:pPr>
              <w:rPr>
                <w:b/>
                <w:color w:val="000000" w:themeColor="text1"/>
              </w:rPr>
            </w:pPr>
            <w:r w:rsidRPr="005C29F8">
              <w:rPr>
                <w:color w:val="000000" w:themeColor="text1"/>
              </w:rPr>
              <w:t>a. Children with IEPs who received a valid score and a proficiency was assigned</w:t>
            </w:r>
          </w:p>
        </w:tc>
        <w:tc>
          <w:tcPr>
            <w:tcW w:w="810" w:type="dxa"/>
            <w:shd w:val="clear" w:color="auto" w:fill="auto"/>
          </w:tcPr>
          <w:p w14:paraId="07C14EE4" w14:textId="021BBA49" w:rsidR="000013E5" w:rsidRPr="005C29F8" w:rsidRDefault="000013E5">
            <w:pPr>
              <w:rPr>
                <w:b/>
                <w:color w:val="000000" w:themeColor="text1"/>
              </w:rPr>
            </w:pPr>
          </w:p>
        </w:tc>
        <w:tc>
          <w:tcPr>
            <w:tcW w:w="900" w:type="dxa"/>
            <w:shd w:val="clear" w:color="auto" w:fill="auto"/>
          </w:tcPr>
          <w:p w14:paraId="1DFC3C40" w14:textId="57D1B48C" w:rsidR="000013E5" w:rsidRPr="005C29F8" w:rsidRDefault="000013E5">
            <w:pPr>
              <w:rPr>
                <w:b/>
                <w:color w:val="000000" w:themeColor="text1"/>
              </w:rPr>
            </w:pPr>
          </w:p>
        </w:tc>
        <w:tc>
          <w:tcPr>
            <w:tcW w:w="720" w:type="dxa"/>
            <w:shd w:val="clear" w:color="auto" w:fill="auto"/>
          </w:tcPr>
          <w:p w14:paraId="70A0184C" w14:textId="2C6E5544" w:rsidR="000013E5" w:rsidRPr="005C29F8" w:rsidRDefault="000013E5">
            <w:pPr>
              <w:rPr>
                <w:b/>
                <w:color w:val="000000" w:themeColor="text1"/>
              </w:rPr>
            </w:pPr>
          </w:p>
        </w:tc>
        <w:tc>
          <w:tcPr>
            <w:tcW w:w="900" w:type="dxa"/>
            <w:shd w:val="clear" w:color="auto" w:fill="auto"/>
          </w:tcPr>
          <w:p w14:paraId="48D10C87" w14:textId="33739589" w:rsidR="000013E5" w:rsidRPr="005C29F8" w:rsidRDefault="000013E5">
            <w:pPr>
              <w:rPr>
                <w:b/>
                <w:color w:val="000000" w:themeColor="text1"/>
              </w:rPr>
            </w:pPr>
          </w:p>
        </w:tc>
        <w:tc>
          <w:tcPr>
            <w:tcW w:w="810" w:type="dxa"/>
            <w:shd w:val="clear" w:color="auto" w:fill="auto"/>
          </w:tcPr>
          <w:p w14:paraId="16DA66B2" w14:textId="61E79284" w:rsidR="000013E5" w:rsidRPr="005C29F8" w:rsidRDefault="000013E5">
            <w:pPr>
              <w:rPr>
                <w:b/>
                <w:color w:val="000000" w:themeColor="text1"/>
              </w:rPr>
            </w:pPr>
          </w:p>
        </w:tc>
        <w:tc>
          <w:tcPr>
            <w:tcW w:w="810" w:type="dxa"/>
            <w:shd w:val="clear" w:color="auto" w:fill="auto"/>
          </w:tcPr>
          <w:p w14:paraId="53A2715C" w14:textId="04C7172E" w:rsidR="000013E5" w:rsidRPr="005C29F8" w:rsidRDefault="000013E5">
            <w:pPr>
              <w:rPr>
                <w:b/>
                <w:color w:val="000000" w:themeColor="text1"/>
              </w:rPr>
            </w:pPr>
          </w:p>
        </w:tc>
        <w:tc>
          <w:tcPr>
            <w:tcW w:w="810" w:type="dxa"/>
            <w:shd w:val="clear" w:color="auto" w:fill="auto"/>
          </w:tcPr>
          <w:p w14:paraId="19E3C731" w14:textId="669E4F97" w:rsidR="000013E5" w:rsidRPr="005C29F8" w:rsidRDefault="000013E5">
            <w:pPr>
              <w:rPr>
                <w:b/>
                <w:color w:val="000000" w:themeColor="text1"/>
              </w:rPr>
            </w:pPr>
          </w:p>
        </w:tc>
        <w:tc>
          <w:tcPr>
            <w:tcW w:w="810" w:type="dxa"/>
            <w:shd w:val="clear" w:color="auto" w:fill="auto"/>
          </w:tcPr>
          <w:p w14:paraId="525D6470" w14:textId="55B862D4" w:rsidR="000013E5" w:rsidRPr="005C29F8" w:rsidRDefault="000013E5">
            <w:pPr>
              <w:rPr>
                <w:b/>
                <w:color w:val="000000" w:themeColor="text1"/>
              </w:rPr>
            </w:pPr>
          </w:p>
        </w:tc>
        <w:tc>
          <w:tcPr>
            <w:tcW w:w="810" w:type="dxa"/>
            <w:shd w:val="clear" w:color="auto" w:fill="auto"/>
          </w:tcPr>
          <w:p w14:paraId="63E2FB05" w14:textId="049569C7" w:rsidR="000013E5" w:rsidRPr="005C29F8" w:rsidRDefault="000013E5">
            <w:pPr>
              <w:rPr>
                <w:b/>
                <w:color w:val="000000" w:themeColor="text1"/>
              </w:rPr>
            </w:pPr>
          </w:p>
        </w:tc>
        <w:tc>
          <w:tcPr>
            <w:tcW w:w="810" w:type="dxa"/>
            <w:shd w:val="clear" w:color="auto" w:fill="auto"/>
          </w:tcPr>
          <w:p w14:paraId="7E740792" w14:textId="11687F1D" w:rsidR="000013E5" w:rsidRPr="005C29F8" w:rsidRDefault="000013E5">
            <w:pPr>
              <w:rPr>
                <w:b/>
                <w:color w:val="000000" w:themeColor="text1"/>
              </w:rPr>
            </w:pPr>
          </w:p>
        </w:tc>
        <w:tc>
          <w:tcPr>
            <w:tcW w:w="805" w:type="dxa"/>
            <w:shd w:val="clear" w:color="auto" w:fill="auto"/>
          </w:tcPr>
          <w:p w14:paraId="08052679" w14:textId="38276BFD" w:rsidR="000013E5" w:rsidRPr="005C29F8" w:rsidRDefault="000013E5">
            <w:pPr>
              <w:rPr>
                <w:b/>
                <w:color w:val="000000" w:themeColor="text1"/>
              </w:rPr>
            </w:pPr>
          </w:p>
        </w:tc>
      </w:tr>
      <w:tr w:rsidR="005C29F8" w:rsidRPr="005C29F8" w14:paraId="3BE009FE" w14:textId="48A19AF7" w:rsidTr="00AB0D6A">
        <w:tc>
          <w:tcPr>
            <w:tcW w:w="1795" w:type="dxa"/>
            <w:shd w:val="clear" w:color="auto" w:fill="auto"/>
          </w:tcPr>
          <w:p w14:paraId="3D43994F" w14:textId="3BD4A4E4" w:rsidR="000013E5" w:rsidRPr="005C29F8" w:rsidRDefault="000013E5" w:rsidP="000013E5">
            <w:pPr>
              <w:rPr>
                <w:b/>
                <w:color w:val="000000" w:themeColor="text1"/>
              </w:rPr>
            </w:pPr>
            <w:r w:rsidRPr="005C29F8">
              <w:rPr>
                <w:color w:val="000000" w:themeColor="text1"/>
              </w:rPr>
              <w:t>b. IEPs in regular assessment with no accommodations scored at or above proficient against grade level</w:t>
            </w:r>
          </w:p>
        </w:tc>
        <w:tc>
          <w:tcPr>
            <w:tcW w:w="810" w:type="dxa"/>
            <w:shd w:val="clear" w:color="auto" w:fill="auto"/>
          </w:tcPr>
          <w:p w14:paraId="655D5067" w14:textId="08B6B0DF" w:rsidR="000013E5" w:rsidRPr="005C29F8" w:rsidRDefault="000013E5" w:rsidP="000013E5">
            <w:pPr>
              <w:rPr>
                <w:b/>
                <w:color w:val="000000" w:themeColor="text1"/>
              </w:rPr>
            </w:pPr>
          </w:p>
        </w:tc>
        <w:tc>
          <w:tcPr>
            <w:tcW w:w="900" w:type="dxa"/>
            <w:shd w:val="clear" w:color="auto" w:fill="auto"/>
          </w:tcPr>
          <w:p w14:paraId="47E25E0D" w14:textId="496685FF" w:rsidR="000013E5" w:rsidRPr="005C29F8" w:rsidRDefault="000013E5" w:rsidP="000013E5">
            <w:pPr>
              <w:rPr>
                <w:b/>
                <w:color w:val="000000" w:themeColor="text1"/>
              </w:rPr>
            </w:pPr>
          </w:p>
        </w:tc>
        <w:tc>
          <w:tcPr>
            <w:tcW w:w="720" w:type="dxa"/>
            <w:shd w:val="clear" w:color="auto" w:fill="auto"/>
          </w:tcPr>
          <w:p w14:paraId="523F025F" w14:textId="0724881A" w:rsidR="000013E5" w:rsidRPr="005C29F8" w:rsidRDefault="000013E5" w:rsidP="000013E5">
            <w:pPr>
              <w:rPr>
                <w:b/>
                <w:color w:val="000000" w:themeColor="text1"/>
              </w:rPr>
            </w:pPr>
          </w:p>
        </w:tc>
        <w:tc>
          <w:tcPr>
            <w:tcW w:w="900" w:type="dxa"/>
            <w:shd w:val="clear" w:color="auto" w:fill="auto"/>
          </w:tcPr>
          <w:p w14:paraId="564AD4B2" w14:textId="5E49F5CF" w:rsidR="000013E5" w:rsidRPr="005C29F8" w:rsidRDefault="000013E5" w:rsidP="000013E5">
            <w:pPr>
              <w:rPr>
                <w:b/>
                <w:color w:val="000000" w:themeColor="text1"/>
              </w:rPr>
            </w:pPr>
          </w:p>
        </w:tc>
        <w:tc>
          <w:tcPr>
            <w:tcW w:w="810" w:type="dxa"/>
            <w:shd w:val="clear" w:color="auto" w:fill="auto"/>
          </w:tcPr>
          <w:p w14:paraId="0FCE96DF" w14:textId="7D37A4EE" w:rsidR="000013E5" w:rsidRPr="005C29F8" w:rsidRDefault="000013E5" w:rsidP="000013E5">
            <w:pPr>
              <w:rPr>
                <w:b/>
                <w:color w:val="000000" w:themeColor="text1"/>
              </w:rPr>
            </w:pPr>
          </w:p>
        </w:tc>
        <w:tc>
          <w:tcPr>
            <w:tcW w:w="810" w:type="dxa"/>
            <w:shd w:val="clear" w:color="auto" w:fill="auto"/>
          </w:tcPr>
          <w:p w14:paraId="037E9333" w14:textId="61B8E21A" w:rsidR="000013E5" w:rsidRPr="005C29F8" w:rsidRDefault="000013E5" w:rsidP="000013E5">
            <w:pPr>
              <w:rPr>
                <w:b/>
                <w:color w:val="000000" w:themeColor="text1"/>
              </w:rPr>
            </w:pPr>
          </w:p>
        </w:tc>
        <w:tc>
          <w:tcPr>
            <w:tcW w:w="810" w:type="dxa"/>
            <w:shd w:val="clear" w:color="auto" w:fill="auto"/>
          </w:tcPr>
          <w:p w14:paraId="29E1C91F" w14:textId="609985E0" w:rsidR="000013E5" w:rsidRPr="005C29F8" w:rsidRDefault="000013E5" w:rsidP="000013E5">
            <w:pPr>
              <w:rPr>
                <w:b/>
                <w:color w:val="000000" w:themeColor="text1"/>
              </w:rPr>
            </w:pPr>
          </w:p>
        </w:tc>
        <w:tc>
          <w:tcPr>
            <w:tcW w:w="810" w:type="dxa"/>
            <w:shd w:val="clear" w:color="auto" w:fill="auto"/>
          </w:tcPr>
          <w:p w14:paraId="55ED6993" w14:textId="1EAAF3EA" w:rsidR="000013E5" w:rsidRPr="005C29F8" w:rsidRDefault="000013E5" w:rsidP="000013E5">
            <w:pPr>
              <w:rPr>
                <w:b/>
                <w:color w:val="000000" w:themeColor="text1"/>
              </w:rPr>
            </w:pPr>
          </w:p>
        </w:tc>
        <w:tc>
          <w:tcPr>
            <w:tcW w:w="810" w:type="dxa"/>
            <w:shd w:val="clear" w:color="auto" w:fill="auto"/>
          </w:tcPr>
          <w:p w14:paraId="0FF818E7" w14:textId="5C13B8FB" w:rsidR="000013E5" w:rsidRPr="005C29F8" w:rsidRDefault="000013E5" w:rsidP="000013E5">
            <w:pPr>
              <w:rPr>
                <w:b/>
                <w:color w:val="000000" w:themeColor="text1"/>
              </w:rPr>
            </w:pPr>
          </w:p>
        </w:tc>
        <w:tc>
          <w:tcPr>
            <w:tcW w:w="810" w:type="dxa"/>
            <w:shd w:val="clear" w:color="auto" w:fill="auto"/>
          </w:tcPr>
          <w:p w14:paraId="4E1087FE" w14:textId="1AB73453" w:rsidR="000013E5" w:rsidRPr="005C29F8" w:rsidRDefault="000013E5" w:rsidP="000013E5">
            <w:pPr>
              <w:rPr>
                <w:b/>
                <w:color w:val="000000" w:themeColor="text1"/>
              </w:rPr>
            </w:pPr>
          </w:p>
        </w:tc>
        <w:tc>
          <w:tcPr>
            <w:tcW w:w="805" w:type="dxa"/>
            <w:shd w:val="clear" w:color="auto" w:fill="auto"/>
          </w:tcPr>
          <w:p w14:paraId="7AC2D99B" w14:textId="0C6BECDC" w:rsidR="000013E5" w:rsidRPr="005C29F8" w:rsidRDefault="000013E5" w:rsidP="000013E5">
            <w:pPr>
              <w:rPr>
                <w:b/>
                <w:color w:val="000000" w:themeColor="text1"/>
              </w:rPr>
            </w:pPr>
          </w:p>
        </w:tc>
      </w:tr>
      <w:tr w:rsidR="005C29F8" w:rsidRPr="005C29F8" w14:paraId="741EE88F" w14:textId="20231462" w:rsidTr="00AB0D6A">
        <w:tc>
          <w:tcPr>
            <w:tcW w:w="1795" w:type="dxa"/>
            <w:shd w:val="clear" w:color="auto" w:fill="auto"/>
          </w:tcPr>
          <w:p w14:paraId="1CEC3855" w14:textId="16A2B748" w:rsidR="000013E5" w:rsidRPr="005C29F8" w:rsidRDefault="000013E5" w:rsidP="000013E5">
            <w:pPr>
              <w:rPr>
                <w:b/>
                <w:color w:val="000000" w:themeColor="text1"/>
              </w:rPr>
            </w:pPr>
            <w:r w:rsidRPr="005C29F8">
              <w:rPr>
                <w:color w:val="000000" w:themeColor="text1"/>
              </w:rPr>
              <w:t xml:space="preserve">c. IEPs in regular assessment with accommodations scored at or above </w:t>
            </w:r>
            <w:r w:rsidRPr="005C29F8">
              <w:rPr>
                <w:color w:val="000000" w:themeColor="text1"/>
              </w:rPr>
              <w:lastRenderedPageBreak/>
              <w:t>proficient against grade level</w:t>
            </w:r>
          </w:p>
        </w:tc>
        <w:tc>
          <w:tcPr>
            <w:tcW w:w="810" w:type="dxa"/>
            <w:shd w:val="clear" w:color="auto" w:fill="auto"/>
          </w:tcPr>
          <w:p w14:paraId="2D39CD4D" w14:textId="56A70B03" w:rsidR="000013E5" w:rsidRPr="005C29F8" w:rsidRDefault="000013E5" w:rsidP="000013E5">
            <w:pPr>
              <w:rPr>
                <w:b/>
                <w:color w:val="000000" w:themeColor="text1"/>
              </w:rPr>
            </w:pPr>
          </w:p>
        </w:tc>
        <w:tc>
          <w:tcPr>
            <w:tcW w:w="900" w:type="dxa"/>
            <w:shd w:val="clear" w:color="auto" w:fill="auto"/>
          </w:tcPr>
          <w:p w14:paraId="1D85D433" w14:textId="25DF70B0" w:rsidR="000013E5" w:rsidRPr="005C29F8" w:rsidRDefault="000013E5" w:rsidP="000013E5">
            <w:pPr>
              <w:rPr>
                <w:b/>
                <w:color w:val="000000" w:themeColor="text1"/>
              </w:rPr>
            </w:pPr>
          </w:p>
        </w:tc>
        <w:tc>
          <w:tcPr>
            <w:tcW w:w="720" w:type="dxa"/>
            <w:shd w:val="clear" w:color="auto" w:fill="auto"/>
          </w:tcPr>
          <w:p w14:paraId="322A581C" w14:textId="6E4BD2BE" w:rsidR="000013E5" w:rsidRPr="005C29F8" w:rsidRDefault="000013E5" w:rsidP="000013E5">
            <w:pPr>
              <w:rPr>
                <w:b/>
                <w:color w:val="000000" w:themeColor="text1"/>
              </w:rPr>
            </w:pPr>
          </w:p>
        </w:tc>
        <w:tc>
          <w:tcPr>
            <w:tcW w:w="900" w:type="dxa"/>
            <w:shd w:val="clear" w:color="auto" w:fill="auto"/>
          </w:tcPr>
          <w:p w14:paraId="1D82EAC3" w14:textId="2DD38BE2" w:rsidR="000013E5" w:rsidRPr="005C29F8" w:rsidRDefault="000013E5" w:rsidP="000013E5">
            <w:pPr>
              <w:rPr>
                <w:b/>
                <w:color w:val="000000" w:themeColor="text1"/>
              </w:rPr>
            </w:pPr>
          </w:p>
        </w:tc>
        <w:tc>
          <w:tcPr>
            <w:tcW w:w="810" w:type="dxa"/>
            <w:shd w:val="clear" w:color="auto" w:fill="auto"/>
          </w:tcPr>
          <w:p w14:paraId="42750458" w14:textId="1981C24A" w:rsidR="000013E5" w:rsidRPr="005C29F8" w:rsidRDefault="000013E5" w:rsidP="000013E5">
            <w:pPr>
              <w:rPr>
                <w:b/>
                <w:color w:val="000000" w:themeColor="text1"/>
              </w:rPr>
            </w:pPr>
          </w:p>
        </w:tc>
        <w:tc>
          <w:tcPr>
            <w:tcW w:w="810" w:type="dxa"/>
            <w:shd w:val="clear" w:color="auto" w:fill="auto"/>
          </w:tcPr>
          <w:p w14:paraId="1E348514" w14:textId="00FF9ABD" w:rsidR="000013E5" w:rsidRPr="005C29F8" w:rsidRDefault="000013E5" w:rsidP="000013E5">
            <w:pPr>
              <w:rPr>
                <w:b/>
                <w:color w:val="000000" w:themeColor="text1"/>
              </w:rPr>
            </w:pPr>
          </w:p>
        </w:tc>
        <w:tc>
          <w:tcPr>
            <w:tcW w:w="810" w:type="dxa"/>
            <w:shd w:val="clear" w:color="auto" w:fill="auto"/>
          </w:tcPr>
          <w:p w14:paraId="5FE21353" w14:textId="2F5680E8" w:rsidR="000013E5" w:rsidRPr="005C29F8" w:rsidRDefault="000013E5" w:rsidP="000013E5">
            <w:pPr>
              <w:rPr>
                <w:b/>
                <w:color w:val="000000" w:themeColor="text1"/>
              </w:rPr>
            </w:pPr>
          </w:p>
        </w:tc>
        <w:tc>
          <w:tcPr>
            <w:tcW w:w="810" w:type="dxa"/>
            <w:shd w:val="clear" w:color="auto" w:fill="auto"/>
          </w:tcPr>
          <w:p w14:paraId="7F0C46CB" w14:textId="3AFA0ABF" w:rsidR="000013E5" w:rsidRPr="005C29F8" w:rsidRDefault="000013E5" w:rsidP="000013E5">
            <w:pPr>
              <w:rPr>
                <w:b/>
                <w:color w:val="000000" w:themeColor="text1"/>
              </w:rPr>
            </w:pPr>
          </w:p>
        </w:tc>
        <w:tc>
          <w:tcPr>
            <w:tcW w:w="810" w:type="dxa"/>
            <w:shd w:val="clear" w:color="auto" w:fill="auto"/>
          </w:tcPr>
          <w:p w14:paraId="1504CC50" w14:textId="33CC3564" w:rsidR="000013E5" w:rsidRPr="005C29F8" w:rsidRDefault="000013E5" w:rsidP="000013E5">
            <w:pPr>
              <w:rPr>
                <w:b/>
                <w:color w:val="000000" w:themeColor="text1"/>
              </w:rPr>
            </w:pPr>
          </w:p>
        </w:tc>
        <w:tc>
          <w:tcPr>
            <w:tcW w:w="810" w:type="dxa"/>
            <w:shd w:val="clear" w:color="auto" w:fill="auto"/>
          </w:tcPr>
          <w:p w14:paraId="44F3B40F" w14:textId="0A714A94" w:rsidR="000013E5" w:rsidRPr="005C29F8" w:rsidRDefault="000013E5" w:rsidP="000013E5">
            <w:pPr>
              <w:rPr>
                <w:b/>
                <w:color w:val="000000" w:themeColor="text1"/>
              </w:rPr>
            </w:pPr>
          </w:p>
        </w:tc>
        <w:tc>
          <w:tcPr>
            <w:tcW w:w="805" w:type="dxa"/>
            <w:shd w:val="clear" w:color="auto" w:fill="auto"/>
          </w:tcPr>
          <w:p w14:paraId="7CD1BDDA" w14:textId="315ED9B3" w:rsidR="000013E5" w:rsidRPr="005C29F8" w:rsidRDefault="000013E5" w:rsidP="000013E5">
            <w:pPr>
              <w:rPr>
                <w:b/>
                <w:color w:val="000000" w:themeColor="text1"/>
              </w:rPr>
            </w:pPr>
          </w:p>
        </w:tc>
      </w:tr>
      <w:tr w:rsidR="005C29F8" w:rsidRPr="005C29F8" w14:paraId="03FA4E09" w14:textId="156D54A0" w:rsidTr="00AB0D6A">
        <w:tc>
          <w:tcPr>
            <w:tcW w:w="1795" w:type="dxa"/>
            <w:shd w:val="clear" w:color="auto" w:fill="auto"/>
          </w:tcPr>
          <w:p w14:paraId="60CCAB6F" w14:textId="03B43A71" w:rsidR="000013E5" w:rsidRPr="005C29F8" w:rsidRDefault="000013E5" w:rsidP="000013E5">
            <w:pPr>
              <w:rPr>
                <w:b/>
                <w:color w:val="000000" w:themeColor="text1"/>
              </w:rPr>
            </w:pPr>
            <w:r w:rsidRPr="005C29F8">
              <w:rPr>
                <w:color w:val="000000" w:themeColor="text1"/>
              </w:rPr>
              <w:t>f. IEPs in alternate assessment against alternate standards scored at or above proficient against grade level</w:t>
            </w:r>
          </w:p>
        </w:tc>
        <w:tc>
          <w:tcPr>
            <w:tcW w:w="810" w:type="dxa"/>
            <w:shd w:val="clear" w:color="auto" w:fill="auto"/>
          </w:tcPr>
          <w:p w14:paraId="26D9BA56" w14:textId="2ED4B022" w:rsidR="000013E5" w:rsidRPr="005C29F8" w:rsidRDefault="000013E5" w:rsidP="000013E5">
            <w:pPr>
              <w:rPr>
                <w:b/>
                <w:color w:val="000000" w:themeColor="text1"/>
              </w:rPr>
            </w:pPr>
          </w:p>
        </w:tc>
        <w:tc>
          <w:tcPr>
            <w:tcW w:w="900" w:type="dxa"/>
            <w:shd w:val="clear" w:color="auto" w:fill="auto"/>
          </w:tcPr>
          <w:p w14:paraId="09CE3622" w14:textId="35340652" w:rsidR="000013E5" w:rsidRPr="005C29F8" w:rsidRDefault="000013E5" w:rsidP="000013E5">
            <w:pPr>
              <w:rPr>
                <w:b/>
                <w:color w:val="000000" w:themeColor="text1"/>
              </w:rPr>
            </w:pPr>
          </w:p>
        </w:tc>
        <w:tc>
          <w:tcPr>
            <w:tcW w:w="720" w:type="dxa"/>
            <w:shd w:val="clear" w:color="auto" w:fill="auto"/>
          </w:tcPr>
          <w:p w14:paraId="46FF755E" w14:textId="53050A18" w:rsidR="000013E5" w:rsidRPr="005C29F8" w:rsidRDefault="000013E5" w:rsidP="000013E5">
            <w:pPr>
              <w:rPr>
                <w:b/>
                <w:color w:val="000000" w:themeColor="text1"/>
              </w:rPr>
            </w:pPr>
          </w:p>
        </w:tc>
        <w:tc>
          <w:tcPr>
            <w:tcW w:w="900" w:type="dxa"/>
            <w:shd w:val="clear" w:color="auto" w:fill="auto"/>
          </w:tcPr>
          <w:p w14:paraId="514667C5" w14:textId="421E986D" w:rsidR="000013E5" w:rsidRPr="005C29F8" w:rsidRDefault="000013E5" w:rsidP="000013E5">
            <w:pPr>
              <w:rPr>
                <w:b/>
                <w:color w:val="000000" w:themeColor="text1"/>
              </w:rPr>
            </w:pPr>
          </w:p>
        </w:tc>
        <w:tc>
          <w:tcPr>
            <w:tcW w:w="810" w:type="dxa"/>
            <w:shd w:val="clear" w:color="auto" w:fill="auto"/>
          </w:tcPr>
          <w:p w14:paraId="1507DB7E" w14:textId="328FFE1E" w:rsidR="000013E5" w:rsidRPr="005C29F8" w:rsidRDefault="000013E5" w:rsidP="000013E5">
            <w:pPr>
              <w:rPr>
                <w:b/>
                <w:color w:val="000000" w:themeColor="text1"/>
              </w:rPr>
            </w:pPr>
          </w:p>
        </w:tc>
        <w:tc>
          <w:tcPr>
            <w:tcW w:w="810" w:type="dxa"/>
            <w:shd w:val="clear" w:color="auto" w:fill="auto"/>
          </w:tcPr>
          <w:p w14:paraId="697C2BF7" w14:textId="06F24C25" w:rsidR="000013E5" w:rsidRPr="005C29F8" w:rsidRDefault="000013E5" w:rsidP="000013E5">
            <w:pPr>
              <w:rPr>
                <w:b/>
                <w:color w:val="000000" w:themeColor="text1"/>
              </w:rPr>
            </w:pPr>
          </w:p>
        </w:tc>
        <w:tc>
          <w:tcPr>
            <w:tcW w:w="810" w:type="dxa"/>
            <w:shd w:val="clear" w:color="auto" w:fill="auto"/>
          </w:tcPr>
          <w:p w14:paraId="5BAF8F9A" w14:textId="33329A74" w:rsidR="000013E5" w:rsidRPr="005C29F8" w:rsidRDefault="000013E5" w:rsidP="000013E5">
            <w:pPr>
              <w:rPr>
                <w:b/>
                <w:color w:val="000000" w:themeColor="text1"/>
              </w:rPr>
            </w:pPr>
          </w:p>
        </w:tc>
        <w:tc>
          <w:tcPr>
            <w:tcW w:w="810" w:type="dxa"/>
            <w:shd w:val="clear" w:color="auto" w:fill="auto"/>
          </w:tcPr>
          <w:p w14:paraId="7924DDDC" w14:textId="65E40D49" w:rsidR="000013E5" w:rsidRPr="005C29F8" w:rsidRDefault="000013E5" w:rsidP="000013E5">
            <w:pPr>
              <w:rPr>
                <w:b/>
                <w:color w:val="000000" w:themeColor="text1"/>
              </w:rPr>
            </w:pPr>
          </w:p>
        </w:tc>
        <w:tc>
          <w:tcPr>
            <w:tcW w:w="810" w:type="dxa"/>
            <w:shd w:val="clear" w:color="auto" w:fill="auto"/>
          </w:tcPr>
          <w:p w14:paraId="166035BD" w14:textId="0E4210FD" w:rsidR="000013E5" w:rsidRPr="005C29F8" w:rsidRDefault="000013E5" w:rsidP="000013E5">
            <w:pPr>
              <w:rPr>
                <w:b/>
                <w:color w:val="000000" w:themeColor="text1"/>
              </w:rPr>
            </w:pPr>
          </w:p>
        </w:tc>
        <w:tc>
          <w:tcPr>
            <w:tcW w:w="810" w:type="dxa"/>
            <w:shd w:val="clear" w:color="auto" w:fill="auto"/>
          </w:tcPr>
          <w:p w14:paraId="0727A156" w14:textId="6A4FA00B" w:rsidR="000013E5" w:rsidRPr="005C29F8" w:rsidRDefault="000013E5" w:rsidP="000013E5">
            <w:pPr>
              <w:rPr>
                <w:b/>
                <w:color w:val="000000" w:themeColor="text1"/>
              </w:rPr>
            </w:pPr>
          </w:p>
        </w:tc>
        <w:tc>
          <w:tcPr>
            <w:tcW w:w="805" w:type="dxa"/>
            <w:shd w:val="clear" w:color="auto" w:fill="auto"/>
          </w:tcPr>
          <w:p w14:paraId="1E543E7E" w14:textId="3D36A9A2" w:rsidR="000013E5" w:rsidRPr="005C29F8" w:rsidRDefault="000013E5" w:rsidP="000013E5">
            <w:pPr>
              <w:rPr>
                <w:b/>
                <w:color w:val="000000" w:themeColor="text1"/>
              </w:rPr>
            </w:pPr>
          </w:p>
        </w:tc>
      </w:tr>
    </w:tbl>
    <w:p w14:paraId="31899BDA" w14:textId="77777777" w:rsidR="00F41DFF" w:rsidRPr="005C29F8" w:rsidRDefault="00BD7229" w:rsidP="00286BDF">
      <w:pPr>
        <w:rPr>
          <w:rFonts w:cs="Arial"/>
          <w:b/>
          <w:color w:val="000000" w:themeColor="text1"/>
          <w:szCs w:val="16"/>
        </w:rPr>
      </w:pPr>
      <w:r w:rsidRPr="005C29F8">
        <w:rPr>
          <w:rFonts w:cs="Arial"/>
          <w:b/>
          <w:color w:val="000000" w:themeColor="text1"/>
          <w:szCs w:val="16"/>
        </w:rPr>
        <w:t xml:space="preserve">Data Source:  </w:t>
      </w:r>
    </w:p>
    <w:p w14:paraId="6AEE1AE1" w14:textId="785594EB" w:rsidR="00BD7229" w:rsidRPr="005C29F8" w:rsidRDefault="002B7490" w:rsidP="00286BDF">
      <w:pPr>
        <w:rPr>
          <w:rFonts w:cs="Arial"/>
          <w:color w:val="000000" w:themeColor="text1"/>
          <w:szCs w:val="16"/>
        </w:rPr>
      </w:pPr>
      <w:r w:rsidRPr="005C29F8">
        <w:rPr>
          <w:rFonts w:cs="Arial"/>
          <w:color w:val="000000" w:themeColor="text1"/>
          <w:szCs w:val="16"/>
        </w:rPr>
        <w:t>SY 2019-20 Assessment Data Groups - Math (EDFacts file spec FS175; Data Group: 583)</w:t>
      </w:r>
    </w:p>
    <w:p w14:paraId="59F25B6E" w14:textId="77777777" w:rsidR="00F41DFF" w:rsidRPr="005C29F8" w:rsidRDefault="00BD7229" w:rsidP="00286BDF">
      <w:pPr>
        <w:rPr>
          <w:rFonts w:cs="Arial"/>
          <w:b/>
          <w:color w:val="000000" w:themeColor="text1"/>
          <w:szCs w:val="16"/>
        </w:rPr>
      </w:pPr>
      <w:r w:rsidRPr="005C29F8">
        <w:rPr>
          <w:rFonts w:cs="Arial"/>
          <w:b/>
          <w:color w:val="000000" w:themeColor="text1"/>
          <w:szCs w:val="16"/>
        </w:rPr>
        <w:t xml:space="preserve">Date: </w:t>
      </w:r>
    </w:p>
    <w:p w14:paraId="4B8A206D" w14:textId="36B0E5E5" w:rsidR="00BD7229" w:rsidRPr="005C29F8" w:rsidRDefault="00BD7229" w:rsidP="00286BDF">
      <w:pPr>
        <w:rPr>
          <w:rFonts w:cs="Arial"/>
          <w:color w:val="000000" w:themeColor="text1"/>
          <w:szCs w:val="16"/>
        </w:rPr>
      </w:pPr>
    </w:p>
    <w:p w14:paraId="3365AF3D" w14:textId="23A2A80C" w:rsidR="00162F4A" w:rsidRPr="005C29F8" w:rsidRDefault="00162F4A">
      <w:pPr>
        <w:rPr>
          <w:b/>
          <w:color w:val="000000" w:themeColor="text1"/>
        </w:rPr>
      </w:pPr>
      <w:r w:rsidRPr="005C29F8">
        <w:rPr>
          <w:b/>
          <w:color w:val="000000" w:themeColor="text1"/>
        </w:rPr>
        <w:t>Math Proficiency Data by Grade</w:t>
      </w:r>
    </w:p>
    <w:tbl>
      <w:tblPr>
        <w:tblStyle w:val="TableGrid"/>
        <w:tblW w:w="0" w:type="auto"/>
        <w:tblLayout w:type="fixed"/>
        <w:tblLook w:val="04A0" w:firstRow="1" w:lastRow="0" w:firstColumn="1" w:lastColumn="0" w:noHBand="0" w:noVBand="1"/>
        <w:tblCaption w:val="B03CASSPARTDATABYGRDMATH"/>
      </w:tblPr>
      <w:tblGrid>
        <w:gridCol w:w="1795"/>
        <w:gridCol w:w="810"/>
        <w:gridCol w:w="900"/>
        <w:gridCol w:w="720"/>
        <w:gridCol w:w="900"/>
        <w:gridCol w:w="810"/>
        <w:gridCol w:w="810"/>
        <w:gridCol w:w="810"/>
        <w:gridCol w:w="810"/>
        <w:gridCol w:w="810"/>
        <w:gridCol w:w="810"/>
        <w:gridCol w:w="805"/>
      </w:tblGrid>
      <w:tr w:rsidR="005C29F8" w:rsidRPr="005C29F8" w14:paraId="62DE1B1F" w14:textId="77777777" w:rsidTr="00AB0D6A">
        <w:trPr>
          <w:tblHeader/>
        </w:trPr>
        <w:tc>
          <w:tcPr>
            <w:tcW w:w="1795" w:type="dxa"/>
            <w:shd w:val="clear" w:color="auto" w:fill="auto"/>
          </w:tcPr>
          <w:p w14:paraId="190C09EE" w14:textId="77777777" w:rsidR="000013E5" w:rsidRPr="005C29F8" w:rsidRDefault="000013E5" w:rsidP="004369B2">
            <w:pPr>
              <w:jc w:val="center"/>
              <w:rPr>
                <w:b/>
                <w:color w:val="000000" w:themeColor="text1"/>
              </w:rPr>
            </w:pPr>
            <w:r w:rsidRPr="005C29F8">
              <w:rPr>
                <w:b/>
                <w:color w:val="000000" w:themeColor="text1"/>
              </w:rPr>
              <w:t>Grade</w:t>
            </w:r>
          </w:p>
        </w:tc>
        <w:tc>
          <w:tcPr>
            <w:tcW w:w="810" w:type="dxa"/>
            <w:shd w:val="clear" w:color="auto" w:fill="auto"/>
          </w:tcPr>
          <w:p w14:paraId="7DE5B404" w14:textId="77777777" w:rsidR="000013E5" w:rsidRPr="005C29F8" w:rsidRDefault="000013E5" w:rsidP="004369B2">
            <w:pPr>
              <w:jc w:val="center"/>
              <w:rPr>
                <w:b/>
                <w:color w:val="000000" w:themeColor="text1"/>
              </w:rPr>
            </w:pPr>
            <w:r w:rsidRPr="005C29F8">
              <w:rPr>
                <w:b/>
                <w:color w:val="000000" w:themeColor="text1"/>
              </w:rPr>
              <w:t>3</w:t>
            </w:r>
          </w:p>
        </w:tc>
        <w:tc>
          <w:tcPr>
            <w:tcW w:w="900" w:type="dxa"/>
            <w:shd w:val="clear" w:color="auto" w:fill="auto"/>
          </w:tcPr>
          <w:p w14:paraId="7038055F" w14:textId="77777777" w:rsidR="000013E5" w:rsidRPr="005C29F8" w:rsidRDefault="000013E5" w:rsidP="004369B2">
            <w:pPr>
              <w:jc w:val="center"/>
              <w:rPr>
                <w:b/>
                <w:color w:val="000000" w:themeColor="text1"/>
              </w:rPr>
            </w:pPr>
            <w:r w:rsidRPr="005C29F8">
              <w:rPr>
                <w:b/>
                <w:color w:val="000000" w:themeColor="text1"/>
              </w:rPr>
              <w:t>4</w:t>
            </w:r>
          </w:p>
        </w:tc>
        <w:tc>
          <w:tcPr>
            <w:tcW w:w="720" w:type="dxa"/>
            <w:shd w:val="clear" w:color="auto" w:fill="auto"/>
          </w:tcPr>
          <w:p w14:paraId="3032FA89" w14:textId="77777777" w:rsidR="000013E5" w:rsidRPr="005C29F8" w:rsidRDefault="000013E5" w:rsidP="004369B2">
            <w:pPr>
              <w:jc w:val="center"/>
              <w:rPr>
                <w:b/>
                <w:color w:val="000000" w:themeColor="text1"/>
              </w:rPr>
            </w:pPr>
            <w:r w:rsidRPr="005C29F8">
              <w:rPr>
                <w:b/>
                <w:color w:val="000000" w:themeColor="text1"/>
              </w:rPr>
              <w:t>5</w:t>
            </w:r>
          </w:p>
        </w:tc>
        <w:tc>
          <w:tcPr>
            <w:tcW w:w="900" w:type="dxa"/>
            <w:shd w:val="clear" w:color="auto" w:fill="auto"/>
          </w:tcPr>
          <w:p w14:paraId="2EC21856" w14:textId="77777777" w:rsidR="000013E5" w:rsidRPr="005C29F8" w:rsidRDefault="000013E5" w:rsidP="004369B2">
            <w:pPr>
              <w:jc w:val="center"/>
              <w:rPr>
                <w:b/>
                <w:color w:val="000000" w:themeColor="text1"/>
              </w:rPr>
            </w:pPr>
            <w:r w:rsidRPr="005C29F8">
              <w:rPr>
                <w:b/>
                <w:color w:val="000000" w:themeColor="text1"/>
              </w:rPr>
              <w:t>6</w:t>
            </w:r>
          </w:p>
        </w:tc>
        <w:tc>
          <w:tcPr>
            <w:tcW w:w="810" w:type="dxa"/>
            <w:shd w:val="clear" w:color="auto" w:fill="auto"/>
          </w:tcPr>
          <w:p w14:paraId="672C686B" w14:textId="77777777" w:rsidR="000013E5" w:rsidRPr="005C29F8" w:rsidRDefault="000013E5" w:rsidP="004369B2">
            <w:pPr>
              <w:jc w:val="center"/>
              <w:rPr>
                <w:b/>
                <w:color w:val="000000" w:themeColor="text1"/>
              </w:rPr>
            </w:pPr>
            <w:r w:rsidRPr="005C29F8">
              <w:rPr>
                <w:b/>
                <w:color w:val="000000" w:themeColor="text1"/>
              </w:rPr>
              <w:t>7</w:t>
            </w:r>
          </w:p>
        </w:tc>
        <w:tc>
          <w:tcPr>
            <w:tcW w:w="810" w:type="dxa"/>
            <w:shd w:val="clear" w:color="auto" w:fill="auto"/>
          </w:tcPr>
          <w:p w14:paraId="2DAEAE29" w14:textId="77777777" w:rsidR="000013E5" w:rsidRPr="005C29F8" w:rsidRDefault="000013E5" w:rsidP="004369B2">
            <w:pPr>
              <w:jc w:val="center"/>
              <w:rPr>
                <w:b/>
                <w:color w:val="000000" w:themeColor="text1"/>
              </w:rPr>
            </w:pPr>
            <w:r w:rsidRPr="005C29F8">
              <w:rPr>
                <w:b/>
                <w:color w:val="000000" w:themeColor="text1"/>
              </w:rPr>
              <w:t>8</w:t>
            </w:r>
          </w:p>
        </w:tc>
        <w:tc>
          <w:tcPr>
            <w:tcW w:w="810" w:type="dxa"/>
            <w:shd w:val="clear" w:color="auto" w:fill="auto"/>
          </w:tcPr>
          <w:p w14:paraId="215C13D8" w14:textId="77777777" w:rsidR="000013E5" w:rsidRPr="005C29F8" w:rsidRDefault="000013E5" w:rsidP="004369B2">
            <w:pPr>
              <w:jc w:val="center"/>
              <w:rPr>
                <w:b/>
                <w:color w:val="000000" w:themeColor="text1"/>
              </w:rPr>
            </w:pPr>
            <w:r w:rsidRPr="005C29F8">
              <w:rPr>
                <w:b/>
                <w:color w:val="000000" w:themeColor="text1"/>
              </w:rPr>
              <w:t>9</w:t>
            </w:r>
          </w:p>
        </w:tc>
        <w:tc>
          <w:tcPr>
            <w:tcW w:w="810" w:type="dxa"/>
            <w:shd w:val="clear" w:color="auto" w:fill="auto"/>
          </w:tcPr>
          <w:p w14:paraId="6471FABE" w14:textId="77777777" w:rsidR="000013E5" w:rsidRPr="005C29F8" w:rsidRDefault="000013E5" w:rsidP="004369B2">
            <w:pPr>
              <w:jc w:val="center"/>
              <w:rPr>
                <w:b/>
                <w:color w:val="000000" w:themeColor="text1"/>
              </w:rPr>
            </w:pPr>
            <w:r w:rsidRPr="005C29F8">
              <w:rPr>
                <w:b/>
                <w:color w:val="000000" w:themeColor="text1"/>
              </w:rPr>
              <w:t>10</w:t>
            </w:r>
          </w:p>
        </w:tc>
        <w:tc>
          <w:tcPr>
            <w:tcW w:w="810" w:type="dxa"/>
            <w:shd w:val="clear" w:color="auto" w:fill="auto"/>
          </w:tcPr>
          <w:p w14:paraId="03AD2A7C" w14:textId="77777777" w:rsidR="000013E5" w:rsidRPr="005C29F8" w:rsidRDefault="000013E5" w:rsidP="004369B2">
            <w:pPr>
              <w:jc w:val="center"/>
              <w:rPr>
                <w:b/>
                <w:color w:val="000000" w:themeColor="text1"/>
              </w:rPr>
            </w:pPr>
            <w:r w:rsidRPr="005C29F8">
              <w:rPr>
                <w:b/>
                <w:color w:val="000000" w:themeColor="text1"/>
              </w:rPr>
              <w:t>11</w:t>
            </w:r>
          </w:p>
        </w:tc>
        <w:tc>
          <w:tcPr>
            <w:tcW w:w="810" w:type="dxa"/>
            <w:shd w:val="clear" w:color="auto" w:fill="auto"/>
          </w:tcPr>
          <w:p w14:paraId="25439A42" w14:textId="77777777" w:rsidR="000013E5" w:rsidRPr="005C29F8" w:rsidRDefault="000013E5" w:rsidP="004369B2">
            <w:pPr>
              <w:jc w:val="center"/>
              <w:rPr>
                <w:b/>
                <w:color w:val="000000" w:themeColor="text1"/>
              </w:rPr>
            </w:pPr>
            <w:r w:rsidRPr="005C29F8">
              <w:rPr>
                <w:b/>
                <w:color w:val="000000" w:themeColor="text1"/>
              </w:rPr>
              <w:t>12</w:t>
            </w:r>
          </w:p>
        </w:tc>
        <w:tc>
          <w:tcPr>
            <w:tcW w:w="805" w:type="dxa"/>
            <w:shd w:val="clear" w:color="auto" w:fill="auto"/>
          </w:tcPr>
          <w:p w14:paraId="2D81AD32" w14:textId="77777777" w:rsidR="000013E5" w:rsidRPr="005C29F8" w:rsidRDefault="000013E5" w:rsidP="004369B2">
            <w:pPr>
              <w:jc w:val="center"/>
              <w:rPr>
                <w:b/>
                <w:color w:val="000000" w:themeColor="text1"/>
              </w:rPr>
            </w:pPr>
            <w:r w:rsidRPr="005C29F8">
              <w:rPr>
                <w:b/>
                <w:color w:val="000000" w:themeColor="text1"/>
              </w:rPr>
              <w:t>HS</w:t>
            </w:r>
          </w:p>
        </w:tc>
      </w:tr>
      <w:tr w:rsidR="005C29F8" w:rsidRPr="005C29F8" w14:paraId="33333988" w14:textId="77777777" w:rsidTr="00AB0D6A">
        <w:tc>
          <w:tcPr>
            <w:tcW w:w="1795" w:type="dxa"/>
            <w:shd w:val="clear" w:color="auto" w:fill="auto"/>
          </w:tcPr>
          <w:p w14:paraId="7DC36ACB" w14:textId="77777777" w:rsidR="000013E5" w:rsidRPr="005C29F8" w:rsidRDefault="000013E5" w:rsidP="000013E5">
            <w:pPr>
              <w:rPr>
                <w:b/>
                <w:color w:val="000000" w:themeColor="text1"/>
              </w:rPr>
            </w:pPr>
            <w:r w:rsidRPr="005C29F8">
              <w:rPr>
                <w:color w:val="000000" w:themeColor="text1"/>
              </w:rPr>
              <w:t>a. Children with IEPs who received a valid score and a proficiency was assigned</w:t>
            </w:r>
          </w:p>
        </w:tc>
        <w:tc>
          <w:tcPr>
            <w:tcW w:w="810" w:type="dxa"/>
            <w:shd w:val="clear" w:color="auto" w:fill="auto"/>
          </w:tcPr>
          <w:p w14:paraId="4CE4FB96" w14:textId="0A687676" w:rsidR="000013E5" w:rsidRPr="005C29F8" w:rsidRDefault="000013E5" w:rsidP="000013E5">
            <w:pPr>
              <w:rPr>
                <w:b/>
                <w:color w:val="000000" w:themeColor="text1"/>
              </w:rPr>
            </w:pPr>
          </w:p>
        </w:tc>
        <w:tc>
          <w:tcPr>
            <w:tcW w:w="900" w:type="dxa"/>
            <w:shd w:val="clear" w:color="auto" w:fill="auto"/>
          </w:tcPr>
          <w:p w14:paraId="07947D7E" w14:textId="47074ABD" w:rsidR="000013E5" w:rsidRPr="005C29F8" w:rsidRDefault="000013E5" w:rsidP="000013E5">
            <w:pPr>
              <w:rPr>
                <w:b/>
                <w:color w:val="000000" w:themeColor="text1"/>
              </w:rPr>
            </w:pPr>
          </w:p>
        </w:tc>
        <w:tc>
          <w:tcPr>
            <w:tcW w:w="720" w:type="dxa"/>
            <w:shd w:val="clear" w:color="auto" w:fill="auto"/>
          </w:tcPr>
          <w:p w14:paraId="669EEFA3" w14:textId="09F33016" w:rsidR="000013E5" w:rsidRPr="005C29F8" w:rsidRDefault="000013E5" w:rsidP="000013E5">
            <w:pPr>
              <w:rPr>
                <w:b/>
                <w:color w:val="000000" w:themeColor="text1"/>
              </w:rPr>
            </w:pPr>
          </w:p>
        </w:tc>
        <w:tc>
          <w:tcPr>
            <w:tcW w:w="900" w:type="dxa"/>
            <w:shd w:val="clear" w:color="auto" w:fill="auto"/>
          </w:tcPr>
          <w:p w14:paraId="7A5C2823" w14:textId="5972199B" w:rsidR="000013E5" w:rsidRPr="005C29F8" w:rsidRDefault="000013E5" w:rsidP="000013E5">
            <w:pPr>
              <w:rPr>
                <w:b/>
                <w:color w:val="000000" w:themeColor="text1"/>
              </w:rPr>
            </w:pPr>
          </w:p>
        </w:tc>
        <w:tc>
          <w:tcPr>
            <w:tcW w:w="810" w:type="dxa"/>
            <w:shd w:val="clear" w:color="auto" w:fill="auto"/>
          </w:tcPr>
          <w:p w14:paraId="3C7CC472" w14:textId="0F346539" w:rsidR="000013E5" w:rsidRPr="005C29F8" w:rsidRDefault="000013E5" w:rsidP="000013E5">
            <w:pPr>
              <w:rPr>
                <w:b/>
                <w:color w:val="000000" w:themeColor="text1"/>
              </w:rPr>
            </w:pPr>
          </w:p>
        </w:tc>
        <w:tc>
          <w:tcPr>
            <w:tcW w:w="810" w:type="dxa"/>
            <w:shd w:val="clear" w:color="auto" w:fill="auto"/>
          </w:tcPr>
          <w:p w14:paraId="19891B77" w14:textId="51A4F8AF" w:rsidR="000013E5" w:rsidRPr="005C29F8" w:rsidRDefault="000013E5" w:rsidP="000013E5">
            <w:pPr>
              <w:rPr>
                <w:b/>
                <w:color w:val="000000" w:themeColor="text1"/>
              </w:rPr>
            </w:pPr>
          </w:p>
        </w:tc>
        <w:tc>
          <w:tcPr>
            <w:tcW w:w="810" w:type="dxa"/>
            <w:shd w:val="clear" w:color="auto" w:fill="auto"/>
          </w:tcPr>
          <w:p w14:paraId="3BEF53BC" w14:textId="13E8AABF" w:rsidR="000013E5" w:rsidRPr="005C29F8" w:rsidRDefault="000013E5" w:rsidP="000013E5">
            <w:pPr>
              <w:rPr>
                <w:b/>
                <w:color w:val="000000" w:themeColor="text1"/>
              </w:rPr>
            </w:pPr>
          </w:p>
        </w:tc>
        <w:tc>
          <w:tcPr>
            <w:tcW w:w="810" w:type="dxa"/>
            <w:shd w:val="clear" w:color="auto" w:fill="auto"/>
          </w:tcPr>
          <w:p w14:paraId="676C3347" w14:textId="0363D4E0" w:rsidR="000013E5" w:rsidRPr="005C29F8" w:rsidRDefault="000013E5" w:rsidP="000013E5">
            <w:pPr>
              <w:rPr>
                <w:b/>
                <w:color w:val="000000" w:themeColor="text1"/>
              </w:rPr>
            </w:pPr>
          </w:p>
        </w:tc>
        <w:tc>
          <w:tcPr>
            <w:tcW w:w="810" w:type="dxa"/>
            <w:shd w:val="clear" w:color="auto" w:fill="auto"/>
          </w:tcPr>
          <w:p w14:paraId="3CF81EC8" w14:textId="513EC91A" w:rsidR="000013E5" w:rsidRPr="005C29F8" w:rsidRDefault="000013E5" w:rsidP="000013E5">
            <w:pPr>
              <w:rPr>
                <w:b/>
                <w:color w:val="000000" w:themeColor="text1"/>
              </w:rPr>
            </w:pPr>
          </w:p>
        </w:tc>
        <w:tc>
          <w:tcPr>
            <w:tcW w:w="810" w:type="dxa"/>
            <w:shd w:val="clear" w:color="auto" w:fill="auto"/>
          </w:tcPr>
          <w:p w14:paraId="15C1BF64" w14:textId="228D49EF" w:rsidR="000013E5" w:rsidRPr="005C29F8" w:rsidRDefault="000013E5" w:rsidP="000013E5">
            <w:pPr>
              <w:rPr>
                <w:b/>
                <w:color w:val="000000" w:themeColor="text1"/>
              </w:rPr>
            </w:pPr>
          </w:p>
        </w:tc>
        <w:tc>
          <w:tcPr>
            <w:tcW w:w="805" w:type="dxa"/>
            <w:shd w:val="clear" w:color="auto" w:fill="auto"/>
          </w:tcPr>
          <w:p w14:paraId="44D825E9" w14:textId="3DC68396" w:rsidR="000013E5" w:rsidRPr="005C29F8" w:rsidRDefault="000013E5" w:rsidP="000013E5">
            <w:pPr>
              <w:rPr>
                <w:b/>
                <w:color w:val="000000" w:themeColor="text1"/>
              </w:rPr>
            </w:pPr>
          </w:p>
        </w:tc>
      </w:tr>
      <w:tr w:rsidR="005C29F8" w:rsidRPr="005C29F8" w14:paraId="7E58498F" w14:textId="77777777" w:rsidTr="00AB0D6A">
        <w:tc>
          <w:tcPr>
            <w:tcW w:w="1795" w:type="dxa"/>
            <w:shd w:val="clear" w:color="auto" w:fill="auto"/>
          </w:tcPr>
          <w:p w14:paraId="4F32E0BC" w14:textId="77777777" w:rsidR="000013E5" w:rsidRPr="005C29F8" w:rsidRDefault="000013E5" w:rsidP="000013E5">
            <w:pPr>
              <w:rPr>
                <w:b/>
                <w:color w:val="000000" w:themeColor="text1"/>
              </w:rPr>
            </w:pPr>
            <w:r w:rsidRPr="005C29F8">
              <w:rPr>
                <w:color w:val="000000" w:themeColor="text1"/>
              </w:rPr>
              <w:t>b. IEPs in regular assessment with no accommodations scored at or above proficient against grade level</w:t>
            </w:r>
          </w:p>
        </w:tc>
        <w:tc>
          <w:tcPr>
            <w:tcW w:w="810" w:type="dxa"/>
            <w:shd w:val="clear" w:color="auto" w:fill="auto"/>
          </w:tcPr>
          <w:p w14:paraId="6DE46D54" w14:textId="2C27DC50" w:rsidR="000013E5" w:rsidRPr="005C29F8" w:rsidRDefault="000013E5" w:rsidP="000013E5">
            <w:pPr>
              <w:rPr>
                <w:b/>
                <w:color w:val="000000" w:themeColor="text1"/>
              </w:rPr>
            </w:pPr>
          </w:p>
        </w:tc>
        <w:tc>
          <w:tcPr>
            <w:tcW w:w="900" w:type="dxa"/>
            <w:shd w:val="clear" w:color="auto" w:fill="auto"/>
          </w:tcPr>
          <w:p w14:paraId="6F4311F8" w14:textId="0B711CD6" w:rsidR="000013E5" w:rsidRPr="005C29F8" w:rsidRDefault="000013E5" w:rsidP="000013E5">
            <w:pPr>
              <w:rPr>
                <w:b/>
                <w:color w:val="000000" w:themeColor="text1"/>
              </w:rPr>
            </w:pPr>
          </w:p>
        </w:tc>
        <w:tc>
          <w:tcPr>
            <w:tcW w:w="720" w:type="dxa"/>
            <w:shd w:val="clear" w:color="auto" w:fill="auto"/>
          </w:tcPr>
          <w:p w14:paraId="7B154B01" w14:textId="34178A92" w:rsidR="000013E5" w:rsidRPr="005C29F8" w:rsidRDefault="000013E5" w:rsidP="000013E5">
            <w:pPr>
              <w:rPr>
                <w:b/>
                <w:color w:val="000000" w:themeColor="text1"/>
              </w:rPr>
            </w:pPr>
          </w:p>
        </w:tc>
        <w:tc>
          <w:tcPr>
            <w:tcW w:w="900" w:type="dxa"/>
            <w:shd w:val="clear" w:color="auto" w:fill="auto"/>
          </w:tcPr>
          <w:p w14:paraId="7AEB6590" w14:textId="1B5DD304" w:rsidR="000013E5" w:rsidRPr="005C29F8" w:rsidRDefault="000013E5" w:rsidP="000013E5">
            <w:pPr>
              <w:rPr>
                <w:b/>
                <w:color w:val="000000" w:themeColor="text1"/>
              </w:rPr>
            </w:pPr>
          </w:p>
        </w:tc>
        <w:tc>
          <w:tcPr>
            <w:tcW w:w="810" w:type="dxa"/>
            <w:shd w:val="clear" w:color="auto" w:fill="auto"/>
          </w:tcPr>
          <w:p w14:paraId="33A43D6C" w14:textId="1F82D57B" w:rsidR="000013E5" w:rsidRPr="005C29F8" w:rsidRDefault="000013E5" w:rsidP="000013E5">
            <w:pPr>
              <w:rPr>
                <w:b/>
                <w:color w:val="000000" w:themeColor="text1"/>
              </w:rPr>
            </w:pPr>
          </w:p>
        </w:tc>
        <w:tc>
          <w:tcPr>
            <w:tcW w:w="810" w:type="dxa"/>
            <w:shd w:val="clear" w:color="auto" w:fill="auto"/>
          </w:tcPr>
          <w:p w14:paraId="3ED538AB" w14:textId="0EDC5859" w:rsidR="000013E5" w:rsidRPr="005C29F8" w:rsidRDefault="000013E5" w:rsidP="000013E5">
            <w:pPr>
              <w:rPr>
                <w:b/>
                <w:color w:val="000000" w:themeColor="text1"/>
              </w:rPr>
            </w:pPr>
          </w:p>
        </w:tc>
        <w:tc>
          <w:tcPr>
            <w:tcW w:w="810" w:type="dxa"/>
            <w:shd w:val="clear" w:color="auto" w:fill="auto"/>
          </w:tcPr>
          <w:p w14:paraId="14EBC932" w14:textId="6A5DC7D8" w:rsidR="000013E5" w:rsidRPr="005C29F8" w:rsidRDefault="000013E5" w:rsidP="000013E5">
            <w:pPr>
              <w:rPr>
                <w:b/>
                <w:color w:val="000000" w:themeColor="text1"/>
              </w:rPr>
            </w:pPr>
          </w:p>
        </w:tc>
        <w:tc>
          <w:tcPr>
            <w:tcW w:w="810" w:type="dxa"/>
            <w:shd w:val="clear" w:color="auto" w:fill="auto"/>
          </w:tcPr>
          <w:p w14:paraId="34924B2C" w14:textId="202C9AF5" w:rsidR="000013E5" w:rsidRPr="005C29F8" w:rsidRDefault="000013E5" w:rsidP="000013E5">
            <w:pPr>
              <w:rPr>
                <w:b/>
                <w:color w:val="000000" w:themeColor="text1"/>
              </w:rPr>
            </w:pPr>
          </w:p>
        </w:tc>
        <w:tc>
          <w:tcPr>
            <w:tcW w:w="810" w:type="dxa"/>
            <w:shd w:val="clear" w:color="auto" w:fill="auto"/>
          </w:tcPr>
          <w:p w14:paraId="6B5A9FD0" w14:textId="0DC82BE2" w:rsidR="000013E5" w:rsidRPr="005C29F8" w:rsidRDefault="000013E5" w:rsidP="000013E5">
            <w:pPr>
              <w:rPr>
                <w:b/>
                <w:color w:val="000000" w:themeColor="text1"/>
              </w:rPr>
            </w:pPr>
          </w:p>
        </w:tc>
        <w:tc>
          <w:tcPr>
            <w:tcW w:w="810" w:type="dxa"/>
            <w:shd w:val="clear" w:color="auto" w:fill="auto"/>
          </w:tcPr>
          <w:p w14:paraId="0EB1DDAF" w14:textId="7EC67879" w:rsidR="000013E5" w:rsidRPr="005C29F8" w:rsidRDefault="000013E5" w:rsidP="000013E5">
            <w:pPr>
              <w:rPr>
                <w:b/>
                <w:color w:val="000000" w:themeColor="text1"/>
              </w:rPr>
            </w:pPr>
          </w:p>
        </w:tc>
        <w:tc>
          <w:tcPr>
            <w:tcW w:w="805" w:type="dxa"/>
            <w:shd w:val="clear" w:color="auto" w:fill="auto"/>
          </w:tcPr>
          <w:p w14:paraId="5892446F" w14:textId="5B738AD2" w:rsidR="000013E5" w:rsidRPr="005C29F8" w:rsidRDefault="000013E5" w:rsidP="000013E5">
            <w:pPr>
              <w:rPr>
                <w:b/>
                <w:color w:val="000000" w:themeColor="text1"/>
              </w:rPr>
            </w:pPr>
          </w:p>
        </w:tc>
      </w:tr>
      <w:tr w:rsidR="005C29F8" w:rsidRPr="005C29F8" w14:paraId="5144A9B2" w14:textId="77777777" w:rsidTr="00AB0D6A">
        <w:tc>
          <w:tcPr>
            <w:tcW w:w="1795" w:type="dxa"/>
            <w:shd w:val="clear" w:color="auto" w:fill="auto"/>
          </w:tcPr>
          <w:p w14:paraId="1C0B0117" w14:textId="77777777" w:rsidR="000013E5" w:rsidRPr="005C29F8" w:rsidRDefault="000013E5" w:rsidP="000013E5">
            <w:pPr>
              <w:rPr>
                <w:b/>
                <w:color w:val="000000" w:themeColor="text1"/>
              </w:rPr>
            </w:pPr>
            <w:r w:rsidRPr="005C29F8">
              <w:rPr>
                <w:color w:val="000000" w:themeColor="text1"/>
              </w:rPr>
              <w:t>c. IEPs in regular assessment with accommodations scored at or above proficient against grade level</w:t>
            </w:r>
          </w:p>
        </w:tc>
        <w:tc>
          <w:tcPr>
            <w:tcW w:w="810" w:type="dxa"/>
            <w:shd w:val="clear" w:color="auto" w:fill="auto"/>
          </w:tcPr>
          <w:p w14:paraId="6D3598DC" w14:textId="313ABDE7" w:rsidR="000013E5" w:rsidRPr="005C29F8" w:rsidRDefault="000013E5" w:rsidP="000013E5">
            <w:pPr>
              <w:rPr>
                <w:b/>
                <w:color w:val="000000" w:themeColor="text1"/>
              </w:rPr>
            </w:pPr>
          </w:p>
        </w:tc>
        <w:tc>
          <w:tcPr>
            <w:tcW w:w="900" w:type="dxa"/>
            <w:shd w:val="clear" w:color="auto" w:fill="auto"/>
          </w:tcPr>
          <w:p w14:paraId="3C361108" w14:textId="7A7E3AA3" w:rsidR="000013E5" w:rsidRPr="005C29F8" w:rsidRDefault="000013E5" w:rsidP="000013E5">
            <w:pPr>
              <w:rPr>
                <w:b/>
                <w:color w:val="000000" w:themeColor="text1"/>
              </w:rPr>
            </w:pPr>
          </w:p>
        </w:tc>
        <w:tc>
          <w:tcPr>
            <w:tcW w:w="720" w:type="dxa"/>
            <w:shd w:val="clear" w:color="auto" w:fill="auto"/>
          </w:tcPr>
          <w:p w14:paraId="013822F9" w14:textId="1F4AB74B" w:rsidR="000013E5" w:rsidRPr="005C29F8" w:rsidRDefault="000013E5" w:rsidP="000013E5">
            <w:pPr>
              <w:rPr>
                <w:b/>
                <w:color w:val="000000" w:themeColor="text1"/>
              </w:rPr>
            </w:pPr>
          </w:p>
        </w:tc>
        <w:tc>
          <w:tcPr>
            <w:tcW w:w="900" w:type="dxa"/>
            <w:shd w:val="clear" w:color="auto" w:fill="auto"/>
          </w:tcPr>
          <w:p w14:paraId="61A24D5F" w14:textId="112ADE81" w:rsidR="000013E5" w:rsidRPr="005C29F8" w:rsidRDefault="000013E5" w:rsidP="000013E5">
            <w:pPr>
              <w:rPr>
                <w:b/>
                <w:color w:val="000000" w:themeColor="text1"/>
              </w:rPr>
            </w:pPr>
          </w:p>
        </w:tc>
        <w:tc>
          <w:tcPr>
            <w:tcW w:w="810" w:type="dxa"/>
            <w:shd w:val="clear" w:color="auto" w:fill="auto"/>
          </w:tcPr>
          <w:p w14:paraId="2A7F2814" w14:textId="1DE6A74C" w:rsidR="000013E5" w:rsidRPr="005C29F8" w:rsidRDefault="000013E5" w:rsidP="000013E5">
            <w:pPr>
              <w:rPr>
                <w:b/>
                <w:color w:val="000000" w:themeColor="text1"/>
              </w:rPr>
            </w:pPr>
          </w:p>
        </w:tc>
        <w:tc>
          <w:tcPr>
            <w:tcW w:w="810" w:type="dxa"/>
            <w:shd w:val="clear" w:color="auto" w:fill="auto"/>
          </w:tcPr>
          <w:p w14:paraId="6B316227" w14:textId="38277DBC" w:rsidR="000013E5" w:rsidRPr="005C29F8" w:rsidRDefault="000013E5" w:rsidP="000013E5">
            <w:pPr>
              <w:rPr>
                <w:b/>
                <w:color w:val="000000" w:themeColor="text1"/>
              </w:rPr>
            </w:pPr>
          </w:p>
        </w:tc>
        <w:tc>
          <w:tcPr>
            <w:tcW w:w="810" w:type="dxa"/>
            <w:shd w:val="clear" w:color="auto" w:fill="auto"/>
          </w:tcPr>
          <w:p w14:paraId="608F58AB" w14:textId="6AE9AD72" w:rsidR="000013E5" w:rsidRPr="005C29F8" w:rsidRDefault="000013E5" w:rsidP="000013E5">
            <w:pPr>
              <w:rPr>
                <w:b/>
                <w:color w:val="000000" w:themeColor="text1"/>
              </w:rPr>
            </w:pPr>
          </w:p>
        </w:tc>
        <w:tc>
          <w:tcPr>
            <w:tcW w:w="810" w:type="dxa"/>
            <w:shd w:val="clear" w:color="auto" w:fill="auto"/>
          </w:tcPr>
          <w:p w14:paraId="7649848A" w14:textId="6492690D" w:rsidR="000013E5" w:rsidRPr="005C29F8" w:rsidRDefault="000013E5" w:rsidP="000013E5">
            <w:pPr>
              <w:rPr>
                <w:b/>
                <w:color w:val="000000" w:themeColor="text1"/>
              </w:rPr>
            </w:pPr>
          </w:p>
        </w:tc>
        <w:tc>
          <w:tcPr>
            <w:tcW w:w="810" w:type="dxa"/>
            <w:shd w:val="clear" w:color="auto" w:fill="auto"/>
          </w:tcPr>
          <w:p w14:paraId="7D6E9BF6" w14:textId="4612DD26" w:rsidR="000013E5" w:rsidRPr="005C29F8" w:rsidRDefault="000013E5" w:rsidP="000013E5">
            <w:pPr>
              <w:rPr>
                <w:b/>
                <w:color w:val="000000" w:themeColor="text1"/>
              </w:rPr>
            </w:pPr>
          </w:p>
        </w:tc>
        <w:tc>
          <w:tcPr>
            <w:tcW w:w="810" w:type="dxa"/>
            <w:shd w:val="clear" w:color="auto" w:fill="auto"/>
          </w:tcPr>
          <w:p w14:paraId="17623A0F" w14:textId="665550B3" w:rsidR="000013E5" w:rsidRPr="005C29F8" w:rsidRDefault="000013E5" w:rsidP="000013E5">
            <w:pPr>
              <w:rPr>
                <w:b/>
                <w:color w:val="000000" w:themeColor="text1"/>
              </w:rPr>
            </w:pPr>
          </w:p>
        </w:tc>
        <w:tc>
          <w:tcPr>
            <w:tcW w:w="805" w:type="dxa"/>
            <w:shd w:val="clear" w:color="auto" w:fill="auto"/>
          </w:tcPr>
          <w:p w14:paraId="2E5A1782" w14:textId="361B5F74" w:rsidR="000013E5" w:rsidRPr="005C29F8" w:rsidRDefault="000013E5" w:rsidP="000013E5">
            <w:pPr>
              <w:rPr>
                <w:b/>
                <w:color w:val="000000" w:themeColor="text1"/>
              </w:rPr>
            </w:pPr>
          </w:p>
        </w:tc>
      </w:tr>
      <w:tr w:rsidR="005C29F8" w:rsidRPr="005C29F8" w14:paraId="524BE8F5" w14:textId="77777777" w:rsidTr="00AB0D6A">
        <w:tc>
          <w:tcPr>
            <w:tcW w:w="1795" w:type="dxa"/>
            <w:shd w:val="clear" w:color="auto" w:fill="auto"/>
          </w:tcPr>
          <w:p w14:paraId="522EF8D7" w14:textId="77777777" w:rsidR="000013E5" w:rsidRPr="005C29F8" w:rsidRDefault="000013E5" w:rsidP="000013E5">
            <w:pPr>
              <w:rPr>
                <w:b/>
                <w:color w:val="000000" w:themeColor="text1"/>
              </w:rPr>
            </w:pPr>
            <w:r w:rsidRPr="005C29F8">
              <w:rPr>
                <w:color w:val="000000" w:themeColor="text1"/>
              </w:rPr>
              <w:t>f. IEPs in alternate assessment against alternate standards scored at or above proficient against grade level</w:t>
            </w:r>
          </w:p>
        </w:tc>
        <w:tc>
          <w:tcPr>
            <w:tcW w:w="810" w:type="dxa"/>
            <w:shd w:val="clear" w:color="auto" w:fill="auto"/>
          </w:tcPr>
          <w:p w14:paraId="6F0D2E83" w14:textId="7933CA14" w:rsidR="000013E5" w:rsidRPr="005C29F8" w:rsidRDefault="000013E5" w:rsidP="000013E5">
            <w:pPr>
              <w:rPr>
                <w:b/>
                <w:color w:val="000000" w:themeColor="text1"/>
              </w:rPr>
            </w:pPr>
          </w:p>
        </w:tc>
        <w:tc>
          <w:tcPr>
            <w:tcW w:w="900" w:type="dxa"/>
            <w:shd w:val="clear" w:color="auto" w:fill="auto"/>
          </w:tcPr>
          <w:p w14:paraId="67BE52B2" w14:textId="68A8ABF7" w:rsidR="000013E5" w:rsidRPr="005C29F8" w:rsidRDefault="000013E5" w:rsidP="000013E5">
            <w:pPr>
              <w:rPr>
                <w:b/>
                <w:color w:val="000000" w:themeColor="text1"/>
              </w:rPr>
            </w:pPr>
          </w:p>
        </w:tc>
        <w:tc>
          <w:tcPr>
            <w:tcW w:w="720" w:type="dxa"/>
            <w:shd w:val="clear" w:color="auto" w:fill="auto"/>
          </w:tcPr>
          <w:p w14:paraId="0B77614A" w14:textId="2B4DD81E" w:rsidR="000013E5" w:rsidRPr="005C29F8" w:rsidRDefault="000013E5" w:rsidP="000013E5">
            <w:pPr>
              <w:rPr>
                <w:b/>
                <w:color w:val="000000" w:themeColor="text1"/>
              </w:rPr>
            </w:pPr>
          </w:p>
        </w:tc>
        <w:tc>
          <w:tcPr>
            <w:tcW w:w="900" w:type="dxa"/>
            <w:shd w:val="clear" w:color="auto" w:fill="auto"/>
          </w:tcPr>
          <w:p w14:paraId="7DDC1990" w14:textId="214B34CC" w:rsidR="000013E5" w:rsidRPr="005C29F8" w:rsidRDefault="000013E5" w:rsidP="000013E5">
            <w:pPr>
              <w:rPr>
                <w:b/>
                <w:color w:val="000000" w:themeColor="text1"/>
              </w:rPr>
            </w:pPr>
          </w:p>
        </w:tc>
        <w:tc>
          <w:tcPr>
            <w:tcW w:w="810" w:type="dxa"/>
            <w:shd w:val="clear" w:color="auto" w:fill="auto"/>
          </w:tcPr>
          <w:p w14:paraId="7FCDA6AA" w14:textId="5B415465" w:rsidR="000013E5" w:rsidRPr="005C29F8" w:rsidRDefault="000013E5" w:rsidP="000013E5">
            <w:pPr>
              <w:rPr>
                <w:b/>
                <w:color w:val="000000" w:themeColor="text1"/>
              </w:rPr>
            </w:pPr>
          </w:p>
        </w:tc>
        <w:tc>
          <w:tcPr>
            <w:tcW w:w="810" w:type="dxa"/>
            <w:shd w:val="clear" w:color="auto" w:fill="auto"/>
          </w:tcPr>
          <w:p w14:paraId="0F7FC39E" w14:textId="2CE26676" w:rsidR="000013E5" w:rsidRPr="005C29F8" w:rsidRDefault="000013E5" w:rsidP="000013E5">
            <w:pPr>
              <w:rPr>
                <w:b/>
                <w:color w:val="000000" w:themeColor="text1"/>
              </w:rPr>
            </w:pPr>
          </w:p>
        </w:tc>
        <w:tc>
          <w:tcPr>
            <w:tcW w:w="810" w:type="dxa"/>
            <w:shd w:val="clear" w:color="auto" w:fill="auto"/>
          </w:tcPr>
          <w:p w14:paraId="3380419E" w14:textId="7A17F414" w:rsidR="000013E5" w:rsidRPr="005C29F8" w:rsidRDefault="000013E5" w:rsidP="000013E5">
            <w:pPr>
              <w:rPr>
                <w:b/>
                <w:color w:val="000000" w:themeColor="text1"/>
              </w:rPr>
            </w:pPr>
          </w:p>
        </w:tc>
        <w:tc>
          <w:tcPr>
            <w:tcW w:w="810" w:type="dxa"/>
            <w:shd w:val="clear" w:color="auto" w:fill="auto"/>
          </w:tcPr>
          <w:p w14:paraId="5A620D3C" w14:textId="66E64DE9" w:rsidR="000013E5" w:rsidRPr="005C29F8" w:rsidRDefault="000013E5" w:rsidP="000013E5">
            <w:pPr>
              <w:rPr>
                <w:b/>
                <w:color w:val="000000" w:themeColor="text1"/>
              </w:rPr>
            </w:pPr>
          </w:p>
        </w:tc>
        <w:tc>
          <w:tcPr>
            <w:tcW w:w="810" w:type="dxa"/>
            <w:shd w:val="clear" w:color="auto" w:fill="auto"/>
          </w:tcPr>
          <w:p w14:paraId="7EA29188" w14:textId="57EC67D4" w:rsidR="000013E5" w:rsidRPr="005C29F8" w:rsidRDefault="000013E5" w:rsidP="000013E5">
            <w:pPr>
              <w:rPr>
                <w:b/>
                <w:color w:val="000000" w:themeColor="text1"/>
              </w:rPr>
            </w:pPr>
          </w:p>
        </w:tc>
        <w:tc>
          <w:tcPr>
            <w:tcW w:w="810" w:type="dxa"/>
            <w:shd w:val="clear" w:color="auto" w:fill="auto"/>
          </w:tcPr>
          <w:p w14:paraId="3DB60D56" w14:textId="05FFEB65" w:rsidR="000013E5" w:rsidRPr="005C29F8" w:rsidRDefault="000013E5" w:rsidP="000013E5">
            <w:pPr>
              <w:rPr>
                <w:b/>
                <w:color w:val="000000" w:themeColor="text1"/>
              </w:rPr>
            </w:pPr>
          </w:p>
        </w:tc>
        <w:tc>
          <w:tcPr>
            <w:tcW w:w="805" w:type="dxa"/>
            <w:shd w:val="clear" w:color="auto" w:fill="auto"/>
          </w:tcPr>
          <w:p w14:paraId="0C2A6AB2" w14:textId="11936219" w:rsidR="000013E5" w:rsidRPr="005C29F8" w:rsidRDefault="000013E5" w:rsidP="000013E5">
            <w:pPr>
              <w:rPr>
                <w:b/>
                <w:color w:val="000000" w:themeColor="text1"/>
              </w:rPr>
            </w:pPr>
          </w:p>
        </w:tc>
      </w:tr>
    </w:tbl>
    <w:p w14:paraId="56C37F05" w14:textId="77777777" w:rsidR="00241BD0" w:rsidRPr="005C29F8" w:rsidRDefault="00241BD0" w:rsidP="004369B2">
      <w:pPr>
        <w:rPr>
          <w:color w:val="000000" w:themeColor="text1"/>
        </w:rPr>
      </w:pPr>
    </w:p>
    <w:p w14:paraId="0E0A129D" w14:textId="67D9686E" w:rsidR="00BD7229" w:rsidRDefault="00BD7229" w:rsidP="004369B2">
      <w:pPr>
        <w:rPr>
          <w:b/>
          <w:color w:val="000000" w:themeColor="text1"/>
        </w:rPr>
      </w:pPr>
      <w:r w:rsidRPr="005C29F8">
        <w:rPr>
          <w:b/>
          <w:color w:val="000000" w:themeColor="text1"/>
        </w:rPr>
        <w:t>FFY 2019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028"/>
        <w:gridCol w:w="1395"/>
        <w:gridCol w:w="1268"/>
        <w:gridCol w:w="1160"/>
        <w:gridCol w:w="1626"/>
        <w:gridCol w:w="1067"/>
        <w:gridCol w:w="1292"/>
        <w:gridCol w:w="1258"/>
      </w:tblGrid>
      <w:tr w:rsidR="005C29F8" w:rsidRPr="005C29F8" w14:paraId="73241F59" w14:textId="77777777" w:rsidTr="000C3A20">
        <w:trPr>
          <w:tblHeader/>
        </w:trPr>
        <w:tc>
          <w:tcPr>
            <w:tcW w:w="222" w:type="pct"/>
            <w:shd w:val="clear" w:color="auto" w:fill="auto"/>
            <w:vAlign w:val="bottom"/>
          </w:tcPr>
          <w:p w14:paraId="3378C689" w14:textId="77777777" w:rsidR="004E1F6F" w:rsidRPr="005C29F8" w:rsidRDefault="004E1F6F" w:rsidP="004369B2">
            <w:pPr>
              <w:jc w:val="center"/>
              <w:rPr>
                <w:b/>
                <w:color w:val="000000" w:themeColor="text1"/>
              </w:rPr>
            </w:pPr>
            <w:r w:rsidRPr="005C29F8">
              <w:rPr>
                <w:b/>
                <w:color w:val="000000" w:themeColor="text1"/>
              </w:rPr>
              <w:t>Group</w:t>
            </w:r>
          </w:p>
        </w:tc>
        <w:tc>
          <w:tcPr>
            <w:tcW w:w="489" w:type="pct"/>
            <w:shd w:val="clear" w:color="auto" w:fill="auto"/>
            <w:vAlign w:val="bottom"/>
          </w:tcPr>
          <w:p w14:paraId="34B96D6C" w14:textId="2E1BB354" w:rsidR="004E1F6F" w:rsidRPr="005C29F8" w:rsidRDefault="004E1F6F" w:rsidP="004369B2">
            <w:pPr>
              <w:jc w:val="center"/>
              <w:rPr>
                <w:b/>
                <w:color w:val="000000" w:themeColor="text1"/>
              </w:rPr>
            </w:pPr>
            <w:r w:rsidRPr="005C29F8">
              <w:rPr>
                <w:b/>
                <w:color w:val="000000" w:themeColor="text1"/>
              </w:rPr>
              <w:t>Group Name</w:t>
            </w:r>
          </w:p>
        </w:tc>
        <w:tc>
          <w:tcPr>
            <w:tcW w:w="659" w:type="pct"/>
            <w:shd w:val="clear" w:color="auto" w:fill="auto"/>
            <w:vAlign w:val="bottom"/>
          </w:tcPr>
          <w:p w14:paraId="3B6543C5" w14:textId="32158AFC" w:rsidR="004E1F6F" w:rsidRPr="005C29F8" w:rsidRDefault="003A481F" w:rsidP="004369B2">
            <w:pPr>
              <w:jc w:val="center"/>
              <w:rPr>
                <w:b/>
                <w:color w:val="000000" w:themeColor="text1"/>
              </w:rPr>
            </w:pPr>
            <w:r w:rsidRPr="005C29F8">
              <w:rPr>
                <w:b/>
                <w:color w:val="000000" w:themeColor="text1"/>
              </w:rPr>
              <w:t>Children with IEPs who received a valid score and a proficiency was assigned</w:t>
            </w:r>
          </w:p>
        </w:tc>
        <w:tc>
          <w:tcPr>
            <w:tcW w:w="600" w:type="pct"/>
            <w:shd w:val="clear" w:color="auto" w:fill="auto"/>
            <w:vAlign w:val="bottom"/>
          </w:tcPr>
          <w:p w14:paraId="36E5B9C7" w14:textId="7F81A8FB" w:rsidR="004E1F6F" w:rsidRPr="005C29F8" w:rsidRDefault="004E1F6F" w:rsidP="004369B2">
            <w:pPr>
              <w:jc w:val="center"/>
              <w:rPr>
                <w:b/>
                <w:color w:val="000000" w:themeColor="text1"/>
              </w:rPr>
            </w:pPr>
            <w:r w:rsidRPr="005C29F8">
              <w:rPr>
                <w:b/>
                <w:color w:val="000000" w:themeColor="text1"/>
              </w:rPr>
              <w:t>Number of Children with IEPs Proficient</w:t>
            </w:r>
          </w:p>
        </w:tc>
        <w:tc>
          <w:tcPr>
            <w:tcW w:w="550" w:type="pct"/>
            <w:shd w:val="clear" w:color="auto" w:fill="auto"/>
            <w:vAlign w:val="bottom"/>
          </w:tcPr>
          <w:p w14:paraId="2614DFA3" w14:textId="1A882F90" w:rsidR="004E1F6F" w:rsidRPr="005C29F8" w:rsidRDefault="004E1F6F" w:rsidP="004369B2">
            <w:pPr>
              <w:jc w:val="center"/>
              <w:rPr>
                <w:b/>
                <w:color w:val="000000" w:themeColor="text1"/>
              </w:rPr>
            </w:pPr>
            <w:r w:rsidRPr="005C29F8">
              <w:rPr>
                <w:b/>
                <w:color w:val="000000" w:themeColor="text1"/>
              </w:rPr>
              <w:t>FFY 2018 Data</w:t>
            </w:r>
          </w:p>
        </w:tc>
        <w:tc>
          <w:tcPr>
            <w:tcW w:w="766" w:type="pct"/>
            <w:shd w:val="clear" w:color="auto" w:fill="auto"/>
            <w:vAlign w:val="bottom"/>
          </w:tcPr>
          <w:p w14:paraId="09D4299D" w14:textId="7595547E" w:rsidR="004E1F6F" w:rsidRPr="005C29F8" w:rsidRDefault="004E1F6F" w:rsidP="004369B2">
            <w:pPr>
              <w:jc w:val="center"/>
              <w:rPr>
                <w:b/>
                <w:color w:val="000000" w:themeColor="text1"/>
              </w:rPr>
            </w:pPr>
            <w:r w:rsidRPr="005C29F8">
              <w:rPr>
                <w:b/>
                <w:color w:val="000000" w:themeColor="text1"/>
              </w:rPr>
              <w:t>FFY 2019 Target</w:t>
            </w:r>
          </w:p>
        </w:tc>
        <w:tc>
          <w:tcPr>
            <w:tcW w:w="507" w:type="pct"/>
            <w:shd w:val="clear" w:color="auto" w:fill="auto"/>
            <w:vAlign w:val="bottom"/>
          </w:tcPr>
          <w:p w14:paraId="2B4D24C2" w14:textId="7CD753EA" w:rsidR="004E1F6F" w:rsidRPr="005C29F8" w:rsidRDefault="004E1F6F" w:rsidP="004369B2">
            <w:pPr>
              <w:jc w:val="center"/>
              <w:rPr>
                <w:b/>
                <w:color w:val="000000" w:themeColor="text1"/>
              </w:rPr>
            </w:pPr>
            <w:r w:rsidRPr="005C29F8">
              <w:rPr>
                <w:b/>
                <w:color w:val="000000" w:themeColor="text1"/>
              </w:rPr>
              <w:t>FFY 2019 Data</w:t>
            </w:r>
          </w:p>
        </w:tc>
        <w:tc>
          <w:tcPr>
            <w:tcW w:w="611" w:type="pct"/>
            <w:shd w:val="clear" w:color="auto" w:fill="auto"/>
            <w:vAlign w:val="bottom"/>
          </w:tcPr>
          <w:p w14:paraId="4987ED35" w14:textId="77777777" w:rsidR="004E1F6F" w:rsidRPr="005C29F8" w:rsidRDefault="004E1F6F" w:rsidP="004369B2">
            <w:pPr>
              <w:jc w:val="center"/>
              <w:rPr>
                <w:b/>
                <w:color w:val="000000" w:themeColor="text1"/>
              </w:rPr>
            </w:pPr>
            <w:r w:rsidRPr="005C29F8">
              <w:rPr>
                <w:b/>
                <w:color w:val="000000" w:themeColor="text1"/>
              </w:rPr>
              <w:t>Status</w:t>
            </w:r>
          </w:p>
        </w:tc>
        <w:tc>
          <w:tcPr>
            <w:tcW w:w="595" w:type="pct"/>
            <w:shd w:val="clear" w:color="auto" w:fill="auto"/>
            <w:vAlign w:val="bottom"/>
          </w:tcPr>
          <w:p w14:paraId="7EA3F612" w14:textId="77777777" w:rsidR="004E1F6F" w:rsidRPr="005C29F8" w:rsidRDefault="004E1F6F" w:rsidP="004369B2">
            <w:pPr>
              <w:jc w:val="center"/>
              <w:rPr>
                <w:b/>
                <w:color w:val="000000" w:themeColor="text1"/>
              </w:rPr>
            </w:pPr>
            <w:r w:rsidRPr="005C29F8">
              <w:rPr>
                <w:b/>
                <w:color w:val="000000" w:themeColor="text1"/>
              </w:rPr>
              <w:t>Slippage</w:t>
            </w:r>
          </w:p>
        </w:tc>
      </w:tr>
      <w:tr w:rsidR="005C29F8" w:rsidRPr="005C29F8" w14:paraId="318B8AAD" w14:textId="77777777" w:rsidTr="000C3A20">
        <w:tc>
          <w:tcPr>
            <w:tcW w:w="222" w:type="pct"/>
            <w:shd w:val="clear" w:color="auto" w:fill="auto"/>
            <w:vAlign w:val="center"/>
          </w:tcPr>
          <w:p w14:paraId="4BD3A1A0" w14:textId="77777777" w:rsidR="004E1F6F" w:rsidRPr="005C29F8" w:rsidRDefault="004E1F6F" w:rsidP="004E1F6F">
            <w:pPr>
              <w:pStyle w:val="Default"/>
              <w:jc w:val="center"/>
              <w:rPr>
                <w:rFonts w:eastAsiaTheme="minorHAnsi"/>
                <w:color w:val="000000" w:themeColor="text1"/>
                <w:sz w:val="16"/>
                <w:szCs w:val="16"/>
              </w:rPr>
            </w:pPr>
            <w:r w:rsidRPr="005C29F8">
              <w:rPr>
                <w:b/>
                <w:color w:val="000000" w:themeColor="text1"/>
                <w:sz w:val="16"/>
                <w:szCs w:val="16"/>
              </w:rPr>
              <w:t>A</w:t>
            </w:r>
          </w:p>
        </w:tc>
        <w:tc>
          <w:tcPr>
            <w:tcW w:w="489" w:type="pct"/>
            <w:shd w:val="clear" w:color="auto" w:fill="auto"/>
          </w:tcPr>
          <w:p w14:paraId="2D59B69E" w14:textId="6B4C5F20" w:rsidR="004E1F6F" w:rsidRPr="005C29F8" w:rsidDel="00DE5045" w:rsidRDefault="004E1F6F" w:rsidP="004E1F6F">
            <w:pPr>
              <w:jc w:val="center"/>
              <w:rPr>
                <w:rFonts w:cs="Arial"/>
                <w:color w:val="000000" w:themeColor="text1"/>
                <w:szCs w:val="16"/>
              </w:rPr>
            </w:pPr>
            <w:r w:rsidRPr="005C29F8">
              <w:rPr>
                <w:rFonts w:cs="Arial"/>
                <w:color w:val="000000" w:themeColor="text1"/>
                <w:szCs w:val="16"/>
              </w:rPr>
              <w:t>Overall</w:t>
            </w:r>
          </w:p>
        </w:tc>
        <w:tc>
          <w:tcPr>
            <w:tcW w:w="659" w:type="pct"/>
            <w:shd w:val="clear" w:color="auto" w:fill="auto"/>
          </w:tcPr>
          <w:p w14:paraId="10EC608D" w14:textId="6AE464D9" w:rsidR="004E1F6F" w:rsidRPr="005C29F8" w:rsidRDefault="004E1F6F" w:rsidP="004E1F6F">
            <w:pPr>
              <w:jc w:val="center"/>
              <w:rPr>
                <w:rFonts w:cs="Arial"/>
                <w:color w:val="000000" w:themeColor="text1"/>
                <w:szCs w:val="16"/>
              </w:rPr>
            </w:pPr>
          </w:p>
        </w:tc>
        <w:tc>
          <w:tcPr>
            <w:tcW w:w="600" w:type="pct"/>
            <w:shd w:val="clear" w:color="auto" w:fill="auto"/>
          </w:tcPr>
          <w:p w14:paraId="5740CA80" w14:textId="2E1892DE" w:rsidR="004E1F6F" w:rsidRPr="005C29F8" w:rsidRDefault="004E1F6F" w:rsidP="004E1F6F">
            <w:pPr>
              <w:jc w:val="center"/>
              <w:rPr>
                <w:rFonts w:cs="Arial"/>
                <w:color w:val="000000" w:themeColor="text1"/>
                <w:szCs w:val="16"/>
              </w:rPr>
            </w:pPr>
          </w:p>
        </w:tc>
        <w:tc>
          <w:tcPr>
            <w:tcW w:w="550" w:type="pct"/>
            <w:shd w:val="clear" w:color="auto" w:fill="auto"/>
          </w:tcPr>
          <w:p w14:paraId="6BA58310" w14:textId="391F367C" w:rsidR="004E1F6F" w:rsidRPr="005C29F8" w:rsidRDefault="004E1F6F" w:rsidP="004E1F6F">
            <w:pPr>
              <w:jc w:val="center"/>
              <w:rPr>
                <w:rFonts w:cs="Arial"/>
                <w:color w:val="000000" w:themeColor="text1"/>
                <w:szCs w:val="16"/>
              </w:rPr>
            </w:pPr>
            <w:r w:rsidRPr="005C29F8">
              <w:rPr>
                <w:rFonts w:cs="Arial"/>
                <w:color w:val="000000" w:themeColor="text1"/>
                <w:szCs w:val="16"/>
              </w:rPr>
              <w:t>16.69%</w:t>
            </w:r>
          </w:p>
        </w:tc>
        <w:tc>
          <w:tcPr>
            <w:tcW w:w="766" w:type="pct"/>
            <w:shd w:val="clear" w:color="auto" w:fill="auto"/>
          </w:tcPr>
          <w:p w14:paraId="47A1F29A" w14:textId="0E923F64" w:rsidR="004E1F6F" w:rsidRPr="005C29F8" w:rsidRDefault="004E1F6F" w:rsidP="004E1F6F">
            <w:pPr>
              <w:jc w:val="center"/>
              <w:rPr>
                <w:rFonts w:cs="Arial"/>
                <w:color w:val="000000" w:themeColor="text1"/>
                <w:szCs w:val="16"/>
              </w:rPr>
            </w:pPr>
            <w:r w:rsidRPr="005C29F8">
              <w:rPr>
                <w:rFonts w:cs="Arial"/>
                <w:color w:val="000000" w:themeColor="text1"/>
                <w:szCs w:val="16"/>
              </w:rPr>
              <w:t>20.00%</w:t>
            </w:r>
          </w:p>
        </w:tc>
        <w:tc>
          <w:tcPr>
            <w:tcW w:w="507" w:type="pct"/>
            <w:shd w:val="clear" w:color="auto" w:fill="auto"/>
          </w:tcPr>
          <w:p w14:paraId="2AE4C61A" w14:textId="12BE6FDD" w:rsidR="004E1F6F" w:rsidRPr="005C29F8" w:rsidRDefault="004E1F6F" w:rsidP="004E1F6F">
            <w:pPr>
              <w:jc w:val="center"/>
              <w:rPr>
                <w:rFonts w:cs="Arial"/>
                <w:color w:val="000000" w:themeColor="text1"/>
                <w:szCs w:val="16"/>
              </w:rPr>
            </w:pPr>
          </w:p>
        </w:tc>
        <w:tc>
          <w:tcPr>
            <w:tcW w:w="611" w:type="pct"/>
            <w:shd w:val="clear" w:color="auto" w:fill="auto"/>
          </w:tcPr>
          <w:p w14:paraId="2590AA37" w14:textId="2B2E3DAE" w:rsidR="004E1F6F" w:rsidRPr="005C29F8" w:rsidRDefault="004E1F6F" w:rsidP="004E1F6F">
            <w:pPr>
              <w:jc w:val="center"/>
              <w:rPr>
                <w:rFonts w:cs="Arial"/>
                <w:color w:val="000000" w:themeColor="text1"/>
                <w:szCs w:val="16"/>
              </w:rPr>
            </w:pPr>
            <w:r w:rsidRPr="005C29F8">
              <w:rPr>
                <w:rFonts w:cs="Arial"/>
                <w:color w:val="000000" w:themeColor="text1"/>
                <w:szCs w:val="16"/>
              </w:rPr>
              <w:t>N/A</w:t>
            </w:r>
          </w:p>
        </w:tc>
        <w:tc>
          <w:tcPr>
            <w:tcW w:w="595" w:type="pct"/>
            <w:shd w:val="clear" w:color="auto" w:fill="auto"/>
          </w:tcPr>
          <w:p w14:paraId="39DEC07F" w14:textId="70B28667" w:rsidR="004E1F6F" w:rsidRPr="005C29F8" w:rsidRDefault="004E1F6F" w:rsidP="004E1F6F">
            <w:pPr>
              <w:jc w:val="center"/>
              <w:rPr>
                <w:rFonts w:cs="Arial"/>
                <w:color w:val="000000" w:themeColor="text1"/>
                <w:szCs w:val="16"/>
              </w:rPr>
            </w:pPr>
            <w:r w:rsidRPr="005C29F8">
              <w:rPr>
                <w:rFonts w:cs="Arial"/>
                <w:color w:val="000000" w:themeColor="text1"/>
                <w:szCs w:val="16"/>
              </w:rPr>
              <w:t>N/A</w:t>
            </w:r>
          </w:p>
        </w:tc>
      </w:tr>
    </w:tbl>
    <w:p w14:paraId="32B02A11" w14:textId="77777777" w:rsidR="000C3A20" w:rsidRPr="000C3A20" w:rsidRDefault="000C3A20" w:rsidP="000C3A20">
      <w:pPr>
        <w:rPr>
          <w:color w:val="000000" w:themeColor="text1"/>
        </w:rPr>
      </w:pPr>
    </w:p>
    <w:p w14:paraId="105DF19B" w14:textId="77777777" w:rsidR="000C3A20" w:rsidRPr="005C29F8" w:rsidRDefault="000C3A20" w:rsidP="000C3A20">
      <w:pPr>
        <w:rPr>
          <w:color w:val="000000" w:themeColor="text1"/>
        </w:rPr>
      </w:pPr>
    </w:p>
    <w:p w14:paraId="73E73F7F" w14:textId="6BBB38CF" w:rsidR="00BD7229" w:rsidRDefault="00BD7229" w:rsidP="004369B2">
      <w:pPr>
        <w:rPr>
          <w:b/>
          <w:color w:val="000000" w:themeColor="text1"/>
        </w:rPr>
      </w:pPr>
      <w:r w:rsidRPr="005C29F8">
        <w:rPr>
          <w:b/>
          <w:color w:val="000000" w:themeColor="text1"/>
        </w:rPr>
        <w:t>FFY 2019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021"/>
        <w:gridCol w:w="1395"/>
        <w:gridCol w:w="1270"/>
        <w:gridCol w:w="1162"/>
        <w:gridCol w:w="1624"/>
        <w:gridCol w:w="1069"/>
        <w:gridCol w:w="1294"/>
        <w:gridCol w:w="1259"/>
      </w:tblGrid>
      <w:tr w:rsidR="005C29F8" w:rsidRPr="005C29F8" w14:paraId="2361B602" w14:textId="77777777" w:rsidTr="000C3A20">
        <w:trPr>
          <w:tblHeader/>
        </w:trPr>
        <w:tc>
          <w:tcPr>
            <w:tcW w:w="222" w:type="pct"/>
            <w:shd w:val="clear" w:color="auto" w:fill="auto"/>
            <w:vAlign w:val="bottom"/>
          </w:tcPr>
          <w:p w14:paraId="097BD4DD" w14:textId="77777777" w:rsidR="004E1F6F" w:rsidRPr="005C29F8" w:rsidRDefault="004E1F6F" w:rsidP="004369B2">
            <w:pPr>
              <w:jc w:val="center"/>
              <w:rPr>
                <w:b/>
                <w:color w:val="000000" w:themeColor="text1"/>
              </w:rPr>
            </w:pPr>
            <w:r w:rsidRPr="005C29F8">
              <w:rPr>
                <w:b/>
                <w:color w:val="000000" w:themeColor="text1"/>
              </w:rPr>
              <w:t>Group</w:t>
            </w:r>
          </w:p>
        </w:tc>
        <w:tc>
          <w:tcPr>
            <w:tcW w:w="486" w:type="pct"/>
            <w:shd w:val="clear" w:color="auto" w:fill="auto"/>
            <w:vAlign w:val="bottom"/>
          </w:tcPr>
          <w:p w14:paraId="221D62AE" w14:textId="46B1DC14" w:rsidR="004E1F6F" w:rsidRPr="005C29F8" w:rsidRDefault="004E1F6F" w:rsidP="004369B2">
            <w:pPr>
              <w:jc w:val="center"/>
              <w:rPr>
                <w:b/>
                <w:color w:val="000000" w:themeColor="text1"/>
              </w:rPr>
            </w:pPr>
            <w:r w:rsidRPr="005C29F8">
              <w:rPr>
                <w:b/>
                <w:color w:val="000000" w:themeColor="text1"/>
              </w:rPr>
              <w:t>Group Name</w:t>
            </w:r>
          </w:p>
        </w:tc>
        <w:tc>
          <w:tcPr>
            <w:tcW w:w="659" w:type="pct"/>
            <w:shd w:val="clear" w:color="auto" w:fill="auto"/>
            <w:vAlign w:val="bottom"/>
          </w:tcPr>
          <w:p w14:paraId="6EA1E126" w14:textId="2C3C914F" w:rsidR="004E1F6F" w:rsidRPr="005C29F8" w:rsidRDefault="00167BF7" w:rsidP="004369B2">
            <w:pPr>
              <w:jc w:val="center"/>
              <w:rPr>
                <w:b/>
                <w:color w:val="000000" w:themeColor="text1"/>
              </w:rPr>
            </w:pPr>
            <w:r w:rsidRPr="005C29F8">
              <w:rPr>
                <w:b/>
                <w:color w:val="000000" w:themeColor="text1"/>
              </w:rPr>
              <w:t>Children with IEPs who received a valid score and a proficiency was assigned</w:t>
            </w:r>
          </w:p>
        </w:tc>
        <w:tc>
          <w:tcPr>
            <w:tcW w:w="601" w:type="pct"/>
            <w:shd w:val="clear" w:color="auto" w:fill="auto"/>
            <w:vAlign w:val="bottom"/>
          </w:tcPr>
          <w:p w14:paraId="534757DA" w14:textId="2A9F3B5F" w:rsidR="004E1F6F" w:rsidRPr="005C29F8" w:rsidRDefault="004E1F6F" w:rsidP="004369B2">
            <w:pPr>
              <w:jc w:val="center"/>
              <w:rPr>
                <w:b/>
                <w:color w:val="000000" w:themeColor="text1"/>
              </w:rPr>
            </w:pPr>
            <w:r w:rsidRPr="005C29F8">
              <w:rPr>
                <w:b/>
                <w:color w:val="000000" w:themeColor="text1"/>
              </w:rPr>
              <w:t>Number of Children with IEPs Proficient</w:t>
            </w:r>
          </w:p>
        </w:tc>
        <w:tc>
          <w:tcPr>
            <w:tcW w:w="551" w:type="pct"/>
            <w:shd w:val="clear" w:color="auto" w:fill="auto"/>
            <w:vAlign w:val="bottom"/>
          </w:tcPr>
          <w:p w14:paraId="73023982" w14:textId="087F4055" w:rsidR="004E1F6F" w:rsidRPr="005C29F8" w:rsidRDefault="004E1F6F" w:rsidP="004369B2">
            <w:pPr>
              <w:jc w:val="center"/>
              <w:rPr>
                <w:b/>
                <w:color w:val="000000" w:themeColor="text1"/>
              </w:rPr>
            </w:pPr>
            <w:r w:rsidRPr="005C29F8">
              <w:rPr>
                <w:b/>
                <w:color w:val="000000" w:themeColor="text1"/>
              </w:rPr>
              <w:t>FFY 2018 Data</w:t>
            </w:r>
          </w:p>
        </w:tc>
        <w:tc>
          <w:tcPr>
            <w:tcW w:w="765" w:type="pct"/>
            <w:shd w:val="clear" w:color="auto" w:fill="auto"/>
            <w:vAlign w:val="bottom"/>
          </w:tcPr>
          <w:p w14:paraId="37651EF9" w14:textId="14D3BC59" w:rsidR="004E1F6F" w:rsidRPr="005C29F8" w:rsidRDefault="004E1F6F" w:rsidP="004369B2">
            <w:pPr>
              <w:jc w:val="center"/>
              <w:rPr>
                <w:b/>
                <w:color w:val="000000" w:themeColor="text1"/>
              </w:rPr>
            </w:pPr>
            <w:r w:rsidRPr="005C29F8">
              <w:rPr>
                <w:b/>
                <w:color w:val="000000" w:themeColor="text1"/>
              </w:rPr>
              <w:t>FFY 2019 Target</w:t>
            </w:r>
          </w:p>
        </w:tc>
        <w:tc>
          <w:tcPr>
            <w:tcW w:w="508" w:type="pct"/>
            <w:shd w:val="clear" w:color="auto" w:fill="auto"/>
            <w:vAlign w:val="bottom"/>
          </w:tcPr>
          <w:p w14:paraId="3D61FBEB" w14:textId="19ED500A" w:rsidR="004E1F6F" w:rsidRPr="005C29F8" w:rsidRDefault="004E1F6F" w:rsidP="004369B2">
            <w:pPr>
              <w:jc w:val="center"/>
              <w:rPr>
                <w:b/>
                <w:color w:val="000000" w:themeColor="text1"/>
              </w:rPr>
            </w:pPr>
            <w:r w:rsidRPr="005C29F8">
              <w:rPr>
                <w:b/>
                <w:color w:val="000000" w:themeColor="text1"/>
              </w:rPr>
              <w:t>FFY 2019 Data</w:t>
            </w:r>
          </w:p>
        </w:tc>
        <w:tc>
          <w:tcPr>
            <w:tcW w:w="612" w:type="pct"/>
            <w:shd w:val="clear" w:color="auto" w:fill="auto"/>
            <w:vAlign w:val="bottom"/>
          </w:tcPr>
          <w:p w14:paraId="730A2874" w14:textId="77777777" w:rsidR="004E1F6F" w:rsidRPr="005C29F8" w:rsidRDefault="004E1F6F" w:rsidP="004369B2">
            <w:pPr>
              <w:jc w:val="center"/>
              <w:rPr>
                <w:b/>
                <w:color w:val="000000" w:themeColor="text1"/>
              </w:rPr>
            </w:pPr>
            <w:r w:rsidRPr="005C29F8">
              <w:rPr>
                <w:b/>
                <w:color w:val="000000" w:themeColor="text1"/>
              </w:rPr>
              <w:t>Status</w:t>
            </w:r>
          </w:p>
        </w:tc>
        <w:tc>
          <w:tcPr>
            <w:tcW w:w="596" w:type="pct"/>
            <w:shd w:val="clear" w:color="auto" w:fill="auto"/>
            <w:vAlign w:val="bottom"/>
          </w:tcPr>
          <w:p w14:paraId="67BEF249" w14:textId="77777777" w:rsidR="004E1F6F" w:rsidRPr="005C29F8" w:rsidRDefault="004E1F6F" w:rsidP="004369B2">
            <w:pPr>
              <w:jc w:val="center"/>
              <w:rPr>
                <w:b/>
                <w:color w:val="000000" w:themeColor="text1"/>
              </w:rPr>
            </w:pPr>
            <w:r w:rsidRPr="005C29F8">
              <w:rPr>
                <w:b/>
                <w:color w:val="000000" w:themeColor="text1"/>
              </w:rPr>
              <w:t>Slippage</w:t>
            </w:r>
          </w:p>
        </w:tc>
      </w:tr>
      <w:tr w:rsidR="005C29F8" w:rsidRPr="005C29F8" w14:paraId="08D65837" w14:textId="77777777" w:rsidTr="000C3A20">
        <w:tc>
          <w:tcPr>
            <w:tcW w:w="222" w:type="pct"/>
            <w:shd w:val="clear" w:color="auto" w:fill="auto"/>
          </w:tcPr>
          <w:p w14:paraId="76903C3F" w14:textId="77777777" w:rsidR="004E1F6F" w:rsidRPr="005C29F8" w:rsidRDefault="004E1F6F" w:rsidP="004E1F6F">
            <w:pPr>
              <w:pStyle w:val="Default"/>
              <w:jc w:val="center"/>
              <w:rPr>
                <w:b/>
                <w:color w:val="000000" w:themeColor="text1"/>
                <w:sz w:val="16"/>
                <w:szCs w:val="16"/>
              </w:rPr>
            </w:pPr>
            <w:r w:rsidRPr="005C29F8">
              <w:rPr>
                <w:rFonts w:eastAsiaTheme="minorHAnsi"/>
                <w:b/>
                <w:color w:val="000000" w:themeColor="text1"/>
                <w:sz w:val="16"/>
                <w:szCs w:val="16"/>
              </w:rPr>
              <w:t>A</w:t>
            </w:r>
          </w:p>
        </w:tc>
        <w:tc>
          <w:tcPr>
            <w:tcW w:w="486" w:type="pct"/>
            <w:shd w:val="clear" w:color="auto" w:fill="auto"/>
          </w:tcPr>
          <w:p w14:paraId="02026CDE" w14:textId="48FAC1A1" w:rsidR="004E1F6F" w:rsidRPr="005C29F8" w:rsidDel="00DE5045" w:rsidRDefault="004E1F6F" w:rsidP="004E1F6F">
            <w:pPr>
              <w:jc w:val="center"/>
              <w:rPr>
                <w:rFonts w:cs="Arial"/>
                <w:color w:val="000000" w:themeColor="text1"/>
                <w:szCs w:val="16"/>
              </w:rPr>
            </w:pPr>
            <w:r w:rsidRPr="005C29F8">
              <w:rPr>
                <w:rFonts w:cs="Arial"/>
                <w:color w:val="000000" w:themeColor="text1"/>
                <w:szCs w:val="16"/>
              </w:rPr>
              <w:t>Overall</w:t>
            </w:r>
          </w:p>
        </w:tc>
        <w:tc>
          <w:tcPr>
            <w:tcW w:w="659" w:type="pct"/>
            <w:shd w:val="clear" w:color="auto" w:fill="auto"/>
          </w:tcPr>
          <w:p w14:paraId="16642EB5" w14:textId="0509238E" w:rsidR="004E1F6F" w:rsidRPr="005C29F8" w:rsidRDefault="004E1F6F" w:rsidP="004E1F6F">
            <w:pPr>
              <w:jc w:val="center"/>
              <w:rPr>
                <w:rFonts w:cs="Arial"/>
                <w:color w:val="000000" w:themeColor="text1"/>
                <w:szCs w:val="16"/>
              </w:rPr>
            </w:pPr>
          </w:p>
        </w:tc>
        <w:tc>
          <w:tcPr>
            <w:tcW w:w="601" w:type="pct"/>
            <w:shd w:val="clear" w:color="auto" w:fill="auto"/>
          </w:tcPr>
          <w:p w14:paraId="1C6085EF" w14:textId="6A8D76C1" w:rsidR="004E1F6F" w:rsidRPr="005C29F8" w:rsidRDefault="004E1F6F" w:rsidP="004E1F6F">
            <w:pPr>
              <w:jc w:val="center"/>
              <w:rPr>
                <w:rFonts w:cs="Arial"/>
                <w:color w:val="000000" w:themeColor="text1"/>
                <w:szCs w:val="16"/>
              </w:rPr>
            </w:pPr>
          </w:p>
        </w:tc>
        <w:tc>
          <w:tcPr>
            <w:tcW w:w="551" w:type="pct"/>
            <w:shd w:val="clear" w:color="auto" w:fill="auto"/>
          </w:tcPr>
          <w:p w14:paraId="3DFEF3CC" w14:textId="273D8D28" w:rsidR="004E1F6F" w:rsidRPr="005C29F8" w:rsidRDefault="004E1F6F" w:rsidP="004E1F6F">
            <w:pPr>
              <w:jc w:val="center"/>
              <w:rPr>
                <w:rFonts w:cs="Arial"/>
                <w:color w:val="000000" w:themeColor="text1"/>
                <w:szCs w:val="16"/>
              </w:rPr>
            </w:pPr>
            <w:r w:rsidRPr="005C29F8">
              <w:rPr>
                <w:rFonts w:cs="Arial"/>
                <w:color w:val="000000" w:themeColor="text1"/>
                <w:szCs w:val="16"/>
              </w:rPr>
              <w:t>15.31%</w:t>
            </w:r>
          </w:p>
        </w:tc>
        <w:tc>
          <w:tcPr>
            <w:tcW w:w="765" w:type="pct"/>
            <w:shd w:val="clear" w:color="auto" w:fill="auto"/>
          </w:tcPr>
          <w:p w14:paraId="78DBA801" w14:textId="0BA3B321" w:rsidR="004E1F6F" w:rsidRPr="005C29F8" w:rsidRDefault="004E1F6F" w:rsidP="004E1F6F">
            <w:pPr>
              <w:jc w:val="center"/>
              <w:rPr>
                <w:rFonts w:cs="Arial"/>
                <w:color w:val="000000" w:themeColor="text1"/>
                <w:szCs w:val="16"/>
              </w:rPr>
            </w:pPr>
            <w:r w:rsidRPr="005C29F8">
              <w:rPr>
                <w:rFonts w:cs="Arial"/>
                <w:color w:val="000000" w:themeColor="text1"/>
                <w:szCs w:val="16"/>
              </w:rPr>
              <w:t>19.00%</w:t>
            </w:r>
          </w:p>
        </w:tc>
        <w:tc>
          <w:tcPr>
            <w:tcW w:w="508" w:type="pct"/>
            <w:shd w:val="clear" w:color="auto" w:fill="auto"/>
          </w:tcPr>
          <w:p w14:paraId="1DC938D5" w14:textId="450CB901" w:rsidR="004E1F6F" w:rsidRPr="005C29F8" w:rsidRDefault="004E1F6F" w:rsidP="004E1F6F">
            <w:pPr>
              <w:jc w:val="center"/>
              <w:rPr>
                <w:rFonts w:cs="Arial"/>
                <w:color w:val="000000" w:themeColor="text1"/>
                <w:szCs w:val="16"/>
              </w:rPr>
            </w:pPr>
          </w:p>
        </w:tc>
        <w:tc>
          <w:tcPr>
            <w:tcW w:w="612" w:type="pct"/>
            <w:shd w:val="clear" w:color="auto" w:fill="auto"/>
          </w:tcPr>
          <w:p w14:paraId="4B9610A1" w14:textId="71C9791E" w:rsidR="004E1F6F" w:rsidRPr="005C29F8" w:rsidRDefault="004E1F6F" w:rsidP="004E1F6F">
            <w:pPr>
              <w:jc w:val="center"/>
              <w:rPr>
                <w:rFonts w:cs="Arial"/>
                <w:color w:val="000000" w:themeColor="text1"/>
                <w:szCs w:val="16"/>
              </w:rPr>
            </w:pPr>
            <w:r w:rsidRPr="005C29F8">
              <w:rPr>
                <w:rFonts w:cs="Arial"/>
                <w:color w:val="000000" w:themeColor="text1"/>
                <w:szCs w:val="16"/>
              </w:rPr>
              <w:t>N/A</w:t>
            </w:r>
          </w:p>
        </w:tc>
        <w:tc>
          <w:tcPr>
            <w:tcW w:w="596" w:type="pct"/>
            <w:shd w:val="clear" w:color="auto" w:fill="auto"/>
          </w:tcPr>
          <w:p w14:paraId="5708D4BE" w14:textId="328B6097" w:rsidR="004E1F6F" w:rsidRPr="005C29F8" w:rsidRDefault="004E1F6F" w:rsidP="004E1F6F">
            <w:pPr>
              <w:jc w:val="center"/>
              <w:rPr>
                <w:rFonts w:cs="Arial"/>
                <w:color w:val="000000" w:themeColor="text1"/>
                <w:szCs w:val="16"/>
              </w:rPr>
            </w:pPr>
            <w:r w:rsidRPr="005C29F8">
              <w:rPr>
                <w:rFonts w:cs="Arial"/>
                <w:color w:val="000000" w:themeColor="text1"/>
                <w:szCs w:val="16"/>
              </w:rPr>
              <w:t>N/A</w:t>
            </w:r>
          </w:p>
        </w:tc>
      </w:tr>
    </w:tbl>
    <w:p w14:paraId="4F477182" w14:textId="77777777" w:rsidR="000C3A20" w:rsidRPr="000C3A20" w:rsidRDefault="000C3A20" w:rsidP="000C3A20">
      <w:pPr>
        <w:rPr>
          <w:color w:val="000000" w:themeColor="text1"/>
        </w:rPr>
      </w:pPr>
    </w:p>
    <w:p w14:paraId="052B55C9" w14:textId="77777777" w:rsidR="000C3A20" w:rsidRPr="005C29F8" w:rsidRDefault="000C3A20" w:rsidP="000C3A20">
      <w:pPr>
        <w:rPr>
          <w:color w:val="000000" w:themeColor="text1"/>
        </w:rPr>
      </w:pPr>
    </w:p>
    <w:p w14:paraId="4F8B3B70" w14:textId="05453045" w:rsidR="000A5A2E" w:rsidRPr="005C29F8" w:rsidRDefault="000A5A2E" w:rsidP="004369B2">
      <w:pPr>
        <w:rPr>
          <w:color w:val="000000" w:themeColor="text1"/>
        </w:rPr>
      </w:pPr>
      <w:r w:rsidRPr="005C29F8">
        <w:rPr>
          <w:b/>
          <w:color w:val="000000" w:themeColor="text1"/>
        </w:rPr>
        <w:t>Regulatory Information</w:t>
      </w:r>
    </w:p>
    <w:p w14:paraId="2B741846" w14:textId="30EBAA23" w:rsidR="000A5A2E" w:rsidRPr="005C29F8" w:rsidRDefault="00A14B5D" w:rsidP="00286BDF">
      <w:pPr>
        <w:rPr>
          <w:rFonts w:cs="Arial"/>
          <w:b/>
          <w:color w:val="000000" w:themeColor="text1"/>
          <w:szCs w:val="16"/>
          <w:shd w:val="clear" w:color="auto" w:fill="FFFFFF"/>
        </w:rPr>
      </w:pPr>
      <w:r w:rsidRPr="005C29F8">
        <w:rPr>
          <w:rFonts w:cs="Arial"/>
          <w:b/>
          <w:color w:val="000000" w:themeColor="text1"/>
          <w:szCs w:val="16"/>
        </w:rPr>
        <w:t xml:space="preserve">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w:t>
      </w:r>
      <w:r w:rsidRPr="005C29F8">
        <w:rPr>
          <w:rFonts w:cs="Arial"/>
          <w:b/>
          <w:color w:val="000000" w:themeColor="text1"/>
          <w:szCs w:val="16"/>
        </w:rPr>
        <w:lastRenderedPageBreak/>
        <w:t>disabilities on regular assessments and on alternate assessments, compared with the achievement of all children, including children with disabilities, on those assessments. [20 U.S.C. 1412 (a)(16)(D); 34 CFR §300.160(f)]</w:t>
      </w:r>
    </w:p>
    <w:p w14:paraId="7C3B3355" w14:textId="77777777" w:rsidR="00241BD0" w:rsidRPr="005C29F8" w:rsidRDefault="00241BD0" w:rsidP="004369B2">
      <w:pPr>
        <w:rPr>
          <w:color w:val="000000" w:themeColor="text1"/>
        </w:rPr>
      </w:pPr>
    </w:p>
    <w:p w14:paraId="1FD3EE14" w14:textId="6446691C" w:rsidR="000A5A2E" w:rsidRPr="005C29F8" w:rsidRDefault="000A5A2E" w:rsidP="004369B2">
      <w:pPr>
        <w:rPr>
          <w:color w:val="000000" w:themeColor="text1"/>
        </w:rPr>
      </w:pPr>
      <w:r w:rsidRPr="005C29F8">
        <w:rPr>
          <w:b/>
          <w:color w:val="000000" w:themeColor="text1"/>
        </w:rPr>
        <w:t>Public Reporting Information</w:t>
      </w:r>
    </w:p>
    <w:p w14:paraId="20613508" w14:textId="77777777" w:rsidR="000A5A2E" w:rsidRPr="005C29F8" w:rsidRDefault="000A5A2E" w:rsidP="000A5A2E">
      <w:pPr>
        <w:rPr>
          <w:rFonts w:cs="Arial"/>
          <w:b/>
          <w:color w:val="000000" w:themeColor="text1"/>
          <w:szCs w:val="16"/>
        </w:rPr>
      </w:pPr>
      <w:r w:rsidRPr="005C29F8">
        <w:rPr>
          <w:rFonts w:cs="Arial"/>
          <w:b/>
          <w:color w:val="000000" w:themeColor="text1"/>
          <w:szCs w:val="16"/>
        </w:rPr>
        <w:t xml:space="preserve">Provide links to the page(s) where you provide public reports of assessment results. </w:t>
      </w:r>
    </w:p>
    <w:p w14:paraId="1F0C4C7F" w14:textId="52384A95" w:rsidR="00A869E9" w:rsidRPr="005C29F8" w:rsidRDefault="00DD3719" w:rsidP="009C613A">
      <w:pPr>
        <w:rPr>
          <w:rFonts w:cs="Arial"/>
          <w:color w:val="000000" w:themeColor="text1"/>
          <w:szCs w:val="16"/>
        </w:rPr>
      </w:pPr>
      <w:r w:rsidRPr="00DD3719">
        <w:rPr>
          <w:rFonts w:cs="Arial"/>
          <w:color w:val="000000" w:themeColor="text1"/>
          <w:szCs w:val="16"/>
          <w:shd w:val="clear" w:color="auto" w:fill="FFFFFF"/>
        </w:rPr>
        <w:t xml:space="preserve">As required by 34 CFR 300.160(f), Massachusetts publicly reports on the performance of children with disabilities on statewide assessments with the same frequency and in the same detail as it reports on the assessments of nondisabled children, including performance results of children with disabilities on regular assessments at the district and school levels. </w:t>
      </w:r>
      <w:r w:rsidRPr="00DD3719">
        <w:rPr>
          <w:rFonts w:cs="Arial"/>
          <w:color w:val="000000" w:themeColor="text1"/>
          <w:szCs w:val="16"/>
          <w:shd w:val="clear" w:color="auto" w:fill="FFFFFF"/>
        </w:rPr>
        <w:br/>
        <w:t xml:space="preserve"> </w:t>
      </w:r>
      <w:r w:rsidRPr="00DD3719">
        <w:rPr>
          <w:rFonts w:cs="Arial"/>
          <w:color w:val="000000" w:themeColor="text1"/>
          <w:szCs w:val="16"/>
          <w:shd w:val="clear" w:color="auto" w:fill="FFFFFF"/>
        </w:rPr>
        <w:br/>
        <w:t xml:space="preserve">Performance results for students with disabilities on the regular state assessment, with and without accommodations and at both the district and school levels, is available on MA DESE’s website at http://profiles.doe.mass.edu/statereport/nextgenmcas.aspx. As of FFY 2018, all students in grades 3-8, and 10 are now taking the Next-Generation MCAS in both reading and math. Performance results for the legacy MCAS are still available here: http://profiles.doe.mass.edu/statereport/mcas.aspx. The results, on both of these pages, are sortable by report type (district or school), year, grade, school type, and student group, including students with disabilities. To view for different subgroups, including students with disabilities, use the dropdown menus. To view students with disabilities, use the student group menu on the top right of the page to select “Students w/disabilities,” and then click the “View Report” button. To switch between district and school level data, use the “Report Type” menu. Select either “District” or “School,” and then click the “View Report” button.  </w:t>
      </w:r>
      <w:r w:rsidRPr="00DD3719">
        <w:rPr>
          <w:rFonts w:cs="Arial"/>
          <w:color w:val="000000" w:themeColor="text1"/>
          <w:szCs w:val="16"/>
          <w:shd w:val="clear" w:color="auto" w:fill="FFFFFF"/>
        </w:rPr>
        <w:br/>
        <w:t xml:space="preserve"> </w:t>
      </w:r>
      <w:r w:rsidRPr="00DD3719">
        <w:rPr>
          <w:rFonts w:cs="Arial"/>
          <w:color w:val="000000" w:themeColor="text1"/>
          <w:szCs w:val="16"/>
          <w:shd w:val="clear" w:color="auto" w:fill="FFFFFF"/>
        </w:rPr>
        <w:br/>
        <w:t xml:space="preserve">MA DESE publicly reports performance results for students with disabilities who participate in the MCAS-Alt in a separate report found here: http://profiles.doe.mass.edu/statereport/mcas_alt.aspx. All students participating in the administration of the MCAS-Alt are students with disabilities. </w:t>
      </w:r>
      <w:r w:rsidRPr="00DD3719">
        <w:rPr>
          <w:rFonts w:cs="Arial"/>
          <w:color w:val="000000" w:themeColor="text1"/>
          <w:szCs w:val="16"/>
          <w:shd w:val="clear" w:color="auto" w:fill="FFFFFF"/>
        </w:rPr>
        <w:br/>
      </w:r>
      <w:r w:rsidRPr="00DD3719">
        <w:rPr>
          <w:rFonts w:cs="Arial"/>
          <w:color w:val="000000" w:themeColor="text1"/>
          <w:szCs w:val="16"/>
          <w:shd w:val="clear" w:color="auto" w:fill="FFFFFF"/>
        </w:rPr>
        <w:br/>
        <w:t xml:space="preserve">The MCAS-Alt result page is sortable by report type (district or school), year, and subjects. To switch between district and school level data, use the “Report Type” menu. Select either “District” or “School,” and then click the “View Report” button.  </w:t>
      </w:r>
      <w:r w:rsidRPr="00DD3719">
        <w:rPr>
          <w:rFonts w:cs="Arial"/>
          <w:color w:val="000000" w:themeColor="text1"/>
          <w:szCs w:val="16"/>
          <w:shd w:val="clear" w:color="auto" w:fill="FFFFFF"/>
        </w:rPr>
        <w:br/>
        <w:t xml:space="preserve"> </w:t>
      </w:r>
      <w:r w:rsidRPr="00DD3719">
        <w:rPr>
          <w:rFonts w:cs="Arial"/>
          <w:color w:val="000000" w:themeColor="text1"/>
          <w:szCs w:val="16"/>
          <w:shd w:val="clear" w:color="auto" w:fill="FFFFFF"/>
        </w:rPr>
        <w:br/>
        <w:t xml:space="preserve">Please note that MA DESE has reported Meeting Expectations and Exceeding Expectations on the Next-Generation MCAS as proficient for SPP/APR reporting requirements, but MA DESE reporting for the Next-Generation MCAS to the public no longer uses the designation of "Proficiency." </w:t>
      </w:r>
    </w:p>
    <w:p w14:paraId="32BCE51B" w14:textId="77777777" w:rsidR="00796DC0" w:rsidRPr="005C29F8" w:rsidRDefault="00796DC0" w:rsidP="004369B2">
      <w:pPr>
        <w:rPr>
          <w:b/>
          <w:color w:val="000000" w:themeColor="text1"/>
        </w:rPr>
      </w:pPr>
      <w:r w:rsidRPr="005C29F8">
        <w:rPr>
          <w:b/>
          <w:color w:val="000000" w:themeColor="text1"/>
        </w:rPr>
        <w:t>Provide additional information about this indicator (optional)</w:t>
      </w:r>
    </w:p>
    <w:p w14:paraId="19728EE3" w14:textId="7FE6C853" w:rsidR="00A869E9" w:rsidRPr="005C29F8" w:rsidRDefault="002B7490" w:rsidP="000E33D0">
      <w:pPr>
        <w:rPr>
          <w:rFonts w:cs="Arial"/>
          <w:color w:val="000000" w:themeColor="text1"/>
          <w:szCs w:val="16"/>
        </w:rPr>
      </w:pPr>
      <w:r w:rsidRPr="005C29F8">
        <w:rPr>
          <w:rFonts w:cs="Arial"/>
          <w:color w:val="000000" w:themeColor="text1"/>
          <w:szCs w:val="16"/>
          <w:shd w:val="clear" w:color="auto" w:fill="FFFFFF"/>
        </w:rPr>
        <w:t>The Massachusetts Department of Elementary and Secondary Education did not administer the Spring 2020 MCAS for the 2019-20 school year due to the cancellation of state assessments and school closures related to COVID-19. MA DESE cannot provide context or comment on the validity, accuracy and completeness of data as there is no data to report for FFY19 for Indicator 3C.</w:t>
      </w:r>
      <w:r w:rsidRPr="005C29F8">
        <w:rPr>
          <w:rFonts w:cs="Arial"/>
          <w:color w:val="000000" w:themeColor="text1"/>
          <w:szCs w:val="16"/>
          <w:shd w:val="clear" w:color="auto" w:fill="FFFFFF"/>
        </w:rPr>
        <w:br/>
        <w:t xml:space="preserve">Accountability  System Changes </w:t>
      </w:r>
      <w:r w:rsidRPr="005C29F8">
        <w:rPr>
          <w:rFonts w:cs="Arial"/>
          <w:color w:val="000000" w:themeColor="text1"/>
          <w:szCs w:val="16"/>
          <w:shd w:val="clear" w:color="auto" w:fill="FFFFFF"/>
        </w:rPr>
        <w:br/>
        <w:t xml:space="preserve">In the 2017-2018 school year, Massachusetts began implementing a new statewide accountability system (http://www.doe.mass.edu/accountability/). The system measures school and LEA performance in meeting student needs, as well as the type and amount of support that schools and LEAs need from the state. This new accountability system includes additional accountability indicators that provide a more in-depth analysis of school and LEA needs. The new system eliminates the five assistance levels that characterized the previous accountability system and replaces them with accountability categories that define progress and the support that LEAs are receiving from MA DESE. The system also shifted away from measuring an LEA based on its lowest performing school and now focuses on LEA-level data.  </w:t>
      </w:r>
      <w:r w:rsidRPr="005C29F8">
        <w:rPr>
          <w:rFonts w:cs="Arial"/>
          <w:color w:val="000000" w:themeColor="text1"/>
          <w:szCs w:val="16"/>
          <w:shd w:val="clear" w:color="auto" w:fill="FFFFFF"/>
        </w:rPr>
        <w:br/>
        <w:t xml:space="preserve"> </w:t>
      </w:r>
      <w:r w:rsidRPr="005C29F8">
        <w:rPr>
          <w:rFonts w:cs="Arial"/>
          <w:color w:val="000000" w:themeColor="text1"/>
          <w:szCs w:val="16"/>
          <w:shd w:val="clear" w:color="auto" w:fill="FFFFFF"/>
        </w:rPr>
        <w:br/>
        <w:t xml:space="preserve">Next-Generation MCAS  </w:t>
      </w:r>
      <w:r w:rsidRPr="005C29F8">
        <w:rPr>
          <w:rFonts w:cs="Arial"/>
          <w:color w:val="000000" w:themeColor="text1"/>
          <w:szCs w:val="16"/>
          <w:shd w:val="clear" w:color="auto" w:fill="FFFFFF"/>
        </w:rPr>
        <w:br/>
        <w:t xml:space="preserve">Over the last few years, MA DESE has gradually implemented a new statewide assessment, called the Next-Generation MCAS. Compared to the legacy MCAS, the new assessment better aligns to the Massachusetts Curriculum Frameworks and better measures students' preparation for the next grade level and college/career readiness. The Next-Generation MCAS also incorporates new, more rigorous test content that is aligned to standards that reflect higher expectations for college readiness and proficiency at the next grade level. Beginning in the spring of 2019, all students in grades 3-8 and grade 10 now take the Next-Generation MCAS in reading (English Language Arts (ELA)) and math. For reporting purposes as required by the SPP/APR, MA DESE reports student scores of Meeting Expectations and Exceeding Expectations as proficient. More information on the Next-Gen MCAS is available here: http://www.doe.mass.edu/mcas/nextgen/resources.html. </w:t>
      </w:r>
      <w:r w:rsidRPr="005C29F8">
        <w:rPr>
          <w:rFonts w:cs="Arial"/>
          <w:color w:val="000000" w:themeColor="text1"/>
          <w:szCs w:val="16"/>
          <w:shd w:val="clear" w:color="auto" w:fill="FFFFFF"/>
        </w:rPr>
        <w:br/>
        <w:t xml:space="preserve"> </w:t>
      </w:r>
      <w:r w:rsidRPr="005C29F8">
        <w:rPr>
          <w:rFonts w:cs="Arial"/>
          <w:color w:val="000000" w:themeColor="text1"/>
          <w:szCs w:val="16"/>
          <w:shd w:val="clear" w:color="auto" w:fill="FFFFFF"/>
        </w:rPr>
        <w:br/>
        <w:t xml:space="preserve">FFY 2016 was the first year students in grades 3-8 took the Next-Generation MCAS, and students in grade 10 were phased into this new assessment program in FFY 2018. Because this is the first year that MA DESE Is reporting data from the first statewide administration of Next-Generation MCAS in all grade levels, Indicator 3C proficiency scores in FFY 2018 cannot be compared to scores reported in prior years when the reported proficiency rate included results from both the legacy assessments and the Next-Generation MCAS, or the legacy MCAS test only; FFY 2018 is a new baseline year for Indicator 3C. </w:t>
      </w:r>
      <w:r w:rsidRPr="005C29F8">
        <w:rPr>
          <w:rFonts w:cs="Arial"/>
          <w:color w:val="000000" w:themeColor="text1"/>
          <w:szCs w:val="16"/>
          <w:shd w:val="clear" w:color="auto" w:fill="FFFFFF"/>
        </w:rPr>
        <w:br/>
        <w:t xml:space="preserve"> </w:t>
      </w:r>
      <w:r w:rsidRPr="005C29F8">
        <w:rPr>
          <w:rFonts w:cs="Arial"/>
          <w:color w:val="000000" w:themeColor="text1"/>
          <w:szCs w:val="16"/>
          <w:shd w:val="clear" w:color="auto" w:fill="FFFFFF"/>
        </w:rPr>
        <w:br/>
        <w:t xml:space="preserve">As Massachusetts transitioned to statewide administration of the Next-Generation MCAS, MA DESE maintained its previous targets set in consultation with the Advisory Panel. Now that students at all grade levels are being assessed using the Next-Generation MCAS, MA DESE and the Advisory Panel revisited those targets in January 2020 and established FFY 2018 the new baseline year. The Panel and MA DESE identified Indicator 3C proficiency targets at 20% for reading and 19% for FFY19 and FFY20. </w:t>
      </w:r>
      <w:r w:rsidRPr="005C29F8">
        <w:rPr>
          <w:rFonts w:cs="Arial"/>
          <w:color w:val="000000" w:themeColor="text1"/>
          <w:szCs w:val="16"/>
          <w:shd w:val="clear" w:color="auto" w:fill="FFFFFF"/>
        </w:rPr>
        <w:br/>
        <w:t xml:space="preserve"> </w:t>
      </w:r>
      <w:r w:rsidRPr="005C29F8">
        <w:rPr>
          <w:rFonts w:cs="Arial"/>
          <w:color w:val="000000" w:themeColor="text1"/>
          <w:szCs w:val="16"/>
          <w:shd w:val="clear" w:color="auto" w:fill="FFFFFF"/>
        </w:rPr>
        <w:br/>
        <w:t xml:space="preserve">Resources and general information related to the MCAS are available here: http://www.doe.mass.edu/mcas/. Detailed information about the Next-Generation MCAS, including updates and resources, is available here: http://www.doe.mass.edu/mcas/nextgen/.  </w:t>
      </w:r>
      <w:r w:rsidRPr="005C29F8">
        <w:rPr>
          <w:rFonts w:cs="Arial"/>
          <w:color w:val="000000" w:themeColor="text1"/>
          <w:szCs w:val="16"/>
          <w:shd w:val="clear" w:color="auto" w:fill="FFFFFF"/>
        </w:rPr>
        <w:br/>
        <w:t xml:space="preserve"> </w:t>
      </w:r>
      <w:r w:rsidRPr="005C29F8">
        <w:rPr>
          <w:rFonts w:cs="Arial"/>
          <w:color w:val="000000" w:themeColor="text1"/>
          <w:szCs w:val="16"/>
          <w:shd w:val="clear" w:color="auto" w:fill="FFFFFF"/>
        </w:rPr>
        <w:br/>
        <w:t xml:space="preserve">Improving Outcomes for Students with Disabilities  </w:t>
      </w:r>
      <w:r w:rsidRPr="005C29F8">
        <w:rPr>
          <w:rFonts w:cs="Arial"/>
          <w:color w:val="000000" w:themeColor="text1"/>
          <w:szCs w:val="16"/>
          <w:shd w:val="clear" w:color="auto" w:fill="FFFFFF"/>
        </w:rPr>
        <w:br/>
        <w:t xml:space="preserve">MA DESE is committed to improving outcomes for all students, especially for students with disabilities. MA DESE recognizes that the low percentage of students with disabilities who are Meeting Expectations on the Next-Generation MCAS is unacceptable and that improvement activities must include an increased focus on improving instruction. Some of the activities that MA DESE is doing are:  </w:t>
      </w:r>
      <w:r w:rsidRPr="005C29F8">
        <w:rPr>
          <w:rFonts w:cs="Arial"/>
          <w:color w:val="000000" w:themeColor="text1"/>
          <w:szCs w:val="16"/>
          <w:shd w:val="clear" w:color="auto" w:fill="FFFFFF"/>
        </w:rPr>
        <w:br/>
        <w:t xml:space="preserve">1) emphasizing Universal Design for Learning in inclusive environments which are at the forefront of the professional development activities across the state;  </w:t>
      </w:r>
      <w:r w:rsidRPr="005C29F8">
        <w:rPr>
          <w:rFonts w:cs="Arial"/>
          <w:color w:val="000000" w:themeColor="text1"/>
          <w:szCs w:val="16"/>
          <w:shd w:val="clear" w:color="auto" w:fill="FFFFFF"/>
        </w:rPr>
        <w:br/>
        <w:t xml:space="preserve">2) supporting LEAs in the building of robust multi-tiered systems of supports;  </w:t>
      </w:r>
      <w:r w:rsidRPr="005C29F8">
        <w:rPr>
          <w:rFonts w:cs="Arial"/>
          <w:color w:val="000000" w:themeColor="text1"/>
          <w:szCs w:val="16"/>
          <w:shd w:val="clear" w:color="auto" w:fill="FFFFFF"/>
        </w:rPr>
        <w:br/>
        <w:t xml:space="preserve">3) providing professional development and intensive intervention strategies in literacy, math and inclusive practices;  </w:t>
      </w:r>
      <w:r w:rsidRPr="005C29F8">
        <w:rPr>
          <w:rFonts w:cs="Arial"/>
          <w:color w:val="000000" w:themeColor="text1"/>
          <w:szCs w:val="16"/>
          <w:shd w:val="clear" w:color="auto" w:fill="FFFFFF"/>
        </w:rPr>
        <w:br/>
        <w:t xml:space="preserve">4) implementing the IEP improvement Project to update and create a more robust IEP process; </w:t>
      </w:r>
      <w:r w:rsidRPr="005C29F8">
        <w:rPr>
          <w:rFonts w:cs="Arial"/>
          <w:color w:val="000000" w:themeColor="text1"/>
          <w:szCs w:val="16"/>
          <w:shd w:val="clear" w:color="auto" w:fill="FFFFFF"/>
        </w:rPr>
        <w:br/>
        <w:t xml:space="preserve">5) focusing on supporting students with neurological learning disabilities, in particular dyslexia; and  </w:t>
      </w:r>
      <w:r w:rsidRPr="005C29F8">
        <w:rPr>
          <w:rFonts w:cs="Arial"/>
          <w:color w:val="000000" w:themeColor="text1"/>
          <w:szCs w:val="16"/>
          <w:shd w:val="clear" w:color="auto" w:fill="FFFFFF"/>
        </w:rPr>
        <w:br/>
        <w:t xml:space="preserve">6) implementing the new accountability system to support LEAs to find direct connections between compliance and performance. </w:t>
      </w:r>
      <w:r w:rsidRPr="005C29F8">
        <w:rPr>
          <w:rFonts w:cs="Arial"/>
          <w:color w:val="000000" w:themeColor="text1"/>
          <w:szCs w:val="16"/>
          <w:shd w:val="clear" w:color="auto" w:fill="FFFFFF"/>
        </w:rPr>
        <w:br/>
      </w:r>
      <w:r w:rsidRPr="005C29F8">
        <w:rPr>
          <w:rFonts w:cs="Arial"/>
          <w:color w:val="000000" w:themeColor="text1"/>
          <w:szCs w:val="16"/>
          <w:shd w:val="clear" w:color="auto" w:fill="FFFFFF"/>
        </w:rPr>
        <w:br/>
        <w:t xml:space="preserve">To this end, MA DESE and districts work together to support students with disabilities to:  </w:t>
      </w:r>
      <w:r w:rsidRPr="005C29F8">
        <w:rPr>
          <w:rFonts w:cs="Arial"/>
          <w:color w:val="000000" w:themeColor="text1"/>
          <w:szCs w:val="16"/>
          <w:shd w:val="clear" w:color="auto" w:fill="FFFFFF"/>
        </w:rPr>
        <w:br/>
        <w:t xml:space="preserve">• individualize instruction to meet the needs of diverse learners,  </w:t>
      </w:r>
      <w:r w:rsidRPr="005C29F8">
        <w:rPr>
          <w:rFonts w:cs="Arial"/>
          <w:color w:val="000000" w:themeColor="text1"/>
          <w:szCs w:val="16"/>
          <w:shd w:val="clear" w:color="auto" w:fill="FFFFFF"/>
        </w:rPr>
        <w:br/>
        <w:t xml:space="preserve">• create universally designed learning opportunities,  </w:t>
      </w:r>
      <w:r w:rsidRPr="005C29F8">
        <w:rPr>
          <w:rFonts w:cs="Arial"/>
          <w:color w:val="000000" w:themeColor="text1"/>
          <w:szCs w:val="16"/>
          <w:shd w:val="clear" w:color="auto" w:fill="FFFFFF"/>
        </w:rPr>
        <w:br/>
      </w:r>
      <w:r w:rsidRPr="005C29F8">
        <w:rPr>
          <w:rFonts w:cs="Arial"/>
          <w:color w:val="000000" w:themeColor="text1"/>
          <w:szCs w:val="16"/>
          <w:shd w:val="clear" w:color="auto" w:fill="FFFFFF"/>
        </w:rPr>
        <w:lastRenderedPageBreak/>
        <w:t xml:space="preserve">• teach with poverty in mind,  </w:t>
      </w:r>
      <w:r w:rsidRPr="005C29F8">
        <w:rPr>
          <w:rFonts w:cs="Arial"/>
          <w:color w:val="000000" w:themeColor="text1"/>
          <w:szCs w:val="16"/>
          <w:shd w:val="clear" w:color="auto" w:fill="FFFFFF"/>
        </w:rPr>
        <w:br/>
        <w:t xml:space="preserve">• build cultural competency,  </w:t>
      </w:r>
      <w:r w:rsidRPr="005C29F8">
        <w:rPr>
          <w:rFonts w:cs="Arial"/>
          <w:color w:val="000000" w:themeColor="text1"/>
          <w:szCs w:val="16"/>
          <w:shd w:val="clear" w:color="auto" w:fill="FFFFFF"/>
        </w:rPr>
        <w:br/>
        <w:t xml:space="preserve">• address disproportionate and excessive student suspensions,  </w:t>
      </w:r>
      <w:r w:rsidRPr="005C29F8">
        <w:rPr>
          <w:rFonts w:cs="Arial"/>
          <w:color w:val="000000" w:themeColor="text1"/>
          <w:szCs w:val="16"/>
          <w:shd w:val="clear" w:color="auto" w:fill="FFFFFF"/>
        </w:rPr>
        <w:br/>
        <w:t xml:space="preserve">• support homeless students, and  </w:t>
      </w:r>
      <w:r w:rsidRPr="005C29F8">
        <w:rPr>
          <w:rFonts w:cs="Arial"/>
          <w:color w:val="000000" w:themeColor="text1"/>
          <w:szCs w:val="16"/>
          <w:shd w:val="clear" w:color="auto" w:fill="FFFFFF"/>
        </w:rPr>
        <w:br/>
        <w:t xml:space="preserve">• make schools safe for vulnerable students, such as LGBTQ students, recent immigrants, and others. </w:t>
      </w:r>
      <w:r w:rsidRPr="005C29F8">
        <w:rPr>
          <w:rFonts w:cs="Arial"/>
          <w:color w:val="000000" w:themeColor="text1"/>
          <w:szCs w:val="16"/>
          <w:shd w:val="clear" w:color="auto" w:fill="FFFFFF"/>
        </w:rPr>
        <w:br/>
        <w:t xml:space="preserve"> </w:t>
      </w:r>
      <w:r w:rsidRPr="005C29F8">
        <w:rPr>
          <w:rFonts w:cs="Arial"/>
          <w:color w:val="000000" w:themeColor="text1"/>
          <w:szCs w:val="16"/>
          <w:shd w:val="clear" w:color="auto" w:fill="FFFFFF"/>
        </w:rPr>
        <w:br/>
        <w:t xml:space="preserve">As MA DESE and the Massachusetts Board of Education in collaboration with stakeholders move this work forward, MA DESE looks forward to continuing to report in future SPP/APR periods on the continued implementation of the Next-Generation MCAS and revised student accountability targets for students with IEPs, and to demonstrate improvement in students' proficiency rates. </w:t>
      </w:r>
    </w:p>
    <w:p w14:paraId="1C326C48" w14:textId="1B3ADE94" w:rsidR="000A2C83" w:rsidRPr="0033429D" w:rsidRDefault="00573F6C" w:rsidP="008645AD">
      <w:pPr>
        <w:pStyle w:val="Heading2"/>
      </w:pPr>
      <w:r w:rsidRPr="0033429D">
        <w:t>3C</w:t>
      </w:r>
      <w:r w:rsidR="00BB4FD7" w:rsidRPr="0033429D">
        <w:t xml:space="preserve"> </w:t>
      </w:r>
      <w:r w:rsidRPr="0033429D">
        <w:t xml:space="preserve">- </w:t>
      </w:r>
      <w:r w:rsidR="000A2C83" w:rsidRPr="0033429D">
        <w:t>Prior FFY Required Actions</w:t>
      </w:r>
    </w:p>
    <w:p w14:paraId="5570C94B" w14:textId="51EF4ED4" w:rsidR="000A2C83" w:rsidRPr="005C29F8" w:rsidRDefault="002B7490" w:rsidP="000A2C83">
      <w:pPr>
        <w:rPr>
          <w:rFonts w:cs="Arial"/>
          <w:color w:val="000000" w:themeColor="text1"/>
          <w:szCs w:val="16"/>
        </w:rPr>
      </w:pPr>
      <w:r w:rsidRPr="005C29F8">
        <w:rPr>
          <w:rFonts w:cs="Arial"/>
          <w:color w:val="000000" w:themeColor="text1"/>
          <w:szCs w:val="16"/>
        </w:rPr>
        <w:t>None</w:t>
      </w:r>
    </w:p>
    <w:p w14:paraId="0EFAA7F7" w14:textId="77777777" w:rsidR="00247959" w:rsidRPr="005C29F8" w:rsidRDefault="00247959" w:rsidP="000A2C83">
      <w:pPr>
        <w:rPr>
          <w:rFonts w:cs="Arial"/>
          <w:color w:val="000000" w:themeColor="text1"/>
          <w:szCs w:val="16"/>
        </w:rPr>
      </w:pPr>
    </w:p>
    <w:p w14:paraId="1E98E6A2" w14:textId="3C798D76" w:rsidR="00796DC0" w:rsidRPr="0033429D" w:rsidRDefault="00573F6C" w:rsidP="008645AD">
      <w:pPr>
        <w:pStyle w:val="Heading2"/>
      </w:pPr>
      <w:r w:rsidRPr="0033429D">
        <w:t>3C - OSEP Response</w:t>
      </w:r>
    </w:p>
    <w:p w14:paraId="742F0548" w14:textId="6CBFA0D3" w:rsidR="00A869E9" w:rsidRPr="005C29F8" w:rsidRDefault="003D7F56" w:rsidP="001F692C">
      <w:pPr>
        <w:rPr>
          <w:rFonts w:cs="Arial"/>
          <w:color w:val="000000" w:themeColor="text1"/>
          <w:szCs w:val="16"/>
          <w:shd w:val="clear" w:color="auto" w:fill="FFFFFF"/>
        </w:rPr>
      </w:pPr>
      <w:r w:rsidRPr="005C29F8">
        <w:rPr>
          <w:rFonts w:cs="Arial"/>
          <w:color w:val="000000" w:themeColor="text1"/>
          <w:szCs w:val="16"/>
          <w:shd w:val="clear" w:color="auto" w:fill="FFFFFF"/>
        </w:rPr>
        <w:t>The State was not required to provide any data for this indicator. Due to the circumstances created by the COVID-19 pandemic, and resulting school closures, the State received a waiver of the assessment requirements in section 1111(b)(2) of the ESEA, and, as a result, does not have any FFY 2019 data for this indicator.</w:t>
      </w:r>
    </w:p>
    <w:p w14:paraId="0774F476" w14:textId="1E34BC77" w:rsidR="00796DC0" w:rsidRPr="0033429D" w:rsidRDefault="00573F6C" w:rsidP="008645AD">
      <w:pPr>
        <w:pStyle w:val="Heading2"/>
      </w:pPr>
      <w:r w:rsidRPr="0033429D">
        <w:t>3C - Required Actions</w:t>
      </w:r>
    </w:p>
    <w:p w14:paraId="5E46A453" w14:textId="5260AC47" w:rsidR="00A869E9" w:rsidRPr="005C29F8" w:rsidRDefault="00A869E9" w:rsidP="001F692C">
      <w:pPr>
        <w:rPr>
          <w:rFonts w:cs="Arial"/>
          <w:color w:val="000000" w:themeColor="text1"/>
          <w:szCs w:val="16"/>
          <w:shd w:val="clear" w:color="auto" w:fill="FFFFFF"/>
        </w:rPr>
      </w:pPr>
    </w:p>
    <w:p w14:paraId="5933CC1B" w14:textId="40F9F685" w:rsidR="00A63347" w:rsidRPr="005C29F8" w:rsidRDefault="00A63347">
      <w:pPr>
        <w:spacing w:before="0" w:after="200" w:line="276" w:lineRule="auto"/>
        <w:rPr>
          <w:rFonts w:cs="Arial"/>
          <w:color w:val="000000" w:themeColor="text1"/>
          <w:szCs w:val="16"/>
          <w:shd w:val="clear" w:color="auto" w:fill="FFFFFF"/>
        </w:rPr>
      </w:pPr>
      <w:r w:rsidRPr="005C29F8">
        <w:rPr>
          <w:rFonts w:cs="Arial"/>
          <w:color w:val="000000" w:themeColor="text1"/>
          <w:szCs w:val="16"/>
          <w:shd w:val="clear" w:color="auto" w:fill="FFFFFF"/>
        </w:rPr>
        <w:br w:type="page"/>
      </w:r>
    </w:p>
    <w:p w14:paraId="1E2B07DD" w14:textId="23FE27B8" w:rsidR="00D03701" w:rsidRPr="005C29F8" w:rsidRDefault="00D03701" w:rsidP="000444E2">
      <w:pPr>
        <w:pStyle w:val="Heading1"/>
        <w:rPr>
          <w:color w:val="000000" w:themeColor="text1"/>
          <w:sz w:val="22"/>
        </w:rPr>
      </w:pPr>
      <w:r w:rsidRPr="005C29F8">
        <w:rPr>
          <w:color w:val="000000" w:themeColor="text1"/>
          <w:sz w:val="22"/>
        </w:rPr>
        <w:lastRenderedPageBreak/>
        <w:t>Indicator 4A: Suspension/Expulsion</w:t>
      </w:r>
      <w:bookmarkEnd w:id="16"/>
      <w:bookmarkEnd w:id="17"/>
    </w:p>
    <w:p w14:paraId="6B24B370" w14:textId="77777777" w:rsidR="006E5AE4" w:rsidRPr="005C29F8" w:rsidRDefault="006E5AE4" w:rsidP="00A018D4">
      <w:pPr>
        <w:rPr>
          <w:color w:val="000000" w:themeColor="text1"/>
          <w:szCs w:val="20"/>
        </w:rPr>
      </w:pPr>
      <w:bookmarkStart w:id="19" w:name="_Toc384383331"/>
      <w:bookmarkStart w:id="20" w:name="_Toc392159283"/>
      <w:r w:rsidRPr="005C29F8">
        <w:rPr>
          <w:b/>
          <w:color w:val="000000" w:themeColor="text1"/>
          <w:sz w:val="20"/>
          <w:szCs w:val="20"/>
        </w:rPr>
        <w:t xml:space="preserve">Instructions and Measurement </w:t>
      </w:r>
    </w:p>
    <w:p w14:paraId="73D979E8" w14:textId="6D1D1338" w:rsidR="00DD1D55" w:rsidRPr="005C29F8" w:rsidRDefault="00DD1D55" w:rsidP="004369B2">
      <w:pPr>
        <w:rPr>
          <w:color w:val="000000" w:themeColor="text1"/>
        </w:rPr>
      </w:pPr>
      <w:r w:rsidRPr="005C29F8">
        <w:rPr>
          <w:b/>
          <w:color w:val="000000" w:themeColor="text1"/>
        </w:rPr>
        <w:t>Monitoring Priority:</w:t>
      </w:r>
      <w:r w:rsidRPr="005C29F8">
        <w:rPr>
          <w:color w:val="000000" w:themeColor="text1"/>
        </w:rPr>
        <w:t xml:space="preserve"> FAPE in the LRE</w:t>
      </w:r>
    </w:p>
    <w:p w14:paraId="1281AA40" w14:textId="5BDAB0D4" w:rsidR="000A5A2E" w:rsidRPr="005C29F8" w:rsidRDefault="00DD1D55" w:rsidP="00286BDF">
      <w:pPr>
        <w:rPr>
          <w:rFonts w:cs="Arial"/>
          <w:color w:val="000000" w:themeColor="text1"/>
          <w:szCs w:val="16"/>
        </w:rPr>
      </w:pPr>
      <w:r w:rsidRPr="005C29F8">
        <w:rPr>
          <w:rFonts w:cs="Arial"/>
          <w:b/>
          <w:color w:val="000000" w:themeColor="text1"/>
          <w:szCs w:val="16"/>
        </w:rPr>
        <w:t>Results Indicator:</w:t>
      </w:r>
      <w:r w:rsidR="00286BDF" w:rsidRPr="005C29F8">
        <w:rPr>
          <w:rFonts w:cs="Arial"/>
          <w:color w:val="000000" w:themeColor="text1"/>
          <w:szCs w:val="16"/>
        </w:rPr>
        <w:t xml:space="preserve"> </w:t>
      </w:r>
      <w:r w:rsidR="000A5A2E" w:rsidRPr="005C29F8">
        <w:rPr>
          <w:rFonts w:cs="Arial"/>
          <w:color w:val="000000" w:themeColor="text1"/>
          <w:szCs w:val="16"/>
        </w:rPr>
        <w:t>Rates of suspension and expulsion:</w:t>
      </w:r>
    </w:p>
    <w:p w14:paraId="075F6BB9" w14:textId="00F8EDF6" w:rsidR="000A5A2E" w:rsidRPr="005C29F8" w:rsidRDefault="001D5BAF" w:rsidP="006A01BD">
      <w:pPr>
        <w:ind w:left="720"/>
        <w:rPr>
          <w:color w:val="000000" w:themeColor="text1"/>
        </w:rPr>
      </w:pPr>
      <w:r w:rsidRPr="005C29F8">
        <w:rPr>
          <w:rFonts w:cs="Arial"/>
          <w:color w:val="000000" w:themeColor="text1"/>
          <w:szCs w:val="16"/>
        </w:rPr>
        <w:t xml:space="preserve">A. Percent of districts that have a significant discrepancy in the rate of suspensions and expulsions of greater than 10 days in a school </w:t>
      </w:r>
      <w:r w:rsidR="00DD1D55" w:rsidRPr="005C29F8">
        <w:rPr>
          <w:color w:val="000000" w:themeColor="text1"/>
        </w:rPr>
        <w:t>year for children with IEPs</w:t>
      </w:r>
    </w:p>
    <w:p w14:paraId="104900D3" w14:textId="4D6824EB" w:rsidR="0011074D" w:rsidRPr="005C29F8" w:rsidRDefault="0011074D" w:rsidP="0011074D">
      <w:pPr>
        <w:rPr>
          <w:rFonts w:cs="Arial"/>
          <w:color w:val="000000" w:themeColor="text1"/>
          <w:szCs w:val="16"/>
        </w:rPr>
      </w:pPr>
      <w:r w:rsidRPr="005C29F8">
        <w:rPr>
          <w:rFonts w:cs="Arial"/>
          <w:color w:val="000000" w:themeColor="text1"/>
          <w:szCs w:val="16"/>
        </w:rPr>
        <w:t>(20 U.S.C. 1416(a)(3)(A); 1412(a)(22))</w:t>
      </w:r>
    </w:p>
    <w:p w14:paraId="09801465" w14:textId="77777777" w:rsidR="000A5A2E" w:rsidRPr="005C29F8" w:rsidRDefault="000A5A2E" w:rsidP="004369B2">
      <w:pPr>
        <w:rPr>
          <w:color w:val="000000" w:themeColor="text1"/>
        </w:rPr>
      </w:pPr>
      <w:r w:rsidRPr="005C29F8">
        <w:rPr>
          <w:b/>
          <w:color w:val="000000" w:themeColor="text1"/>
        </w:rPr>
        <w:t>Data Source</w:t>
      </w:r>
    </w:p>
    <w:p w14:paraId="06368193" w14:textId="2006ADF5" w:rsidR="000A5A2E" w:rsidRPr="005C29F8" w:rsidRDefault="000A5A2E" w:rsidP="00286BDF">
      <w:pPr>
        <w:rPr>
          <w:rFonts w:cs="Arial"/>
          <w:color w:val="000000" w:themeColor="text1"/>
          <w:szCs w:val="16"/>
        </w:rPr>
      </w:pPr>
      <w:r w:rsidRPr="005C29F8">
        <w:rPr>
          <w:rFonts w:cs="Arial"/>
          <w:color w:val="000000" w:themeColor="text1"/>
          <w:szCs w:val="16"/>
        </w:rPr>
        <w:t xml:space="preserve">State </w:t>
      </w:r>
      <w:r w:rsidRPr="005C29F8">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5C29F8" w:rsidRDefault="000A5A2E" w:rsidP="004369B2">
      <w:pPr>
        <w:rPr>
          <w:color w:val="000000" w:themeColor="text1"/>
        </w:rPr>
      </w:pPr>
      <w:r w:rsidRPr="005C29F8">
        <w:rPr>
          <w:b/>
          <w:color w:val="000000" w:themeColor="text1"/>
        </w:rPr>
        <w:t>Measurement</w:t>
      </w:r>
    </w:p>
    <w:p w14:paraId="5CD903C0" w14:textId="63922C4B" w:rsidR="000A5A2E" w:rsidRPr="005C29F8" w:rsidRDefault="000A5A2E" w:rsidP="00286BDF">
      <w:pPr>
        <w:rPr>
          <w:rFonts w:cs="Arial"/>
          <w:color w:val="000000" w:themeColor="text1"/>
          <w:szCs w:val="16"/>
        </w:rPr>
      </w:pPr>
      <w:r w:rsidRPr="005C29F8">
        <w:rPr>
          <w:rFonts w:cs="Arial"/>
          <w:color w:val="000000" w:themeColor="text1"/>
          <w:szCs w:val="16"/>
        </w:rPr>
        <w:t xml:space="preserve">Percent </w:t>
      </w:r>
      <w:r w:rsidRPr="005C29F8">
        <w:rPr>
          <w:rFonts w:cs="Arial"/>
          <w:color w:val="000000" w:themeColor="text1"/>
          <w:szCs w:val="16"/>
          <w:shd w:val="clear" w:color="auto" w:fill="FFFFFF"/>
        </w:rPr>
        <w:t xml:space="preserve">= </w:t>
      </w:r>
      <w:r w:rsidR="009B02BC" w:rsidRPr="005C29F8">
        <w:rPr>
          <w:rFonts w:cs="Arial"/>
          <w:color w:val="000000" w:themeColor="text1"/>
          <w:szCs w:val="16"/>
          <w:shd w:val="clear" w:color="auto" w:fill="FFFFFF"/>
        </w:rPr>
        <w:t>[</w:t>
      </w:r>
      <w:r w:rsidRPr="005C29F8">
        <w:rPr>
          <w:rFonts w:cs="Arial"/>
          <w:color w:val="000000" w:themeColor="text1"/>
          <w:szCs w:val="16"/>
          <w:shd w:val="clear" w:color="auto" w:fill="FFFFFF"/>
        </w:rPr>
        <w:t>(# of districts that meet the State-established n size (if applicable) that have a significant discrepancy in the rates of suspensions and expulsions for greater than 10 days in a school year of children with IEPs) divided by the (# of districts in the State that meet the State-established n size (if applicable))</w:t>
      </w:r>
      <w:r w:rsidR="009B02BC" w:rsidRPr="005C29F8">
        <w:rPr>
          <w:rFonts w:cs="Arial"/>
          <w:color w:val="000000" w:themeColor="text1"/>
          <w:szCs w:val="16"/>
          <w:shd w:val="clear" w:color="auto" w:fill="FFFFFF"/>
        </w:rPr>
        <w:t>]</w:t>
      </w:r>
      <w:r w:rsidRPr="005C29F8">
        <w:rPr>
          <w:rFonts w:cs="Arial"/>
          <w:color w:val="000000" w:themeColor="text1"/>
          <w:szCs w:val="16"/>
          <w:shd w:val="clear" w:color="auto" w:fill="FFFFFF"/>
        </w:rPr>
        <w:t xml:space="preserve"> times 100.</w:t>
      </w:r>
    </w:p>
    <w:p w14:paraId="4D7272B6" w14:textId="2A0B0F5F" w:rsidR="00636061" w:rsidRPr="005C29F8" w:rsidRDefault="00636061" w:rsidP="00286BDF">
      <w:pPr>
        <w:rPr>
          <w:rFonts w:cs="Arial"/>
          <w:color w:val="000000" w:themeColor="text1"/>
          <w:szCs w:val="16"/>
        </w:rPr>
      </w:pPr>
      <w:r w:rsidRPr="005C29F8">
        <w:rPr>
          <w:rFonts w:cs="Arial"/>
          <w:color w:val="000000" w:themeColor="text1"/>
          <w:szCs w:val="16"/>
          <w:shd w:val="clear" w:color="auto" w:fill="FFFFFF"/>
        </w:rPr>
        <w:t>Include State’s definition of “significant discrepancy.”</w:t>
      </w:r>
    </w:p>
    <w:p w14:paraId="0C71C487" w14:textId="316E6449" w:rsidR="000A5A2E" w:rsidRPr="005C29F8" w:rsidRDefault="000A5A2E" w:rsidP="004369B2">
      <w:pPr>
        <w:rPr>
          <w:color w:val="000000" w:themeColor="text1"/>
        </w:rPr>
      </w:pPr>
      <w:r w:rsidRPr="005C29F8">
        <w:rPr>
          <w:b/>
          <w:color w:val="000000" w:themeColor="text1"/>
        </w:rPr>
        <w:t>Instructions</w:t>
      </w:r>
    </w:p>
    <w:p w14:paraId="20DD9B9C" w14:textId="72BF958B" w:rsidR="000A5A2E" w:rsidRPr="005C29F8" w:rsidRDefault="00636061" w:rsidP="00BB7BC9">
      <w:pPr>
        <w:rPr>
          <w:rFonts w:cs="Arial"/>
          <w:color w:val="000000" w:themeColor="text1"/>
          <w:szCs w:val="16"/>
        </w:rPr>
      </w:pPr>
      <w:r w:rsidRPr="005C29F8">
        <w:rPr>
          <w:rFonts w:cs="Arial"/>
          <w:color w:val="000000" w:themeColor="text1"/>
          <w:szCs w:val="16"/>
        </w:rPr>
        <w:t>If the State has established a minimum n size requirement, the State may only include, in both the numerator and the denominator, districts that met that State-established n size. If the State used a minimum n size requirement, report the number of districts excluded from the calculation as a result of this requirement.</w:t>
      </w:r>
    </w:p>
    <w:p w14:paraId="3AD8FD7E" w14:textId="32828108" w:rsidR="00636061" w:rsidRPr="005C29F8" w:rsidRDefault="00A14B5D" w:rsidP="00BB7BC9">
      <w:pPr>
        <w:rPr>
          <w:rFonts w:cs="Arial"/>
          <w:color w:val="000000" w:themeColor="text1"/>
          <w:szCs w:val="16"/>
        </w:rPr>
      </w:pPr>
      <w:r w:rsidRPr="005C29F8">
        <w:rPr>
          <w:rFonts w:cs="Arial"/>
          <w:color w:val="000000" w:themeColor="text1"/>
          <w:szCs w:val="16"/>
        </w:rPr>
        <w:t>Describe the results of the State’s examination of the data for the year before the reporting year (e.g., for the FFY 2019 SPP/APR, use data from 2018-2019), including data disaggregated by race and ethnicity to determine if significant discrepancies are occurring in the rates of long-term suspensions and expulsions of children with IEPs, as required at 20 U.S.C. 1412(a)(22). The State’s examination must include one of the following comparisons:</w:t>
      </w:r>
    </w:p>
    <w:p w14:paraId="4D5D1D9E" w14:textId="3C303A84" w:rsidR="00636061" w:rsidRPr="005C29F8" w:rsidRDefault="006279F2" w:rsidP="006A01BD">
      <w:pPr>
        <w:ind w:firstLine="720"/>
        <w:rPr>
          <w:rFonts w:cs="Arial"/>
          <w:color w:val="000000" w:themeColor="text1"/>
          <w:szCs w:val="16"/>
        </w:rPr>
      </w:pPr>
      <w:r w:rsidRPr="005C29F8">
        <w:rPr>
          <w:rFonts w:cs="Arial"/>
          <w:color w:val="000000" w:themeColor="text1"/>
          <w:szCs w:val="16"/>
        </w:rPr>
        <w:t>--The rates of suspensions and expulsions for children with IEPs among LEAs within the State; or</w:t>
      </w:r>
    </w:p>
    <w:p w14:paraId="671599A1" w14:textId="71D1B673" w:rsidR="00636061" w:rsidRPr="005C29F8" w:rsidRDefault="006279F2" w:rsidP="006A01BD">
      <w:pPr>
        <w:ind w:firstLine="720"/>
        <w:rPr>
          <w:rFonts w:cs="Arial"/>
          <w:color w:val="000000" w:themeColor="text1"/>
          <w:szCs w:val="16"/>
        </w:rPr>
      </w:pPr>
      <w:r w:rsidRPr="005C29F8">
        <w:rPr>
          <w:rFonts w:cs="Arial"/>
          <w:color w:val="000000" w:themeColor="text1"/>
          <w:szCs w:val="16"/>
        </w:rPr>
        <w:t>--The rates of suspensions and expulsions for children with IEPs to nondisabled children within the LEAs</w:t>
      </w:r>
    </w:p>
    <w:p w14:paraId="64CB6014" w14:textId="2492BFE8" w:rsidR="00636061" w:rsidRPr="005C29F8" w:rsidRDefault="00636061" w:rsidP="00BB7BC9">
      <w:pPr>
        <w:rPr>
          <w:rFonts w:cs="Arial"/>
          <w:color w:val="000000" w:themeColor="text1"/>
          <w:szCs w:val="16"/>
        </w:rPr>
      </w:pPr>
      <w:r w:rsidRPr="005C29F8">
        <w:rPr>
          <w:rFonts w:cs="Arial"/>
          <w:color w:val="000000" w:themeColor="text1"/>
          <w:szCs w:val="16"/>
        </w:rPr>
        <w:t>In the description, specify which method the State used to determine possible discrepancies and explain what constitutes those discrepancies.</w:t>
      </w:r>
    </w:p>
    <w:p w14:paraId="2CD8E267" w14:textId="4C2CF13C" w:rsidR="00636061" w:rsidRPr="005C29F8" w:rsidRDefault="00636061" w:rsidP="00BB7BC9">
      <w:pPr>
        <w:rPr>
          <w:rFonts w:cs="Arial"/>
          <w:color w:val="000000" w:themeColor="text1"/>
          <w:szCs w:val="16"/>
        </w:rPr>
      </w:pPr>
      <w:r w:rsidRPr="005C29F8">
        <w:rPr>
          <w:rFonts w:cs="Arial"/>
          <w:color w:val="000000" w:themeColor="text1"/>
          <w:szCs w:val="16"/>
        </w:rPr>
        <w:t>Indicator 4A: Provide the actual numbers used in the calculation (based upon districts that met the minimum n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0FA94FBA" w:rsidR="00636061" w:rsidRPr="005C29F8" w:rsidRDefault="00636061" w:rsidP="00BB7BC9">
      <w:pPr>
        <w:rPr>
          <w:rFonts w:cs="Arial"/>
          <w:color w:val="000000" w:themeColor="text1"/>
          <w:szCs w:val="16"/>
        </w:rPr>
      </w:pPr>
      <w:r w:rsidRPr="005C29F8">
        <w:rPr>
          <w:rFonts w:cs="Arial"/>
          <w:color w:val="000000" w:themeColor="text1"/>
          <w:szCs w:val="16"/>
        </w:rPr>
        <w:t>Provide detailed information about the timely correction of noncompliance as noted in OSEP’s response for the previous SPP/APR. If discrepancies occurred and the district with discrepancies had policies, procedures or practices that contributed to the significant discrepancy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the Office of Special Education Programs (OSEP) Memorandum 09-02, dated October 17, 2008.</w:t>
      </w:r>
    </w:p>
    <w:p w14:paraId="6D645554" w14:textId="0206229C" w:rsidR="00636061" w:rsidRPr="005C29F8" w:rsidRDefault="00636061" w:rsidP="00BB7BC9">
      <w:pPr>
        <w:rPr>
          <w:rFonts w:cs="Arial"/>
          <w:color w:val="000000" w:themeColor="text1"/>
          <w:szCs w:val="16"/>
        </w:rPr>
      </w:pPr>
      <w:r w:rsidRPr="005C29F8">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406A7CC3" w14:textId="0D05CD92" w:rsidR="00636061" w:rsidRPr="005C29F8" w:rsidRDefault="00A14B5D" w:rsidP="00BB7BC9">
      <w:pPr>
        <w:rPr>
          <w:rFonts w:cs="Arial"/>
          <w:color w:val="000000" w:themeColor="text1"/>
          <w:szCs w:val="16"/>
        </w:rPr>
      </w:pPr>
      <w:r w:rsidRPr="005C29F8">
        <w:rPr>
          <w:rFonts w:cs="Arial"/>
          <w:color w:val="000000" w:themeColor="text1"/>
          <w:szCs w:val="16"/>
        </w:rPr>
        <w:t>If the State reported less than 100% compliance for the previous reporting period (e.g., for the FFY 2019 SPP/APR, the data for 2018-2019), and the State did not identify any findings of noncompliance, provide an explanation of why the State did not identify any findings of noncompliance.</w:t>
      </w:r>
    </w:p>
    <w:p w14:paraId="216100ED" w14:textId="6483EA1E" w:rsidR="006E5AE4" w:rsidRPr="0033429D" w:rsidRDefault="00697434" w:rsidP="008645AD">
      <w:pPr>
        <w:pStyle w:val="Heading2"/>
      </w:pPr>
      <w:bookmarkStart w:id="21" w:name="_Toc384383332"/>
      <w:bookmarkStart w:id="22" w:name="_Toc392159284"/>
      <w:bookmarkEnd w:id="19"/>
      <w:bookmarkEnd w:id="20"/>
      <w:r w:rsidRPr="0033429D">
        <w:t>4A</w:t>
      </w:r>
      <w:r w:rsidR="00DA3C7A" w:rsidRPr="0033429D">
        <w:t xml:space="preserve"> </w:t>
      </w:r>
      <w:r w:rsidRPr="0033429D">
        <w:t xml:space="preserve">- </w:t>
      </w:r>
      <w:r w:rsidR="006E5AE4" w:rsidRPr="0033429D">
        <w:t>Indicator Data</w:t>
      </w:r>
    </w:p>
    <w:p w14:paraId="4E76A356" w14:textId="4BD9398E" w:rsidR="00EC46E4" w:rsidRDefault="00EC46E4" w:rsidP="004369B2">
      <w:pPr>
        <w:rPr>
          <w:b/>
          <w:color w:val="000000" w:themeColor="text1"/>
        </w:rPr>
      </w:pPr>
      <w:r w:rsidRPr="005C29F8">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14:paraId="5B1BF1C8" w14:textId="77777777" w:rsidTr="002B6965">
        <w:trPr>
          <w:trHeight w:val="311"/>
          <w:tblHeader/>
        </w:trPr>
        <w:tc>
          <w:tcPr>
            <w:tcW w:w="2562" w:type="dxa"/>
          </w:tcPr>
          <w:p w14:paraId="3EC58E83" w14:textId="77777777" w:rsidR="002B6965" w:rsidRDefault="002B6965" w:rsidP="002B6965">
            <w:pPr>
              <w:jc w:val="center"/>
              <w:rPr>
                <w:b/>
                <w:color w:val="000000" w:themeColor="text1"/>
              </w:rPr>
            </w:pPr>
            <w:r w:rsidRPr="005C29F8">
              <w:rPr>
                <w:rFonts w:cs="Arial"/>
                <w:b/>
                <w:color w:val="000000" w:themeColor="text1"/>
                <w:szCs w:val="16"/>
              </w:rPr>
              <w:t>Baseline Year</w:t>
            </w:r>
          </w:p>
        </w:tc>
        <w:tc>
          <w:tcPr>
            <w:tcW w:w="2563" w:type="dxa"/>
          </w:tcPr>
          <w:p w14:paraId="3BF90404" w14:textId="77777777" w:rsidR="002B6965" w:rsidRDefault="002B6965" w:rsidP="002B6965">
            <w:pPr>
              <w:jc w:val="center"/>
              <w:rPr>
                <w:b/>
                <w:color w:val="000000" w:themeColor="text1"/>
              </w:rPr>
            </w:pPr>
            <w:r>
              <w:rPr>
                <w:b/>
                <w:color w:val="000000" w:themeColor="text1"/>
              </w:rPr>
              <w:t>Baseline Data</w:t>
            </w:r>
          </w:p>
        </w:tc>
      </w:tr>
      <w:tr w:rsidR="002B6965" w14:paraId="5EF83473" w14:textId="77777777" w:rsidTr="002B6965">
        <w:trPr>
          <w:trHeight w:val="311"/>
        </w:trPr>
        <w:tc>
          <w:tcPr>
            <w:tcW w:w="2562" w:type="dxa"/>
            <w:vAlign w:val="center"/>
          </w:tcPr>
          <w:p w14:paraId="5A1767D0" w14:textId="7AC9A457" w:rsidR="002B6965" w:rsidRDefault="002B6965" w:rsidP="002B6965">
            <w:pPr>
              <w:jc w:val="center"/>
              <w:rPr>
                <w:b/>
                <w:color w:val="000000" w:themeColor="text1"/>
              </w:rPr>
            </w:pPr>
            <w:r w:rsidRPr="005C29F8">
              <w:rPr>
                <w:rFonts w:cs="Arial"/>
                <w:color w:val="000000" w:themeColor="text1"/>
                <w:szCs w:val="16"/>
              </w:rPr>
              <w:t>2016</w:t>
            </w:r>
          </w:p>
        </w:tc>
        <w:tc>
          <w:tcPr>
            <w:tcW w:w="2563" w:type="dxa"/>
            <w:vAlign w:val="center"/>
          </w:tcPr>
          <w:p w14:paraId="4EF66E74" w14:textId="7A5DFEFF" w:rsidR="002B6965" w:rsidRDefault="002B6965" w:rsidP="002B6965">
            <w:pPr>
              <w:jc w:val="center"/>
              <w:rPr>
                <w:b/>
                <w:color w:val="000000" w:themeColor="text1"/>
              </w:rPr>
            </w:pPr>
            <w:r w:rsidRPr="005C29F8">
              <w:rPr>
                <w:rFonts w:cs="Arial"/>
                <w:color w:val="000000" w:themeColor="text1"/>
                <w:szCs w:val="16"/>
              </w:rPr>
              <w:t>1.92%</w:t>
            </w:r>
          </w:p>
        </w:tc>
      </w:tr>
    </w:tbl>
    <w:p w14:paraId="6781E363" w14:textId="556D76E5" w:rsidR="002B6965" w:rsidRDefault="002E111A" w:rsidP="004369B2">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5C29F8" w14:paraId="2DAF49AB" w14:textId="32F9B748" w:rsidTr="0033429D">
        <w:trPr>
          <w:trHeight w:val="350"/>
        </w:trPr>
        <w:tc>
          <w:tcPr>
            <w:tcW w:w="833" w:type="pct"/>
            <w:tcBorders>
              <w:bottom w:val="single" w:sz="4" w:space="0" w:color="auto"/>
            </w:tcBorders>
            <w:shd w:val="clear" w:color="auto" w:fill="auto"/>
          </w:tcPr>
          <w:p w14:paraId="7844FE4C" w14:textId="77777777" w:rsidR="00E4112E" w:rsidRPr="005C29F8" w:rsidRDefault="00E4112E" w:rsidP="004369B2">
            <w:pPr>
              <w:jc w:val="center"/>
              <w:rPr>
                <w:b/>
                <w:color w:val="000000" w:themeColor="text1"/>
              </w:rPr>
            </w:pPr>
            <w:r w:rsidRPr="005C29F8">
              <w:rPr>
                <w:b/>
                <w:color w:val="000000" w:themeColor="text1"/>
              </w:rPr>
              <w:t>FFY</w:t>
            </w:r>
          </w:p>
        </w:tc>
        <w:tc>
          <w:tcPr>
            <w:tcW w:w="833" w:type="pct"/>
            <w:shd w:val="clear" w:color="auto" w:fill="auto"/>
          </w:tcPr>
          <w:p w14:paraId="09DCA0E6" w14:textId="614607D6" w:rsidR="00E4112E" w:rsidRPr="005C29F8" w:rsidRDefault="002B7490">
            <w:pPr>
              <w:jc w:val="center"/>
              <w:rPr>
                <w:b/>
                <w:color w:val="000000" w:themeColor="text1"/>
              </w:rPr>
            </w:pPr>
            <w:r w:rsidRPr="005C29F8">
              <w:rPr>
                <w:b/>
                <w:color w:val="000000" w:themeColor="text1"/>
              </w:rPr>
              <w:t>2014</w:t>
            </w:r>
          </w:p>
        </w:tc>
        <w:tc>
          <w:tcPr>
            <w:tcW w:w="833" w:type="pct"/>
            <w:shd w:val="clear" w:color="auto" w:fill="auto"/>
          </w:tcPr>
          <w:p w14:paraId="7015519F" w14:textId="3BECE8C5" w:rsidR="00E4112E" w:rsidRPr="005C29F8" w:rsidRDefault="002B7490">
            <w:pPr>
              <w:jc w:val="center"/>
              <w:rPr>
                <w:b/>
                <w:color w:val="000000" w:themeColor="text1"/>
              </w:rPr>
            </w:pPr>
            <w:r w:rsidRPr="005C29F8">
              <w:rPr>
                <w:b/>
                <w:color w:val="000000" w:themeColor="text1"/>
              </w:rPr>
              <w:t>2015</w:t>
            </w:r>
          </w:p>
        </w:tc>
        <w:tc>
          <w:tcPr>
            <w:tcW w:w="833" w:type="pct"/>
            <w:shd w:val="clear" w:color="auto" w:fill="auto"/>
          </w:tcPr>
          <w:p w14:paraId="7CE93832" w14:textId="3E179BB5" w:rsidR="00E4112E" w:rsidRPr="005C29F8" w:rsidRDefault="002B7490">
            <w:pPr>
              <w:jc w:val="center"/>
              <w:rPr>
                <w:b/>
                <w:color w:val="000000" w:themeColor="text1"/>
              </w:rPr>
            </w:pPr>
            <w:r w:rsidRPr="005C29F8">
              <w:rPr>
                <w:b/>
                <w:color w:val="000000" w:themeColor="text1"/>
              </w:rPr>
              <w:t>2016</w:t>
            </w:r>
          </w:p>
        </w:tc>
        <w:tc>
          <w:tcPr>
            <w:tcW w:w="833" w:type="pct"/>
            <w:shd w:val="clear" w:color="auto" w:fill="auto"/>
          </w:tcPr>
          <w:p w14:paraId="1A1DC4B0" w14:textId="32B92E1C" w:rsidR="00E4112E" w:rsidRPr="005C29F8" w:rsidRDefault="002B7490">
            <w:pPr>
              <w:jc w:val="center"/>
              <w:rPr>
                <w:b/>
                <w:color w:val="000000" w:themeColor="text1"/>
              </w:rPr>
            </w:pPr>
            <w:r w:rsidRPr="005C29F8">
              <w:rPr>
                <w:b/>
                <w:color w:val="000000" w:themeColor="text1"/>
              </w:rPr>
              <w:t>2017</w:t>
            </w:r>
          </w:p>
        </w:tc>
        <w:tc>
          <w:tcPr>
            <w:tcW w:w="834" w:type="pct"/>
            <w:shd w:val="clear" w:color="auto" w:fill="auto"/>
          </w:tcPr>
          <w:p w14:paraId="030F446C" w14:textId="279E0CA2" w:rsidR="00E4112E" w:rsidRPr="005C29F8" w:rsidRDefault="002B7490">
            <w:pPr>
              <w:jc w:val="center"/>
              <w:rPr>
                <w:b/>
                <w:color w:val="000000" w:themeColor="text1"/>
              </w:rPr>
            </w:pPr>
            <w:r w:rsidRPr="005C29F8">
              <w:rPr>
                <w:b/>
                <w:color w:val="000000" w:themeColor="text1"/>
              </w:rPr>
              <w:t>2018</w:t>
            </w:r>
          </w:p>
        </w:tc>
      </w:tr>
      <w:tr w:rsidR="005C29F8" w:rsidRPr="005C29F8" w14:paraId="166D6AFF" w14:textId="0C956946" w:rsidTr="0033429D">
        <w:trPr>
          <w:trHeight w:val="357"/>
        </w:trPr>
        <w:tc>
          <w:tcPr>
            <w:tcW w:w="833" w:type="pct"/>
            <w:shd w:val="clear" w:color="auto" w:fill="auto"/>
            <w:vAlign w:val="center"/>
          </w:tcPr>
          <w:p w14:paraId="38AA0076" w14:textId="731BFD6B" w:rsidR="00BB7BC9" w:rsidRPr="005C29F8" w:rsidRDefault="00BB7BC9" w:rsidP="00BB7BC9">
            <w:pPr>
              <w:rPr>
                <w:rFonts w:cs="Arial"/>
                <w:color w:val="000000" w:themeColor="text1"/>
                <w:szCs w:val="16"/>
              </w:rPr>
            </w:pPr>
            <w:r w:rsidRPr="005C29F8">
              <w:rPr>
                <w:rFonts w:cs="Arial"/>
                <w:color w:val="000000" w:themeColor="text1"/>
                <w:szCs w:val="16"/>
              </w:rPr>
              <w:t xml:space="preserve">Target </w:t>
            </w:r>
            <w:r w:rsidR="009B02BC" w:rsidRPr="005C29F8">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3" w:type="pct"/>
            <w:shd w:val="clear" w:color="auto" w:fill="auto"/>
            <w:vAlign w:val="center"/>
          </w:tcPr>
          <w:p w14:paraId="79939FD5" w14:textId="354F468A" w:rsidR="00BB7BC9"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3" w:type="pct"/>
            <w:shd w:val="clear" w:color="auto" w:fill="auto"/>
            <w:vAlign w:val="center"/>
          </w:tcPr>
          <w:p w14:paraId="2F67AA89" w14:textId="7720B113" w:rsidR="00BB7BC9"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3" w:type="pct"/>
            <w:shd w:val="clear" w:color="auto" w:fill="auto"/>
            <w:vAlign w:val="center"/>
          </w:tcPr>
          <w:p w14:paraId="370622DC" w14:textId="1DC834EA" w:rsidR="00BB7BC9"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4" w:type="pct"/>
            <w:shd w:val="clear" w:color="auto" w:fill="auto"/>
            <w:vAlign w:val="center"/>
          </w:tcPr>
          <w:p w14:paraId="01742AA4" w14:textId="72802F04" w:rsidR="00BB7BC9" w:rsidRPr="005C29F8" w:rsidRDefault="002B7490" w:rsidP="00A018D4">
            <w:pPr>
              <w:jc w:val="center"/>
              <w:rPr>
                <w:rFonts w:cs="Arial"/>
                <w:color w:val="000000" w:themeColor="text1"/>
                <w:szCs w:val="16"/>
              </w:rPr>
            </w:pPr>
            <w:r w:rsidRPr="005C29F8">
              <w:rPr>
                <w:rFonts w:cs="Arial"/>
                <w:color w:val="000000" w:themeColor="text1"/>
                <w:szCs w:val="16"/>
              </w:rPr>
              <w:t>0.00%</w:t>
            </w:r>
          </w:p>
        </w:tc>
      </w:tr>
      <w:tr w:rsidR="005C29F8" w:rsidRPr="005C29F8" w14:paraId="7A0B9513" w14:textId="222C1F8D" w:rsidTr="0033429D">
        <w:trPr>
          <w:trHeight w:val="85"/>
        </w:trPr>
        <w:tc>
          <w:tcPr>
            <w:tcW w:w="833" w:type="pct"/>
            <w:shd w:val="clear" w:color="auto" w:fill="auto"/>
            <w:vAlign w:val="center"/>
          </w:tcPr>
          <w:p w14:paraId="7EAE8715" w14:textId="77777777" w:rsidR="00BB7BC9" w:rsidRPr="005C29F8" w:rsidRDefault="00BB7BC9" w:rsidP="00BB7BC9">
            <w:pPr>
              <w:rPr>
                <w:rFonts w:cs="Arial"/>
                <w:color w:val="000000" w:themeColor="text1"/>
                <w:szCs w:val="16"/>
              </w:rPr>
            </w:pPr>
            <w:r w:rsidRPr="005C29F8">
              <w:rPr>
                <w:rFonts w:cs="Arial"/>
                <w:color w:val="000000" w:themeColor="text1"/>
                <w:szCs w:val="16"/>
              </w:rPr>
              <w:t>Data</w:t>
            </w:r>
          </w:p>
        </w:tc>
        <w:tc>
          <w:tcPr>
            <w:tcW w:w="833" w:type="pct"/>
            <w:shd w:val="clear" w:color="auto" w:fill="auto"/>
            <w:vAlign w:val="center"/>
          </w:tcPr>
          <w:p w14:paraId="088137A7" w14:textId="7782C22E" w:rsidR="00BB7BC9" w:rsidRPr="005C29F8" w:rsidRDefault="002B7490" w:rsidP="00A018D4">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vAlign w:val="center"/>
          </w:tcPr>
          <w:p w14:paraId="6040C16E" w14:textId="1898F821" w:rsidR="00BB7BC9" w:rsidRPr="005C29F8" w:rsidRDefault="002B7490" w:rsidP="00A018D4">
            <w:pPr>
              <w:jc w:val="center"/>
              <w:rPr>
                <w:rFonts w:cs="Arial"/>
                <w:color w:val="000000" w:themeColor="text1"/>
                <w:szCs w:val="16"/>
              </w:rPr>
            </w:pPr>
            <w:r w:rsidRPr="005C29F8">
              <w:rPr>
                <w:rFonts w:cs="Arial"/>
                <w:color w:val="000000" w:themeColor="text1"/>
                <w:szCs w:val="16"/>
              </w:rPr>
              <w:t>1.25%</w:t>
            </w:r>
          </w:p>
        </w:tc>
        <w:tc>
          <w:tcPr>
            <w:tcW w:w="833" w:type="pct"/>
            <w:tcBorders>
              <w:bottom w:val="single" w:sz="4" w:space="0" w:color="auto"/>
            </w:tcBorders>
            <w:shd w:val="clear" w:color="auto" w:fill="auto"/>
            <w:vAlign w:val="center"/>
          </w:tcPr>
          <w:p w14:paraId="2F4988E8" w14:textId="56ECA0F8" w:rsidR="00BB7BC9" w:rsidRPr="005C29F8" w:rsidRDefault="002B7490" w:rsidP="00A018D4">
            <w:pPr>
              <w:jc w:val="center"/>
              <w:rPr>
                <w:rFonts w:cs="Arial"/>
                <w:color w:val="000000" w:themeColor="text1"/>
                <w:szCs w:val="16"/>
              </w:rPr>
            </w:pPr>
            <w:r w:rsidRPr="005C29F8">
              <w:rPr>
                <w:rFonts w:cs="Arial"/>
                <w:color w:val="000000" w:themeColor="text1"/>
                <w:szCs w:val="16"/>
              </w:rPr>
              <w:t>1.92%</w:t>
            </w:r>
          </w:p>
        </w:tc>
        <w:tc>
          <w:tcPr>
            <w:tcW w:w="833" w:type="pct"/>
            <w:tcBorders>
              <w:bottom w:val="single" w:sz="4" w:space="0" w:color="auto"/>
            </w:tcBorders>
            <w:shd w:val="clear" w:color="auto" w:fill="auto"/>
            <w:vAlign w:val="center"/>
          </w:tcPr>
          <w:p w14:paraId="3315EDFF" w14:textId="1943A2C3" w:rsidR="00BB7BC9" w:rsidRPr="005C29F8" w:rsidRDefault="002B7490" w:rsidP="00A018D4">
            <w:pPr>
              <w:jc w:val="center"/>
              <w:rPr>
                <w:rFonts w:cs="Arial"/>
                <w:color w:val="000000" w:themeColor="text1"/>
                <w:szCs w:val="16"/>
              </w:rPr>
            </w:pPr>
            <w:r w:rsidRPr="005C29F8">
              <w:rPr>
                <w:rFonts w:cs="Arial"/>
                <w:color w:val="000000" w:themeColor="text1"/>
                <w:szCs w:val="16"/>
              </w:rPr>
              <w:t>1.36%</w:t>
            </w:r>
          </w:p>
        </w:tc>
        <w:tc>
          <w:tcPr>
            <w:tcW w:w="834" w:type="pct"/>
            <w:tcBorders>
              <w:bottom w:val="single" w:sz="4" w:space="0" w:color="auto"/>
            </w:tcBorders>
            <w:shd w:val="clear" w:color="auto" w:fill="auto"/>
            <w:vAlign w:val="center"/>
          </w:tcPr>
          <w:p w14:paraId="6B580E93" w14:textId="6155D799" w:rsidR="00BB7BC9" w:rsidRPr="005C29F8" w:rsidRDefault="002B7490" w:rsidP="00A018D4">
            <w:pPr>
              <w:jc w:val="center"/>
              <w:rPr>
                <w:rFonts w:cs="Arial"/>
                <w:color w:val="000000" w:themeColor="text1"/>
                <w:szCs w:val="16"/>
              </w:rPr>
            </w:pPr>
            <w:r w:rsidRPr="005C29F8">
              <w:rPr>
                <w:rFonts w:cs="Arial"/>
                <w:color w:val="000000" w:themeColor="text1"/>
                <w:szCs w:val="16"/>
              </w:rPr>
              <w:t>1.08%</w:t>
            </w:r>
          </w:p>
        </w:tc>
      </w:tr>
    </w:tbl>
    <w:p w14:paraId="5F34812B" w14:textId="77777777" w:rsidR="006478FC" w:rsidRPr="005C29F8" w:rsidRDefault="006478FC" w:rsidP="004369B2">
      <w:pPr>
        <w:rPr>
          <w:color w:val="000000" w:themeColor="text1"/>
        </w:rPr>
      </w:pPr>
    </w:p>
    <w:p w14:paraId="4841771C" w14:textId="2E3FC34F" w:rsidR="00ED5FCE" w:rsidRPr="005C29F8" w:rsidRDefault="00ED5FCE" w:rsidP="004369B2">
      <w:pPr>
        <w:rPr>
          <w:color w:val="000000" w:themeColor="text1"/>
        </w:rPr>
      </w:pPr>
      <w:r w:rsidRPr="005C29F8">
        <w:rPr>
          <w:b/>
          <w:color w:val="000000" w:themeColor="text1"/>
        </w:rPr>
        <w:t>Targets</w:t>
      </w:r>
    </w:p>
    <w:tbl>
      <w:tblPr>
        <w:tblW w:w="15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2608"/>
      </w:tblGrid>
      <w:tr w:rsidR="00085D89" w:rsidRPr="005C29F8" w14:paraId="00255703" w14:textId="2C73132D" w:rsidTr="0033429D">
        <w:trPr>
          <w:trHeight w:val="350"/>
        </w:trPr>
        <w:tc>
          <w:tcPr>
            <w:tcW w:w="1033" w:type="pct"/>
            <w:tcBorders>
              <w:bottom w:val="single" w:sz="4" w:space="0" w:color="auto"/>
            </w:tcBorders>
            <w:shd w:val="clear" w:color="auto" w:fill="auto"/>
          </w:tcPr>
          <w:p w14:paraId="12833EEC" w14:textId="77777777" w:rsidR="00085D89" w:rsidRPr="005C29F8" w:rsidRDefault="00085D89" w:rsidP="004369B2">
            <w:pPr>
              <w:jc w:val="center"/>
              <w:rPr>
                <w:b/>
                <w:color w:val="000000" w:themeColor="text1"/>
              </w:rPr>
            </w:pPr>
            <w:r w:rsidRPr="005C29F8">
              <w:rPr>
                <w:b/>
                <w:color w:val="000000" w:themeColor="text1"/>
              </w:rPr>
              <w:t>FFY</w:t>
            </w:r>
          </w:p>
        </w:tc>
        <w:tc>
          <w:tcPr>
            <w:tcW w:w="3967" w:type="pct"/>
            <w:shd w:val="clear" w:color="auto" w:fill="auto"/>
          </w:tcPr>
          <w:p w14:paraId="50119DBA" w14:textId="04DC2A77" w:rsidR="00085D89" w:rsidRPr="005C29F8" w:rsidRDefault="00085D89" w:rsidP="004369B2">
            <w:pPr>
              <w:jc w:val="center"/>
              <w:rPr>
                <w:b/>
                <w:color w:val="000000" w:themeColor="text1"/>
              </w:rPr>
            </w:pPr>
            <w:r w:rsidRPr="005C29F8">
              <w:rPr>
                <w:b/>
                <w:color w:val="000000" w:themeColor="text1"/>
              </w:rPr>
              <w:t>2019</w:t>
            </w:r>
          </w:p>
        </w:tc>
      </w:tr>
      <w:tr w:rsidR="00085D89" w:rsidRPr="005C29F8" w14:paraId="1ACE760A" w14:textId="60DE54B9" w:rsidTr="00085D89">
        <w:trPr>
          <w:trHeight w:val="357"/>
        </w:trPr>
        <w:tc>
          <w:tcPr>
            <w:tcW w:w="1033" w:type="pct"/>
            <w:shd w:val="clear" w:color="auto" w:fill="auto"/>
            <w:vAlign w:val="center"/>
          </w:tcPr>
          <w:p w14:paraId="3387B9B3" w14:textId="0ED5756F" w:rsidR="00085D89" w:rsidRPr="005C29F8" w:rsidRDefault="00085D89">
            <w:pPr>
              <w:rPr>
                <w:rFonts w:cs="Arial"/>
                <w:color w:val="000000" w:themeColor="text1"/>
                <w:szCs w:val="16"/>
              </w:rPr>
            </w:pPr>
            <w:r w:rsidRPr="005C29F8">
              <w:rPr>
                <w:rFonts w:cs="Arial"/>
                <w:color w:val="000000" w:themeColor="text1"/>
                <w:szCs w:val="16"/>
              </w:rPr>
              <w:t xml:space="preserve">Target </w:t>
            </w:r>
            <w:r w:rsidRPr="005C29F8">
              <w:rPr>
                <w:rFonts w:cs="Arial"/>
                <w:color w:val="000000" w:themeColor="text1"/>
                <w:szCs w:val="16"/>
                <w:shd w:val="clear" w:color="auto" w:fill="FFFFFF"/>
              </w:rPr>
              <w:t>&lt;=</w:t>
            </w:r>
          </w:p>
        </w:tc>
        <w:tc>
          <w:tcPr>
            <w:tcW w:w="3967" w:type="pct"/>
            <w:shd w:val="clear" w:color="auto" w:fill="auto"/>
            <w:vAlign w:val="center"/>
          </w:tcPr>
          <w:p w14:paraId="78EBD6ED" w14:textId="4FA09BBD" w:rsidR="00085D89" w:rsidRPr="005C29F8" w:rsidRDefault="00085D89" w:rsidP="00A018D4">
            <w:pPr>
              <w:jc w:val="center"/>
              <w:rPr>
                <w:rFonts w:cs="Arial"/>
                <w:color w:val="000000" w:themeColor="text1"/>
                <w:szCs w:val="16"/>
              </w:rPr>
            </w:pPr>
            <w:r w:rsidRPr="005C29F8">
              <w:rPr>
                <w:rFonts w:cs="Arial"/>
                <w:color w:val="000000" w:themeColor="text1"/>
                <w:szCs w:val="16"/>
              </w:rPr>
              <w:t>0.00%</w:t>
            </w:r>
          </w:p>
        </w:tc>
      </w:tr>
    </w:tbl>
    <w:p w14:paraId="05EA20CB" w14:textId="0A0E8C80" w:rsidR="002D145D" w:rsidRDefault="002D145D" w:rsidP="004369B2">
      <w:pPr>
        <w:rPr>
          <w:b/>
          <w:color w:val="000000" w:themeColor="text1"/>
        </w:rPr>
      </w:pPr>
      <w:r w:rsidRPr="005C29F8">
        <w:rPr>
          <w:b/>
          <w:color w:val="000000" w:themeColor="text1"/>
        </w:rPr>
        <w:t xml:space="preserve">Targets: Description of Stakeholder Input </w:t>
      </w:r>
    </w:p>
    <w:p w14:paraId="01F8C61F" w14:textId="7DC6A451" w:rsidR="002D145D" w:rsidRDefault="002B7490" w:rsidP="002D145D">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w:t>
      </w:r>
      <w:r w:rsidRPr="005C29F8">
        <w:rPr>
          <w:rFonts w:cs="Arial"/>
          <w:color w:val="000000" w:themeColor="text1"/>
          <w:szCs w:val="16"/>
        </w:rPr>
        <w:lastRenderedPageBreak/>
        <w:t xml:space="preserve">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3FD5337B" w14:textId="54E74935" w:rsidR="002D145D" w:rsidRPr="005C29F8" w:rsidRDefault="002B7490" w:rsidP="002D145D">
      <w:pPr>
        <w:rPr>
          <w:rFonts w:cs="Arial"/>
          <w:color w:val="000000" w:themeColor="text1"/>
          <w:szCs w:val="16"/>
        </w:rPr>
      </w:pPr>
      <w:r w:rsidRPr="005C29F8">
        <w:rPr>
          <w:rFonts w:cs="Arial"/>
          <w:color w:val="000000" w:themeColor="text1"/>
          <w:szCs w:val="16"/>
        </w:rPr>
        <w:t>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schools, and educational collaboratives; representatives of higher education; and health care and related service providers.</w:t>
      </w:r>
      <w:r w:rsidRPr="005C29F8">
        <w:rPr>
          <w:rFonts w:cs="Arial"/>
          <w:color w:val="000000" w:themeColor="text1"/>
          <w:szCs w:val="16"/>
        </w:rPr>
        <w:br/>
      </w:r>
      <w:r w:rsidRPr="005C29F8">
        <w:rPr>
          <w:rFonts w:cs="Arial"/>
          <w:color w:val="000000" w:themeColor="text1"/>
          <w:szCs w:val="16"/>
        </w:rPr>
        <w:br/>
        <w:t>The SEAP met most recently in January 2021 to review current data and discuss future actions to improve the State’s performance.  As needed, MA DESE also convenes stakeholder working groups throughout the year to provide focused input on specific projects and policy priorities. MA DESE also consults with educators, parents, advocates, and other stakeholders on an ad hoc basis to inform policy and practice. Stakeholder engagement is an essential component of MA DESE’s special education agenda.</w:t>
      </w:r>
    </w:p>
    <w:p w14:paraId="2AE297AB" w14:textId="77777777" w:rsidR="007E6F97" w:rsidRPr="005C29F8" w:rsidRDefault="007E6F97" w:rsidP="004369B2">
      <w:pPr>
        <w:rPr>
          <w:color w:val="000000" w:themeColor="text1"/>
        </w:rPr>
      </w:pPr>
    </w:p>
    <w:p w14:paraId="2E616696" w14:textId="32AC154F" w:rsidR="00D03701" w:rsidRPr="005C29F8" w:rsidRDefault="00EC46E4">
      <w:pPr>
        <w:rPr>
          <w:b/>
          <w:color w:val="000000" w:themeColor="text1"/>
        </w:rPr>
      </w:pPr>
      <w:r w:rsidRPr="005C29F8">
        <w:rPr>
          <w:b/>
          <w:color w:val="000000" w:themeColor="text1"/>
        </w:rPr>
        <w:t>FFY 2019 SPP/APR Data</w:t>
      </w:r>
      <w:bookmarkEnd w:id="21"/>
      <w:bookmarkEnd w:id="22"/>
    </w:p>
    <w:p w14:paraId="01DBD317" w14:textId="266ACECA" w:rsidR="009B02BC" w:rsidRPr="005C29F8" w:rsidRDefault="009B02BC">
      <w:pPr>
        <w:rPr>
          <w:rFonts w:cs="Arial"/>
          <w:b/>
          <w:color w:val="000000" w:themeColor="text1"/>
          <w:szCs w:val="16"/>
        </w:rPr>
      </w:pPr>
      <w:r w:rsidRPr="005C29F8">
        <w:rPr>
          <w:rFonts w:cs="Arial"/>
          <w:b/>
          <w:color w:val="000000" w:themeColor="text1"/>
          <w:szCs w:val="16"/>
        </w:rPr>
        <w:t>Has the state established a minimum n-size requirement? (yes/no)</w:t>
      </w:r>
    </w:p>
    <w:p w14:paraId="6A8BDBAB" w14:textId="22481006" w:rsidR="009B02BC" w:rsidRDefault="009B02BC">
      <w:pPr>
        <w:rPr>
          <w:rFonts w:cs="Arial"/>
          <w:color w:val="000000" w:themeColor="text1"/>
          <w:szCs w:val="16"/>
        </w:rPr>
      </w:pPr>
      <w:r w:rsidRPr="005C29F8">
        <w:rPr>
          <w:rFonts w:cs="Arial"/>
          <w:color w:val="000000" w:themeColor="text1"/>
          <w:szCs w:val="16"/>
        </w:rPr>
        <w:t>YES</w:t>
      </w:r>
    </w:p>
    <w:p w14:paraId="1DB615CF" w14:textId="54170E6B" w:rsidR="009B02BC" w:rsidRPr="005C29F8" w:rsidRDefault="009B02BC">
      <w:pPr>
        <w:rPr>
          <w:rFonts w:cs="Arial"/>
          <w:b/>
          <w:color w:val="000000" w:themeColor="text1"/>
          <w:szCs w:val="16"/>
        </w:rPr>
      </w:pPr>
      <w:r w:rsidRPr="005C29F8">
        <w:rPr>
          <w:rFonts w:cs="Arial"/>
          <w:b/>
          <w:color w:val="000000" w:themeColor="text1"/>
          <w:szCs w:val="16"/>
        </w:rPr>
        <w:t>If yes, the State may only include, in both the numerator and the denominator, districts that met the State-established n size. Report the number of districts excluded from the calculation as a result of the requirement.</w:t>
      </w:r>
    </w:p>
    <w:p w14:paraId="5F36FA89" w14:textId="7B8DA8B5" w:rsidR="009B02BC" w:rsidRDefault="009B02BC" w:rsidP="004369B2">
      <w:pPr>
        <w:rPr>
          <w:rFonts w:cs="Arial"/>
          <w:color w:val="000000" w:themeColor="text1"/>
          <w:szCs w:val="16"/>
        </w:rPr>
      </w:pPr>
      <w:r w:rsidRPr="005C29F8">
        <w:rPr>
          <w:rFonts w:cs="Arial"/>
          <w:color w:val="000000" w:themeColor="text1"/>
          <w:szCs w:val="16"/>
        </w:rPr>
        <w:t>28</w:t>
      </w:r>
    </w:p>
    <w:p w14:paraId="4E14BC0D" w14:textId="77777777" w:rsidR="00A14B5D" w:rsidRPr="005C29F8"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5C29F8" w:rsidRPr="005C29F8" w14:paraId="25961F2E" w14:textId="5D241BED" w:rsidTr="00AB0D6A">
        <w:trPr>
          <w:trHeight w:val="994"/>
          <w:jc w:val="center"/>
        </w:trPr>
        <w:tc>
          <w:tcPr>
            <w:tcW w:w="653" w:type="pct"/>
            <w:shd w:val="clear" w:color="auto" w:fill="auto"/>
            <w:vAlign w:val="bottom"/>
          </w:tcPr>
          <w:p w14:paraId="1D711F21" w14:textId="77777777" w:rsidR="001D6A0A" w:rsidRPr="005C29F8" w:rsidRDefault="001D6A0A" w:rsidP="00681BA6">
            <w:pPr>
              <w:jc w:val="center"/>
              <w:rPr>
                <w:rFonts w:cs="Arial"/>
                <w:b/>
                <w:color w:val="000000" w:themeColor="text1"/>
                <w:szCs w:val="16"/>
              </w:rPr>
            </w:pPr>
            <w:r w:rsidRPr="005C29F8">
              <w:rPr>
                <w:rFonts w:cs="Arial"/>
                <w:b/>
                <w:color w:val="000000" w:themeColor="text1"/>
                <w:szCs w:val="16"/>
              </w:rPr>
              <w:t>Number of districts that have a significant discrepancy</w:t>
            </w:r>
          </w:p>
        </w:tc>
        <w:tc>
          <w:tcPr>
            <w:tcW w:w="879" w:type="pct"/>
            <w:shd w:val="clear" w:color="auto" w:fill="auto"/>
            <w:vAlign w:val="bottom"/>
          </w:tcPr>
          <w:p w14:paraId="196C509D" w14:textId="441688AA" w:rsidR="001D6A0A" w:rsidRPr="005C29F8" w:rsidRDefault="00C9488E" w:rsidP="00681BA6">
            <w:pPr>
              <w:jc w:val="center"/>
              <w:rPr>
                <w:rFonts w:cs="Arial"/>
                <w:b/>
                <w:color w:val="000000" w:themeColor="text1"/>
                <w:szCs w:val="16"/>
              </w:rPr>
            </w:pPr>
            <w:r w:rsidRPr="005C29F8">
              <w:rPr>
                <w:rFonts w:cs="Arial"/>
                <w:b/>
                <w:color w:val="000000" w:themeColor="text1"/>
                <w:szCs w:val="16"/>
              </w:rPr>
              <w:t>Number of Districts that met the State's minimum n-size</w:t>
            </w:r>
          </w:p>
        </w:tc>
        <w:tc>
          <w:tcPr>
            <w:tcW w:w="634" w:type="pct"/>
            <w:shd w:val="clear" w:color="auto" w:fill="auto"/>
            <w:vAlign w:val="bottom"/>
          </w:tcPr>
          <w:p w14:paraId="20C8255F" w14:textId="0EBA452E" w:rsidR="001D6A0A" w:rsidRPr="005C29F8" w:rsidRDefault="00B954DC" w:rsidP="00681BA6">
            <w:pPr>
              <w:jc w:val="center"/>
              <w:rPr>
                <w:rFonts w:cs="Arial"/>
                <w:b/>
                <w:color w:val="000000" w:themeColor="text1"/>
                <w:szCs w:val="16"/>
              </w:rPr>
            </w:pPr>
            <w:r w:rsidRPr="005C29F8">
              <w:rPr>
                <w:rFonts w:cs="Arial"/>
                <w:b/>
                <w:color w:val="000000" w:themeColor="text1"/>
                <w:szCs w:val="16"/>
              </w:rPr>
              <w:t>FFY 2018 Data</w:t>
            </w:r>
          </w:p>
        </w:tc>
        <w:tc>
          <w:tcPr>
            <w:tcW w:w="876" w:type="pct"/>
            <w:shd w:val="clear" w:color="auto" w:fill="auto"/>
            <w:vAlign w:val="bottom"/>
          </w:tcPr>
          <w:p w14:paraId="2298BC2C" w14:textId="1AFCA225" w:rsidR="001D6A0A" w:rsidRPr="005C29F8" w:rsidRDefault="001D6A0A" w:rsidP="00681BA6">
            <w:pPr>
              <w:jc w:val="center"/>
              <w:rPr>
                <w:rFonts w:cs="Arial"/>
                <w:b/>
                <w:color w:val="000000" w:themeColor="text1"/>
                <w:szCs w:val="16"/>
              </w:rPr>
            </w:pPr>
            <w:r w:rsidRPr="005C29F8">
              <w:rPr>
                <w:rFonts w:cs="Arial"/>
                <w:b/>
                <w:color w:val="000000" w:themeColor="text1"/>
                <w:szCs w:val="16"/>
              </w:rPr>
              <w:t>FFY 2019 Target</w:t>
            </w:r>
          </w:p>
        </w:tc>
        <w:tc>
          <w:tcPr>
            <w:tcW w:w="584" w:type="pct"/>
            <w:shd w:val="clear" w:color="auto" w:fill="auto"/>
            <w:vAlign w:val="bottom"/>
          </w:tcPr>
          <w:p w14:paraId="3E9B682A" w14:textId="68E53444" w:rsidR="001D6A0A" w:rsidRPr="005C29F8" w:rsidRDefault="001D6A0A" w:rsidP="00681BA6">
            <w:pPr>
              <w:jc w:val="center"/>
              <w:rPr>
                <w:rFonts w:cs="Arial"/>
                <w:b/>
                <w:color w:val="000000" w:themeColor="text1"/>
                <w:szCs w:val="16"/>
              </w:rPr>
            </w:pPr>
            <w:r w:rsidRPr="005C29F8">
              <w:rPr>
                <w:rFonts w:cs="Arial"/>
                <w:b/>
                <w:color w:val="000000" w:themeColor="text1"/>
                <w:szCs w:val="16"/>
              </w:rPr>
              <w:t>FFY 2019 Data</w:t>
            </w:r>
          </w:p>
        </w:tc>
        <w:tc>
          <w:tcPr>
            <w:tcW w:w="667" w:type="pct"/>
            <w:shd w:val="clear" w:color="auto" w:fill="auto"/>
            <w:vAlign w:val="bottom"/>
          </w:tcPr>
          <w:p w14:paraId="7B5A071B" w14:textId="6C45C0BB" w:rsidR="001D6A0A" w:rsidRPr="005C29F8" w:rsidRDefault="001D6A0A" w:rsidP="00681BA6">
            <w:pPr>
              <w:jc w:val="center"/>
              <w:rPr>
                <w:rFonts w:cs="Arial"/>
                <w:b/>
                <w:color w:val="000000" w:themeColor="text1"/>
                <w:szCs w:val="16"/>
              </w:rPr>
            </w:pPr>
            <w:r w:rsidRPr="005C29F8">
              <w:rPr>
                <w:rFonts w:cs="Arial"/>
                <w:b/>
                <w:color w:val="000000" w:themeColor="text1"/>
                <w:szCs w:val="16"/>
              </w:rPr>
              <w:t>Status</w:t>
            </w:r>
          </w:p>
        </w:tc>
        <w:tc>
          <w:tcPr>
            <w:tcW w:w="707" w:type="pct"/>
            <w:shd w:val="clear" w:color="auto" w:fill="auto"/>
            <w:vAlign w:val="bottom"/>
          </w:tcPr>
          <w:p w14:paraId="4D50491C" w14:textId="7F184394" w:rsidR="001D6A0A" w:rsidRPr="005C29F8" w:rsidRDefault="001D6A0A" w:rsidP="00681BA6">
            <w:pPr>
              <w:jc w:val="center"/>
              <w:rPr>
                <w:rFonts w:cs="Arial"/>
                <w:b/>
                <w:color w:val="000000" w:themeColor="text1"/>
                <w:szCs w:val="16"/>
              </w:rPr>
            </w:pPr>
            <w:r w:rsidRPr="005C29F8">
              <w:rPr>
                <w:rFonts w:cs="Arial"/>
                <w:b/>
                <w:color w:val="000000" w:themeColor="text1"/>
                <w:szCs w:val="16"/>
              </w:rPr>
              <w:t>Slippage</w:t>
            </w:r>
          </w:p>
        </w:tc>
      </w:tr>
      <w:tr w:rsidR="005C29F8" w:rsidRPr="005C29F8" w14:paraId="0246961D" w14:textId="1C11943C" w:rsidTr="00AB0D6A">
        <w:trPr>
          <w:trHeight w:val="233"/>
          <w:jc w:val="center"/>
        </w:trPr>
        <w:tc>
          <w:tcPr>
            <w:tcW w:w="653" w:type="pct"/>
            <w:shd w:val="clear" w:color="auto" w:fill="auto"/>
            <w:vAlign w:val="center"/>
          </w:tcPr>
          <w:p w14:paraId="0B36F15E" w14:textId="239D7181" w:rsidR="00A862C3" w:rsidRPr="005C29F8" w:rsidRDefault="002B7490" w:rsidP="00A018D4">
            <w:pPr>
              <w:jc w:val="center"/>
              <w:rPr>
                <w:rFonts w:cs="Arial"/>
                <w:color w:val="000000" w:themeColor="text1"/>
                <w:szCs w:val="16"/>
              </w:rPr>
            </w:pPr>
            <w:r w:rsidRPr="005C29F8">
              <w:rPr>
                <w:rFonts w:cs="Arial"/>
                <w:color w:val="000000" w:themeColor="text1"/>
                <w:szCs w:val="16"/>
              </w:rPr>
              <w:t>4</w:t>
            </w:r>
          </w:p>
        </w:tc>
        <w:tc>
          <w:tcPr>
            <w:tcW w:w="879" w:type="pct"/>
            <w:shd w:val="clear" w:color="auto" w:fill="auto"/>
          </w:tcPr>
          <w:p w14:paraId="77E03427" w14:textId="31D4B2F4" w:rsidR="00A862C3" w:rsidRPr="005C29F8" w:rsidRDefault="002B7490" w:rsidP="00A018D4">
            <w:pPr>
              <w:jc w:val="center"/>
              <w:rPr>
                <w:rFonts w:cs="Arial"/>
                <w:color w:val="000000" w:themeColor="text1"/>
                <w:szCs w:val="16"/>
              </w:rPr>
            </w:pPr>
            <w:r w:rsidRPr="005C29F8">
              <w:rPr>
                <w:rFonts w:cs="Arial"/>
                <w:color w:val="000000" w:themeColor="text1"/>
                <w:szCs w:val="16"/>
              </w:rPr>
              <w:t>378</w:t>
            </w:r>
          </w:p>
        </w:tc>
        <w:tc>
          <w:tcPr>
            <w:tcW w:w="634" w:type="pct"/>
            <w:shd w:val="clear" w:color="auto" w:fill="auto"/>
          </w:tcPr>
          <w:p w14:paraId="12EAED8C" w14:textId="23973C25" w:rsidR="00A862C3" w:rsidRPr="005C29F8" w:rsidRDefault="002B7490" w:rsidP="00A018D4">
            <w:pPr>
              <w:jc w:val="center"/>
              <w:rPr>
                <w:rFonts w:cs="Arial"/>
                <w:color w:val="000000" w:themeColor="text1"/>
                <w:szCs w:val="16"/>
              </w:rPr>
            </w:pPr>
            <w:r w:rsidRPr="005C29F8">
              <w:rPr>
                <w:rFonts w:cs="Arial"/>
                <w:color w:val="000000" w:themeColor="text1"/>
                <w:szCs w:val="16"/>
              </w:rPr>
              <w:t>1.08%</w:t>
            </w:r>
          </w:p>
        </w:tc>
        <w:tc>
          <w:tcPr>
            <w:tcW w:w="876" w:type="pct"/>
            <w:shd w:val="clear" w:color="auto" w:fill="auto"/>
          </w:tcPr>
          <w:p w14:paraId="0310AC78" w14:textId="48F7D944" w:rsidR="00A862C3"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584" w:type="pct"/>
            <w:shd w:val="clear" w:color="auto" w:fill="auto"/>
          </w:tcPr>
          <w:p w14:paraId="411F4E7C" w14:textId="0AFD7B4B" w:rsidR="00A862C3" w:rsidRPr="005C29F8" w:rsidRDefault="002B7490" w:rsidP="00A018D4">
            <w:pPr>
              <w:jc w:val="center"/>
              <w:rPr>
                <w:rFonts w:cs="Arial"/>
                <w:color w:val="000000" w:themeColor="text1"/>
                <w:szCs w:val="16"/>
              </w:rPr>
            </w:pPr>
            <w:r w:rsidRPr="005C29F8">
              <w:rPr>
                <w:rFonts w:cs="Arial"/>
                <w:color w:val="000000" w:themeColor="text1"/>
                <w:szCs w:val="16"/>
              </w:rPr>
              <w:t>1.06%</w:t>
            </w:r>
          </w:p>
        </w:tc>
        <w:tc>
          <w:tcPr>
            <w:tcW w:w="667" w:type="pct"/>
            <w:shd w:val="clear" w:color="auto" w:fill="auto"/>
          </w:tcPr>
          <w:p w14:paraId="000F74CB" w14:textId="0986D493" w:rsidR="00A862C3"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707" w:type="pct"/>
            <w:shd w:val="clear" w:color="auto" w:fill="auto"/>
          </w:tcPr>
          <w:p w14:paraId="69708C33" w14:textId="1D4517AD" w:rsidR="00A862C3"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bl>
    <w:p w14:paraId="278EEC3E" w14:textId="77777777" w:rsidR="006D741F" w:rsidRPr="005C29F8" w:rsidRDefault="00082667" w:rsidP="00286BDF">
      <w:pPr>
        <w:rPr>
          <w:rFonts w:cs="Arial"/>
          <w:b/>
          <w:color w:val="000000" w:themeColor="text1"/>
          <w:szCs w:val="16"/>
        </w:rPr>
      </w:pPr>
      <w:r w:rsidRPr="005C29F8">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5C29F8" w:rsidRDefault="002B7490" w:rsidP="00286BDF">
      <w:pPr>
        <w:rPr>
          <w:rFonts w:cs="Arial"/>
          <w:color w:val="000000" w:themeColor="text1"/>
          <w:szCs w:val="16"/>
        </w:rPr>
      </w:pPr>
      <w:r w:rsidRPr="005C29F8">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5C29F8" w:rsidRDefault="00082667" w:rsidP="00286BDF">
      <w:pPr>
        <w:rPr>
          <w:rFonts w:cs="Arial"/>
          <w:b/>
          <w:color w:val="000000" w:themeColor="text1"/>
          <w:szCs w:val="16"/>
        </w:rPr>
      </w:pPr>
      <w:r w:rsidRPr="005C29F8">
        <w:rPr>
          <w:rFonts w:cs="Arial"/>
          <w:b/>
          <w:color w:val="000000" w:themeColor="text1"/>
          <w:szCs w:val="16"/>
        </w:rPr>
        <w:t>State’s definition of “significant discrepancy” and methodology</w:t>
      </w:r>
    </w:p>
    <w:p w14:paraId="37248070" w14:textId="1657C005" w:rsidR="00A869E9" w:rsidRPr="005C29F8" w:rsidRDefault="002B7490" w:rsidP="0085119E">
      <w:pPr>
        <w:rPr>
          <w:rFonts w:cs="Arial"/>
          <w:color w:val="000000" w:themeColor="text1"/>
          <w:szCs w:val="16"/>
        </w:rPr>
      </w:pPr>
      <w:r w:rsidRPr="005C29F8">
        <w:rPr>
          <w:rFonts w:cs="Arial"/>
          <w:color w:val="000000" w:themeColor="text1"/>
          <w:szCs w:val="16"/>
        </w:rPr>
        <w:t xml:space="preserve">The State’s definition of “significant discrepancy” and methodology is the number of districts with five times the State's rate of suspension and expulsion for more than 10 days for students with IEPs divided by the number of districts that met the “n” size of 30 multiplied by 100. Districts who meet the criteria of “n” size requirements and have a discrepancy rate of five times the state average for two consecutive years are found to have a significant discrepancy. Because of the data lag required for indicator 4 reporting, data reported here is reviewed for the 2017-2018 and 2018-2019 school years. The 2018 average for suspension or expulsion for greater than 10 days for all students at 0.006%. Districts that suspended students with disabilities at five times this rate, 0.029, were found to have a discrepancy in that year. For the FFY 19, 2018-2019 school year, the overall State average for suspension or expulsion for greater than 10 days for all students was 0.006%. Districts that suspended students with disabilities at five times this rate, 0.031, were found to have a discrepancy in that year. Districts meeting these criteria for both FFY 2018 and 2019 (two consecutive years) were identified as having a significant discrepancy. Overall, four (1.00%) of school districts have a significant discrepancy during this reporting year. Discipline data are reported by the school districts to MA DESE using the School Safety and Discipline Report (SSDR). The SSDR includes all incidents involving bullying, drug, violent, or crime-related offenses on school property and any other offenses that result in a disciplinary action that removes the student from the regular educational environment, including both in- and out-of-school suspensions. </w:t>
      </w:r>
      <w:r w:rsidRPr="005C29F8">
        <w:rPr>
          <w:rFonts w:cs="Arial"/>
          <w:color w:val="000000" w:themeColor="text1"/>
          <w:szCs w:val="16"/>
        </w:rPr>
        <w:br/>
      </w:r>
      <w:r w:rsidRPr="005C29F8">
        <w:rPr>
          <w:rFonts w:cs="Arial"/>
          <w:color w:val="000000" w:themeColor="text1"/>
          <w:szCs w:val="16"/>
        </w:rPr>
        <w:br/>
        <w:t>Out of the 406 LEAs in operation, only 378 met the “n” size requirement. Twenty-eight (28) did not meet the state established “n” size. Of the 406 districts meeting the criteria, 4 districts (1.06%) were found to have a discrepancy for two consecutive years.</w:t>
      </w:r>
    </w:p>
    <w:p w14:paraId="47F07052" w14:textId="77777777" w:rsidR="00BB504D" w:rsidRPr="005C29F8" w:rsidRDefault="00BB504D" w:rsidP="004369B2">
      <w:pPr>
        <w:rPr>
          <w:b/>
          <w:color w:val="000000" w:themeColor="text1"/>
        </w:rPr>
      </w:pPr>
      <w:bookmarkStart w:id="23" w:name="_Toc384383334"/>
      <w:bookmarkStart w:id="24" w:name="_Toc392159286"/>
      <w:r w:rsidRPr="005C29F8">
        <w:rPr>
          <w:b/>
          <w:color w:val="000000" w:themeColor="text1"/>
        </w:rPr>
        <w:t>Provide additional information about this indicator (optional)</w:t>
      </w:r>
    </w:p>
    <w:p w14:paraId="0275E470" w14:textId="5748926D" w:rsidR="00A869E9" w:rsidRPr="005C29F8" w:rsidRDefault="00A869E9" w:rsidP="000E33D0">
      <w:pPr>
        <w:rPr>
          <w:rFonts w:cs="Arial"/>
          <w:color w:val="000000" w:themeColor="text1"/>
          <w:szCs w:val="16"/>
        </w:rPr>
      </w:pPr>
    </w:p>
    <w:bookmarkEnd w:id="23"/>
    <w:bookmarkEnd w:id="24"/>
    <w:p w14:paraId="227CCB46" w14:textId="77777777" w:rsidR="007E6F97" w:rsidRPr="005C29F8" w:rsidRDefault="007E6F97" w:rsidP="004369B2">
      <w:pPr>
        <w:rPr>
          <w:color w:val="000000" w:themeColor="text1"/>
        </w:rPr>
      </w:pPr>
    </w:p>
    <w:p w14:paraId="3F63E777" w14:textId="3DD4967A" w:rsidR="00082667" w:rsidRPr="005C29F8" w:rsidRDefault="00082667" w:rsidP="004369B2">
      <w:pPr>
        <w:rPr>
          <w:color w:val="000000" w:themeColor="text1"/>
        </w:rPr>
      </w:pPr>
      <w:r w:rsidRPr="005C29F8">
        <w:rPr>
          <w:b/>
          <w:color w:val="000000" w:themeColor="text1"/>
        </w:rPr>
        <w:t>Review of Policies, Procedures, and Practices (completed in FFY 2019 using 2018-2019 data)</w:t>
      </w:r>
    </w:p>
    <w:p w14:paraId="76B39D83" w14:textId="1E1AB613" w:rsidR="00082667" w:rsidRPr="005C29F8" w:rsidRDefault="00571EAB" w:rsidP="00162F4A">
      <w:pPr>
        <w:rPr>
          <w:b/>
          <w:color w:val="000000" w:themeColor="text1"/>
        </w:rPr>
      </w:pPr>
      <w:r w:rsidRPr="005C29F8">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5C29F8" w:rsidRDefault="002B7490" w:rsidP="00082667">
      <w:pPr>
        <w:rPr>
          <w:rFonts w:cs="Arial"/>
          <w:color w:val="000000" w:themeColor="text1"/>
          <w:szCs w:val="16"/>
        </w:rPr>
      </w:pPr>
      <w:r w:rsidRPr="005C29F8">
        <w:rPr>
          <w:rFonts w:cs="Arial"/>
          <w:color w:val="000000" w:themeColor="text1"/>
          <w:szCs w:val="16"/>
        </w:rPr>
        <w:t xml:space="preserve">MA DESE uses the same methodology for reviewing policies, practices and procedures (PPPs) for LEAs identified as significant discrepancies in Indicators 4A and 4B. </w:t>
      </w:r>
      <w:r w:rsidRPr="005C29F8">
        <w:rPr>
          <w:rFonts w:cs="Arial"/>
          <w:color w:val="000000" w:themeColor="text1"/>
          <w:szCs w:val="16"/>
        </w:rPr>
        <w:br/>
      </w:r>
      <w:r w:rsidRPr="005C29F8">
        <w:rPr>
          <w:rFonts w:cs="Arial"/>
          <w:color w:val="000000" w:themeColor="text1"/>
          <w:szCs w:val="16"/>
        </w:rPr>
        <w:br/>
        <w:t xml:space="preserve">Assessing the appropriateness of the PPPs regarding the development and implementation of IEPs, the use of positive behavioral and instructional interventions and supports, and procedural safeguards has been a coordinated and collaborative process among several offices at MA DESE. MA DESE verifies compliance of LEAs PPPs through its monitoring review process, including special education monitoring criteria that addresses these focus areas, MA DESE also assesses corrective action reports and progress reports completed by LEAs in all other areas of identified noncompliance to assesses whether the non-compliance contributed to the discrepancy in indicators 4A and 4B. Any deficiencies in the PPPs must be corrected by the LEA within one year from date of notification and the LEA must submit evidence of the corrections to MA DESE for verification. </w:t>
      </w:r>
      <w:r w:rsidRPr="005C29F8">
        <w:rPr>
          <w:rFonts w:cs="Arial"/>
          <w:color w:val="000000" w:themeColor="text1"/>
          <w:szCs w:val="16"/>
        </w:rPr>
        <w:br/>
      </w:r>
      <w:r w:rsidRPr="005C29F8">
        <w:rPr>
          <w:rFonts w:cs="Arial"/>
          <w:color w:val="000000" w:themeColor="text1"/>
          <w:szCs w:val="16"/>
        </w:rPr>
        <w:br/>
      </w:r>
      <w:r w:rsidRPr="005C29F8">
        <w:rPr>
          <w:rFonts w:cs="Arial"/>
          <w:color w:val="000000" w:themeColor="text1"/>
          <w:szCs w:val="16"/>
        </w:rPr>
        <w:lastRenderedPageBreak/>
        <w:t xml:space="preserve"> </w:t>
      </w:r>
      <w:r w:rsidRPr="005C29F8">
        <w:rPr>
          <w:rFonts w:cs="Arial"/>
          <w:color w:val="000000" w:themeColor="text1"/>
          <w:szCs w:val="16"/>
        </w:rPr>
        <w:br/>
        <w:t xml:space="preserve">In this focused process. MA DESE verified that four LEAs identified as having significant discrepancy through data analysis compliant with the IDEA but zero instances of noncompliance in relation to policies, practices, and procedures. Nonetheless, MA DESE will support their participation in the Rethinking Discipline Professional Learning Network (targeted assistance conversations with staff from the MA DESE Offices of Student and Family Support, Special Education Planning and Policy, and Charter Schools and School Redesign. This engagement included discussion of district-specific data, as well as information about successful strategies that LEAs have implemented and challenges they are facing related to student discipline practice.) to provide for reflection on policies, practices, and procedures in order to support students on IEPS and reduce the use of disciplinary removal. </w:t>
      </w:r>
      <w:r w:rsidRPr="005C29F8">
        <w:rPr>
          <w:rFonts w:cs="Arial"/>
          <w:color w:val="000000" w:themeColor="text1"/>
          <w:szCs w:val="16"/>
        </w:rPr>
        <w:br/>
        <w:t>?</w:t>
      </w:r>
    </w:p>
    <w:p w14:paraId="47497C41" w14:textId="77777777" w:rsidR="003B64C0" w:rsidRPr="005C29F8" w:rsidRDefault="003B64C0" w:rsidP="00082667">
      <w:pPr>
        <w:rPr>
          <w:rFonts w:cs="Arial"/>
          <w:color w:val="000000" w:themeColor="text1"/>
          <w:szCs w:val="16"/>
        </w:rPr>
      </w:pPr>
    </w:p>
    <w:p w14:paraId="38E1E629" w14:textId="1EF02333" w:rsidR="003B64C0" w:rsidRDefault="003B64C0" w:rsidP="00082667">
      <w:pPr>
        <w:rPr>
          <w:rFonts w:cs="Arial"/>
          <w:color w:val="000000" w:themeColor="text1"/>
          <w:szCs w:val="16"/>
        </w:rPr>
      </w:pPr>
      <w:r w:rsidRPr="005C29F8">
        <w:rPr>
          <w:rFonts w:cs="Arial"/>
          <w:color w:val="000000" w:themeColor="text1"/>
          <w:szCs w:val="16"/>
        </w:rPr>
        <w:t>The State DID NOT identify noncompliance with Part B requirements as a result of the review required by 34 CFR §300.170(b)</w:t>
      </w:r>
    </w:p>
    <w:p w14:paraId="1295BAEB" w14:textId="77777777" w:rsidR="007E6F97" w:rsidRPr="005C29F8" w:rsidRDefault="007E6F97" w:rsidP="004369B2">
      <w:pPr>
        <w:rPr>
          <w:color w:val="000000" w:themeColor="text1"/>
        </w:rPr>
      </w:pPr>
      <w:bookmarkStart w:id="25" w:name="_Toc381956335"/>
      <w:bookmarkStart w:id="26" w:name="_Toc384383336"/>
      <w:bookmarkStart w:id="27" w:name="_Toc392159288"/>
    </w:p>
    <w:p w14:paraId="0496594E" w14:textId="1F9DAA34" w:rsidR="00B9048A" w:rsidRPr="005C29F8" w:rsidRDefault="00B9048A" w:rsidP="004369B2">
      <w:pPr>
        <w:rPr>
          <w:color w:val="000000" w:themeColor="text1"/>
        </w:rPr>
      </w:pPr>
      <w:r w:rsidRPr="005C29F8">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5C29F8" w14:paraId="5E5B522D" w14:textId="77777777" w:rsidTr="000D3273">
        <w:trPr>
          <w:trHeight w:val="389"/>
          <w:tblHeader/>
        </w:trPr>
        <w:tc>
          <w:tcPr>
            <w:tcW w:w="1211" w:type="pct"/>
            <w:shd w:val="clear" w:color="auto" w:fill="auto"/>
            <w:vAlign w:val="bottom"/>
          </w:tcPr>
          <w:p w14:paraId="16ECB6B7" w14:textId="77777777" w:rsidR="00B9048A" w:rsidRPr="005C29F8" w:rsidRDefault="00B9048A" w:rsidP="001F692C">
            <w:pPr>
              <w:jc w:val="center"/>
              <w:rPr>
                <w:rFonts w:cs="Arial"/>
                <w:b/>
                <w:color w:val="000000" w:themeColor="text1"/>
                <w:szCs w:val="16"/>
              </w:rPr>
            </w:pPr>
            <w:r w:rsidRPr="005C29F8">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5C29F8" w:rsidRDefault="00B9048A" w:rsidP="001F692C">
            <w:pPr>
              <w:jc w:val="center"/>
              <w:rPr>
                <w:rFonts w:cs="Arial"/>
                <w:b/>
                <w:color w:val="000000" w:themeColor="text1"/>
                <w:szCs w:val="16"/>
              </w:rPr>
            </w:pPr>
            <w:r w:rsidRPr="005C29F8">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5C29F8" w:rsidRDefault="00B9048A" w:rsidP="001F692C">
            <w:pPr>
              <w:jc w:val="center"/>
              <w:rPr>
                <w:rFonts w:cs="Arial"/>
                <w:b/>
                <w:color w:val="000000" w:themeColor="text1"/>
                <w:szCs w:val="16"/>
              </w:rPr>
            </w:pPr>
            <w:r w:rsidRPr="005C29F8">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5C29F8" w:rsidRDefault="00B9048A" w:rsidP="001F692C">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41836014" w14:textId="77777777" w:rsidTr="000D3273">
        <w:tc>
          <w:tcPr>
            <w:tcW w:w="1211" w:type="pct"/>
            <w:shd w:val="clear" w:color="auto" w:fill="auto"/>
          </w:tcPr>
          <w:p w14:paraId="706C7C42" w14:textId="616D64A9" w:rsidR="00B9048A" w:rsidRPr="005C29F8" w:rsidRDefault="00B9048A" w:rsidP="00A018D4">
            <w:pPr>
              <w:jc w:val="center"/>
              <w:rPr>
                <w:rFonts w:cs="Arial"/>
                <w:color w:val="000000" w:themeColor="text1"/>
                <w:szCs w:val="16"/>
              </w:rPr>
            </w:pPr>
          </w:p>
        </w:tc>
        <w:tc>
          <w:tcPr>
            <w:tcW w:w="1271" w:type="pct"/>
            <w:shd w:val="clear" w:color="auto" w:fill="auto"/>
          </w:tcPr>
          <w:p w14:paraId="0CE7F01B" w14:textId="4009BBFE" w:rsidR="00B9048A" w:rsidRPr="005C29F8" w:rsidRDefault="00B9048A" w:rsidP="00A018D4">
            <w:pPr>
              <w:jc w:val="center"/>
              <w:rPr>
                <w:rFonts w:cs="Arial"/>
                <w:color w:val="000000" w:themeColor="text1"/>
                <w:szCs w:val="16"/>
              </w:rPr>
            </w:pPr>
          </w:p>
        </w:tc>
        <w:tc>
          <w:tcPr>
            <w:tcW w:w="1214" w:type="pct"/>
            <w:shd w:val="clear" w:color="auto" w:fill="auto"/>
          </w:tcPr>
          <w:p w14:paraId="38F306AA" w14:textId="2CC74FE3" w:rsidR="00B9048A" w:rsidRPr="005C29F8" w:rsidRDefault="00B9048A" w:rsidP="00A018D4">
            <w:pPr>
              <w:jc w:val="center"/>
              <w:rPr>
                <w:rFonts w:cs="Arial"/>
                <w:color w:val="000000" w:themeColor="text1"/>
                <w:szCs w:val="16"/>
              </w:rPr>
            </w:pPr>
          </w:p>
        </w:tc>
        <w:tc>
          <w:tcPr>
            <w:tcW w:w="1304" w:type="pct"/>
            <w:shd w:val="clear" w:color="auto" w:fill="auto"/>
          </w:tcPr>
          <w:p w14:paraId="5E536CD7" w14:textId="387A8666" w:rsidR="00B9048A" w:rsidRPr="005C29F8" w:rsidRDefault="00B9048A" w:rsidP="00A018D4">
            <w:pPr>
              <w:jc w:val="center"/>
              <w:rPr>
                <w:rFonts w:cs="Arial"/>
                <w:color w:val="000000" w:themeColor="text1"/>
                <w:szCs w:val="16"/>
              </w:rPr>
            </w:pPr>
          </w:p>
        </w:tc>
      </w:tr>
    </w:tbl>
    <w:p w14:paraId="6809AF49" w14:textId="411E5FA6" w:rsidR="00B9048A" w:rsidRPr="005C29F8" w:rsidRDefault="00B9048A" w:rsidP="004369B2">
      <w:pPr>
        <w:rPr>
          <w:color w:val="000000" w:themeColor="text1"/>
        </w:rPr>
      </w:pPr>
      <w:r w:rsidRPr="005C29F8">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5C29F8" w14:paraId="6E94B7A5" w14:textId="77777777" w:rsidTr="00AB0D6A">
        <w:trPr>
          <w:tblHeader/>
        </w:trPr>
        <w:tc>
          <w:tcPr>
            <w:tcW w:w="1027" w:type="pct"/>
            <w:shd w:val="clear" w:color="auto" w:fill="auto"/>
            <w:vAlign w:val="bottom"/>
          </w:tcPr>
          <w:p w14:paraId="673CA265" w14:textId="007E8E78" w:rsidR="00B9048A" w:rsidRPr="005C29F8" w:rsidRDefault="0016730D" w:rsidP="001F692C">
            <w:pPr>
              <w:jc w:val="center"/>
              <w:rPr>
                <w:rFonts w:cs="Arial"/>
                <w:b/>
                <w:color w:val="000000" w:themeColor="text1"/>
                <w:szCs w:val="16"/>
              </w:rPr>
            </w:pPr>
            <w:r w:rsidRPr="005C29F8">
              <w:rPr>
                <w:rFonts w:cs="Arial"/>
                <w:b/>
                <w:color w:val="000000" w:themeColor="text1"/>
                <w:szCs w:val="16"/>
              </w:rPr>
              <w:t>Year Findings of Noncompliance Were Identified</w:t>
            </w:r>
          </w:p>
        </w:tc>
        <w:tc>
          <w:tcPr>
            <w:tcW w:w="1354" w:type="pct"/>
            <w:shd w:val="clear" w:color="auto" w:fill="auto"/>
            <w:vAlign w:val="bottom"/>
          </w:tcPr>
          <w:p w14:paraId="1C2EE691" w14:textId="45482A7D" w:rsidR="00B9048A" w:rsidRPr="005C29F8" w:rsidRDefault="00B9048A" w:rsidP="001F692C">
            <w:pPr>
              <w:jc w:val="center"/>
              <w:rPr>
                <w:rFonts w:cs="Arial"/>
                <w:b/>
                <w:color w:val="000000" w:themeColor="text1"/>
                <w:szCs w:val="16"/>
              </w:rPr>
            </w:pPr>
            <w:r w:rsidRPr="005C29F8">
              <w:rPr>
                <w:rFonts w:cs="Arial"/>
                <w:b/>
                <w:color w:val="000000" w:themeColor="text1"/>
                <w:szCs w:val="16"/>
              </w:rPr>
              <w:t>Findings of Noncompliance Not Yet Verified as Corrected as of FFY 2018 APR</w:t>
            </w:r>
          </w:p>
        </w:tc>
        <w:tc>
          <w:tcPr>
            <w:tcW w:w="1350" w:type="pct"/>
            <w:shd w:val="clear" w:color="auto" w:fill="auto"/>
            <w:vAlign w:val="bottom"/>
          </w:tcPr>
          <w:p w14:paraId="4E501567" w14:textId="77777777" w:rsidR="00B9048A" w:rsidRPr="005C29F8" w:rsidRDefault="00B9048A" w:rsidP="001F692C">
            <w:pPr>
              <w:jc w:val="center"/>
              <w:rPr>
                <w:rFonts w:cs="Arial"/>
                <w:b/>
                <w:color w:val="000000" w:themeColor="text1"/>
                <w:szCs w:val="16"/>
              </w:rPr>
            </w:pPr>
            <w:r w:rsidRPr="005C29F8">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5C29F8" w:rsidRDefault="00B9048A" w:rsidP="001F692C">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280087A2" w14:textId="77777777" w:rsidTr="00AB0D6A">
        <w:tc>
          <w:tcPr>
            <w:tcW w:w="1027" w:type="pct"/>
            <w:shd w:val="clear" w:color="auto" w:fill="auto"/>
          </w:tcPr>
          <w:p w14:paraId="5A5634D8" w14:textId="5AC3BEAC" w:rsidR="000C7B90" w:rsidRPr="005C29F8"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5C29F8" w:rsidRDefault="000C7B90">
            <w:pPr>
              <w:jc w:val="center"/>
              <w:rPr>
                <w:rFonts w:cs="Arial"/>
                <w:noProof/>
                <w:color w:val="000000" w:themeColor="text1"/>
                <w:szCs w:val="16"/>
              </w:rPr>
            </w:pPr>
          </w:p>
        </w:tc>
        <w:tc>
          <w:tcPr>
            <w:tcW w:w="1350" w:type="pct"/>
            <w:shd w:val="clear" w:color="auto" w:fill="auto"/>
          </w:tcPr>
          <w:p w14:paraId="0F44D03C" w14:textId="3887F715" w:rsidR="000C7B90" w:rsidRPr="005C29F8" w:rsidRDefault="000C7B90">
            <w:pPr>
              <w:jc w:val="center"/>
              <w:rPr>
                <w:rFonts w:cs="Arial"/>
                <w:noProof/>
                <w:color w:val="000000" w:themeColor="text1"/>
                <w:szCs w:val="16"/>
              </w:rPr>
            </w:pPr>
          </w:p>
        </w:tc>
        <w:tc>
          <w:tcPr>
            <w:tcW w:w="1269" w:type="pct"/>
            <w:shd w:val="clear" w:color="auto" w:fill="auto"/>
          </w:tcPr>
          <w:p w14:paraId="5DF55667" w14:textId="0913E6B4" w:rsidR="000C7B90" w:rsidRPr="005C29F8" w:rsidRDefault="000C7B90">
            <w:pPr>
              <w:jc w:val="center"/>
              <w:rPr>
                <w:rFonts w:cs="Arial"/>
                <w:noProof/>
                <w:color w:val="000000" w:themeColor="text1"/>
                <w:szCs w:val="16"/>
              </w:rPr>
            </w:pPr>
          </w:p>
        </w:tc>
      </w:tr>
      <w:tr w:rsidR="005C29F8" w:rsidRPr="005C29F8" w14:paraId="3BB76F7F" w14:textId="77777777" w:rsidTr="00AB0D6A">
        <w:tc>
          <w:tcPr>
            <w:tcW w:w="1027" w:type="pct"/>
            <w:shd w:val="clear" w:color="auto" w:fill="auto"/>
          </w:tcPr>
          <w:p w14:paraId="3E53BDFC" w14:textId="49B50F7D" w:rsidR="000C7B90" w:rsidRPr="005C29F8"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5C29F8" w:rsidRDefault="000C7B90">
            <w:pPr>
              <w:jc w:val="center"/>
              <w:rPr>
                <w:rFonts w:cs="Arial"/>
                <w:noProof/>
                <w:color w:val="000000" w:themeColor="text1"/>
                <w:szCs w:val="16"/>
              </w:rPr>
            </w:pPr>
          </w:p>
        </w:tc>
        <w:tc>
          <w:tcPr>
            <w:tcW w:w="1350" w:type="pct"/>
            <w:shd w:val="clear" w:color="auto" w:fill="auto"/>
          </w:tcPr>
          <w:p w14:paraId="45BEAE02" w14:textId="10E4F499" w:rsidR="000C7B90" w:rsidRPr="005C29F8" w:rsidRDefault="000C7B90">
            <w:pPr>
              <w:jc w:val="center"/>
              <w:rPr>
                <w:rFonts w:cs="Arial"/>
                <w:noProof/>
                <w:color w:val="000000" w:themeColor="text1"/>
                <w:szCs w:val="16"/>
              </w:rPr>
            </w:pPr>
          </w:p>
        </w:tc>
        <w:tc>
          <w:tcPr>
            <w:tcW w:w="1269" w:type="pct"/>
            <w:shd w:val="clear" w:color="auto" w:fill="auto"/>
          </w:tcPr>
          <w:p w14:paraId="3F264F27" w14:textId="46B36D97" w:rsidR="000C7B90" w:rsidRPr="005C29F8" w:rsidRDefault="000C7B90">
            <w:pPr>
              <w:jc w:val="center"/>
              <w:rPr>
                <w:rFonts w:cs="Arial"/>
                <w:noProof/>
                <w:color w:val="000000" w:themeColor="text1"/>
                <w:szCs w:val="16"/>
              </w:rPr>
            </w:pPr>
          </w:p>
        </w:tc>
      </w:tr>
      <w:tr w:rsidR="005C29F8" w:rsidRPr="005C29F8" w14:paraId="21B66B81" w14:textId="77777777" w:rsidTr="00AB0D6A">
        <w:tc>
          <w:tcPr>
            <w:tcW w:w="1027" w:type="pct"/>
            <w:shd w:val="clear" w:color="auto" w:fill="auto"/>
          </w:tcPr>
          <w:p w14:paraId="65918C5C" w14:textId="6650DAE7" w:rsidR="000C7B90" w:rsidRPr="005C29F8"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5C29F8" w:rsidRDefault="000C7B90">
            <w:pPr>
              <w:jc w:val="center"/>
              <w:rPr>
                <w:rFonts w:cs="Arial"/>
                <w:noProof/>
                <w:color w:val="000000" w:themeColor="text1"/>
                <w:szCs w:val="16"/>
              </w:rPr>
            </w:pPr>
          </w:p>
        </w:tc>
        <w:tc>
          <w:tcPr>
            <w:tcW w:w="1350" w:type="pct"/>
            <w:shd w:val="clear" w:color="auto" w:fill="auto"/>
          </w:tcPr>
          <w:p w14:paraId="12030336" w14:textId="25AE5462" w:rsidR="000C7B90" w:rsidRPr="005C29F8" w:rsidRDefault="000C7B90">
            <w:pPr>
              <w:jc w:val="center"/>
              <w:rPr>
                <w:rFonts w:cs="Arial"/>
                <w:noProof/>
                <w:color w:val="000000" w:themeColor="text1"/>
                <w:szCs w:val="16"/>
              </w:rPr>
            </w:pPr>
          </w:p>
        </w:tc>
        <w:tc>
          <w:tcPr>
            <w:tcW w:w="1269" w:type="pct"/>
            <w:shd w:val="clear" w:color="auto" w:fill="auto"/>
          </w:tcPr>
          <w:p w14:paraId="189EDDF9" w14:textId="00F3EE08" w:rsidR="000C7B90" w:rsidRPr="005C29F8" w:rsidRDefault="000C7B90">
            <w:pPr>
              <w:jc w:val="center"/>
              <w:rPr>
                <w:rFonts w:cs="Arial"/>
                <w:noProof/>
                <w:color w:val="000000" w:themeColor="text1"/>
                <w:szCs w:val="16"/>
              </w:rPr>
            </w:pPr>
          </w:p>
        </w:tc>
      </w:tr>
    </w:tbl>
    <w:p w14:paraId="21AE82C7" w14:textId="33B9781C" w:rsidR="004E2151" w:rsidRPr="0033429D" w:rsidRDefault="00697434" w:rsidP="008645AD">
      <w:pPr>
        <w:pStyle w:val="Heading2"/>
      </w:pPr>
      <w:r w:rsidRPr="0033429D">
        <w:t>4A</w:t>
      </w:r>
      <w:r w:rsidR="00DA3C7A" w:rsidRPr="0033429D">
        <w:t xml:space="preserve"> </w:t>
      </w:r>
      <w:r w:rsidRPr="0033429D">
        <w:t xml:space="preserve">- </w:t>
      </w:r>
      <w:r w:rsidR="004E2151" w:rsidRPr="0033429D">
        <w:t>Prior FFY Required Actions</w:t>
      </w:r>
    </w:p>
    <w:p w14:paraId="3EDBC3E4" w14:textId="0BA98152" w:rsidR="004E2151" w:rsidRPr="005C29F8" w:rsidRDefault="002B7490" w:rsidP="004E2151">
      <w:pPr>
        <w:rPr>
          <w:rFonts w:cs="Arial"/>
          <w:color w:val="000000" w:themeColor="text1"/>
          <w:szCs w:val="16"/>
        </w:rPr>
      </w:pPr>
      <w:r w:rsidRPr="005C29F8">
        <w:rPr>
          <w:rFonts w:cs="Arial"/>
          <w:color w:val="000000" w:themeColor="text1"/>
          <w:szCs w:val="16"/>
        </w:rPr>
        <w:t>None</w:t>
      </w:r>
    </w:p>
    <w:p w14:paraId="54E863CC" w14:textId="77777777" w:rsidR="009B02BC" w:rsidRPr="005C29F8" w:rsidRDefault="009B02BC" w:rsidP="004E2151">
      <w:pPr>
        <w:rPr>
          <w:rFonts w:cs="Arial"/>
          <w:color w:val="000000" w:themeColor="text1"/>
          <w:szCs w:val="16"/>
        </w:rPr>
      </w:pPr>
    </w:p>
    <w:p w14:paraId="1480A7D2" w14:textId="5B38CB62" w:rsidR="009B02BC" w:rsidRPr="005C29F8" w:rsidRDefault="009B02BC" w:rsidP="004E2151">
      <w:pPr>
        <w:rPr>
          <w:rFonts w:cs="Arial"/>
          <w:color w:val="000000" w:themeColor="text1"/>
          <w:szCs w:val="16"/>
        </w:rPr>
      </w:pPr>
    </w:p>
    <w:p w14:paraId="537673C8" w14:textId="6D41A3A2" w:rsidR="005115D6" w:rsidRPr="0033429D" w:rsidRDefault="001E2193" w:rsidP="008645AD">
      <w:pPr>
        <w:pStyle w:val="Heading2"/>
      </w:pPr>
      <w:r w:rsidRPr="0033429D">
        <w:t>4A - OSEP Response</w:t>
      </w:r>
    </w:p>
    <w:p w14:paraId="6408916F" w14:textId="5ADBBBB9" w:rsidR="002D57DA" w:rsidRPr="005C29F8" w:rsidRDefault="002D57DA" w:rsidP="00212954">
      <w:pPr>
        <w:rPr>
          <w:rFonts w:cs="Arial"/>
          <w:color w:val="000000" w:themeColor="text1"/>
          <w:szCs w:val="16"/>
        </w:rPr>
      </w:pPr>
    </w:p>
    <w:p w14:paraId="146BDB91" w14:textId="0A2F7969" w:rsidR="005115D6" w:rsidRPr="0033429D" w:rsidRDefault="00697434" w:rsidP="008645AD">
      <w:pPr>
        <w:pStyle w:val="Heading2"/>
      </w:pPr>
      <w:r w:rsidRPr="0033429D">
        <w:t>4A - Required Actions</w:t>
      </w:r>
    </w:p>
    <w:p w14:paraId="37BECDFE" w14:textId="2A43AB88" w:rsidR="002D57DA" w:rsidRPr="005C29F8" w:rsidRDefault="002D57DA" w:rsidP="00212954">
      <w:pPr>
        <w:rPr>
          <w:rFonts w:cs="Arial"/>
          <w:color w:val="000000" w:themeColor="text1"/>
          <w:szCs w:val="16"/>
        </w:rPr>
      </w:pPr>
    </w:p>
    <w:p w14:paraId="5E6ED969" w14:textId="77777777" w:rsidR="00600E15" w:rsidRPr="005C29F8" w:rsidRDefault="00600E15">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658544B7" w14:textId="204E8DB3" w:rsidR="00D03701" w:rsidRPr="005C29F8" w:rsidRDefault="00D03701" w:rsidP="000444E2">
      <w:pPr>
        <w:pStyle w:val="Heading1"/>
        <w:rPr>
          <w:color w:val="000000" w:themeColor="text1"/>
          <w:sz w:val="22"/>
        </w:rPr>
      </w:pPr>
      <w:r w:rsidRPr="005C29F8">
        <w:rPr>
          <w:color w:val="000000" w:themeColor="text1"/>
          <w:sz w:val="22"/>
        </w:rPr>
        <w:lastRenderedPageBreak/>
        <w:t>Indicator 4B: Suspension/Expulsion</w:t>
      </w:r>
      <w:bookmarkEnd w:id="25"/>
      <w:bookmarkEnd w:id="26"/>
      <w:bookmarkEnd w:id="27"/>
    </w:p>
    <w:p w14:paraId="1BA30D93" w14:textId="77777777" w:rsidR="008637F8" w:rsidRPr="005C29F8" w:rsidRDefault="008637F8" w:rsidP="00A018D4">
      <w:pPr>
        <w:rPr>
          <w:color w:val="000000" w:themeColor="text1"/>
          <w:szCs w:val="20"/>
        </w:rPr>
      </w:pPr>
      <w:bookmarkStart w:id="28" w:name="_Toc384383338"/>
      <w:bookmarkStart w:id="29" w:name="_Toc392159290"/>
      <w:r w:rsidRPr="005C29F8">
        <w:rPr>
          <w:b/>
          <w:color w:val="000000" w:themeColor="text1"/>
          <w:sz w:val="20"/>
          <w:szCs w:val="20"/>
        </w:rPr>
        <w:t xml:space="preserve">Instructions and Measurement </w:t>
      </w:r>
    </w:p>
    <w:p w14:paraId="0904D95C" w14:textId="6ABD6544" w:rsidR="00413366" w:rsidRPr="005C29F8" w:rsidRDefault="00413366" w:rsidP="004369B2">
      <w:pPr>
        <w:rPr>
          <w:color w:val="000000" w:themeColor="text1"/>
        </w:rPr>
      </w:pPr>
      <w:r w:rsidRPr="005C29F8">
        <w:rPr>
          <w:b/>
          <w:color w:val="000000" w:themeColor="text1"/>
        </w:rPr>
        <w:t>Monitoring Priority:</w:t>
      </w:r>
      <w:r w:rsidRPr="005C29F8">
        <w:rPr>
          <w:color w:val="000000" w:themeColor="text1"/>
        </w:rPr>
        <w:t xml:space="preserve"> FAPE in the LRE</w:t>
      </w:r>
    </w:p>
    <w:p w14:paraId="7516B53F" w14:textId="25CEE127" w:rsidR="00413366" w:rsidRPr="005C29F8" w:rsidRDefault="00C56D79" w:rsidP="009A755E">
      <w:pPr>
        <w:rPr>
          <w:rFonts w:cs="Arial"/>
          <w:color w:val="000000" w:themeColor="text1"/>
          <w:szCs w:val="16"/>
        </w:rPr>
      </w:pPr>
      <w:r>
        <w:rPr>
          <w:rFonts w:cs="Arial"/>
          <w:b/>
          <w:color w:val="000000" w:themeColor="text1"/>
          <w:szCs w:val="16"/>
        </w:rPr>
        <w:t>Compliance Indicator:</w:t>
      </w:r>
      <w:r w:rsidR="009A755E" w:rsidRPr="005C29F8">
        <w:rPr>
          <w:rFonts w:cs="Arial"/>
          <w:color w:val="000000" w:themeColor="text1"/>
          <w:szCs w:val="16"/>
        </w:rPr>
        <w:t xml:space="preserve"> </w:t>
      </w:r>
      <w:r w:rsidR="00413366" w:rsidRPr="005C29F8">
        <w:rPr>
          <w:rFonts w:cs="Arial"/>
          <w:color w:val="000000" w:themeColor="text1"/>
          <w:szCs w:val="16"/>
        </w:rPr>
        <w:t>Rates of suspension and expulsion:</w:t>
      </w:r>
    </w:p>
    <w:p w14:paraId="021F68CD" w14:textId="57DFF211" w:rsidR="00413366" w:rsidRPr="005C29F8" w:rsidRDefault="001D5BAF" w:rsidP="006A01BD">
      <w:pPr>
        <w:ind w:left="720"/>
        <w:rPr>
          <w:rFonts w:cs="Arial"/>
          <w:color w:val="000000" w:themeColor="text1"/>
          <w:szCs w:val="16"/>
        </w:rPr>
      </w:pPr>
      <w:r w:rsidRPr="005C29F8">
        <w:rPr>
          <w:rFonts w:cs="Arial"/>
          <w:color w:val="000000" w:themeColor="text1"/>
          <w:szCs w:val="16"/>
        </w:rPr>
        <w:t>B. Percent of districts that have: (a) a significant discrepancy, by race or ethnicity</w:t>
      </w:r>
      <w:r w:rsidR="00413366" w:rsidRPr="005C29F8">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 and do not comply with requirements relating to the development and implementation of IEPs, the use of positive behavioral interventions and supports, and procedural safeguards.</w:t>
      </w:r>
    </w:p>
    <w:p w14:paraId="7034F485" w14:textId="41B53DB5" w:rsidR="0011074D" w:rsidRPr="005C29F8" w:rsidRDefault="0011074D" w:rsidP="0011074D">
      <w:pPr>
        <w:rPr>
          <w:rFonts w:cs="Arial"/>
          <w:color w:val="000000" w:themeColor="text1"/>
          <w:szCs w:val="16"/>
        </w:rPr>
      </w:pPr>
      <w:r w:rsidRPr="005C29F8">
        <w:rPr>
          <w:rFonts w:cs="Arial"/>
          <w:color w:val="000000" w:themeColor="text1"/>
          <w:szCs w:val="16"/>
        </w:rPr>
        <w:t>(20 U.S.C. 1416(a)(3)(A); 1412(a)(22))</w:t>
      </w:r>
    </w:p>
    <w:p w14:paraId="5F946B13" w14:textId="77777777" w:rsidR="00413366" w:rsidRPr="005C29F8" w:rsidRDefault="00413366" w:rsidP="004369B2">
      <w:pPr>
        <w:rPr>
          <w:color w:val="000000" w:themeColor="text1"/>
        </w:rPr>
      </w:pPr>
      <w:r w:rsidRPr="005C29F8">
        <w:rPr>
          <w:b/>
          <w:color w:val="000000" w:themeColor="text1"/>
        </w:rPr>
        <w:t>Data Source</w:t>
      </w:r>
    </w:p>
    <w:p w14:paraId="5BDC9967" w14:textId="77777777" w:rsidR="00413366" w:rsidRPr="005C29F8" w:rsidRDefault="00413366" w:rsidP="00BB7BC9">
      <w:pPr>
        <w:rPr>
          <w:rFonts w:cs="Arial"/>
          <w:color w:val="000000" w:themeColor="text1"/>
          <w:szCs w:val="16"/>
        </w:rPr>
      </w:pPr>
      <w:r w:rsidRPr="005C29F8">
        <w:rPr>
          <w:rFonts w:cs="Arial"/>
          <w:color w:val="000000" w:themeColor="text1"/>
          <w:szCs w:val="16"/>
        </w:rPr>
        <w:t xml:space="preserve">State </w:t>
      </w:r>
      <w:r w:rsidRPr="005C29F8">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5C29F8" w:rsidRDefault="00413366" w:rsidP="004369B2">
      <w:pPr>
        <w:rPr>
          <w:color w:val="000000" w:themeColor="text1"/>
        </w:rPr>
      </w:pPr>
      <w:r w:rsidRPr="005C29F8">
        <w:rPr>
          <w:b/>
          <w:color w:val="000000" w:themeColor="text1"/>
        </w:rPr>
        <w:t>Measurement</w:t>
      </w:r>
    </w:p>
    <w:p w14:paraId="509BF292" w14:textId="10DB3525" w:rsidR="00413366" w:rsidRPr="005C29F8" w:rsidRDefault="00413366" w:rsidP="00286BDF">
      <w:pPr>
        <w:rPr>
          <w:rFonts w:cs="Arial"/>
          <w:color w:val="000000" w:themeColor="text1"/>
          <w:szCs w:val="16"/>
        </w:rPr>
      </w:pPr>
      <w:r w:rsidRPr="005C29F8">
        <w:rPr>
          <w:rFonts w:cs="Arial"/>
          <w:color w:val="000000" w:themeColor="text1"/>
          <w:szCs w:val="16"/>
        </w:rPr>
        <w:t xml:space="preserve">Percent </w:t>
      </w:r>
      <w:r w:rsidRPr="005C29F8">
        <w:rPr>
          <w:rFonts w:cs="Arial"/>
          <w:color w:val="000000" w:themeColor="text1"/>
          <w:szCs w:val="16"/>
          <w:shd w:val="clear" w:color="auto" w:fill="FFFFFF"/>
        </w:rPr>
        <w:t xml:space="preserve">= </w:t>
      </w:r>
      <w:r w:rsidR="00E726E2" w:rsidRPr="005C29F8">
        <w:rPr>
          <w:rFonts w:cs="Arial"/>
          <w:color w:val="000000" w:themeColor="text1"/>
          <w:szCs w:val="16"/>
          <w:shd w:val="clear" w:color="auto" w:fill="FFFFFF"/>
        </w:rPr>
        <w:t xml:space="preserve">[(# </w:t>
      </w:r>
      <w:r w:rsidRPr="005C29F8">
        <w:rPr>
          <w:rFonts w:cs="Arial"/>
          <w:color w:val="000000" w:themeColor="text1"/>
          <w:szCs w:val="16"/>
          <w:shd w:val="clear" w:color="auto" w:fill="FFFFFF"/>
        </w:rPr>
        <w:t>of districts that meet the State-established n size (if applicable) for one or more racial/ethnic groups that have: (a) a significant discrepancy, by race or ethnicity, in the rates of suspensions and expulsions of greater than 10 days in a school year of children with IEPs; and (b) policies, procedures or practices that contribute to the significant discrepancy and do not comply with requirements relating to the development and implementation of IEPs, the use of positive behavioral interventions and supports, and procedural safeguards) divided by the (# of districts in the State that meet the State-established n size (if applicable) for one or more racial/ethnic groups</w:t>
      </w:r>
      <w:r w:rsidR="00E726E2" w:rsidRPr="005C29F8">
        <w:rPr>
          <w:rFonts w:cs="Arial"/>
          <w:color w:val="000000" w:themeColor="text1"/>
          <w:szCs w:val="16"/>
          <w:shd w:val="clear" w:color="auto" w:fill="FFFFFF"/>
        </w:rPr>
        <w:t xml:space="preserve">)] </w:t>
      </w:r>
      <w:r w:rsidRPr="005C29F8">
        <w:rPr>
          <w:rFonts w:cs="Arial"/>
          <w:color w:val="000000" w:themeColor="text1"/>
          <w:szCs w:val="16"/>
          <w:shd w:val="clear" w:color="auto" w:fill="FFFFFF"/>
        </w:rPr>
        <w:t>times 100.</w:t>
      </w:r>
    </w:p>
    <w:p w14:paraId="09B5AE3F" w14:textId="77777777" w:rsidR="00413366" w:rsidRPr="005C29F8" w:rsidRDefault="00413366" w:rsidP="00286BDF">
      <w:pPr>
        <w:rPr>
          <w:rFonts w:cs="Arial"/>
          <w:color w:val="000000" w:themeColor="text1"/>
          <w:szCs w:val="16"/>
        </w:rPr>
      </w:pPr>
      <w:r w:rsidRPr="005C29F8">
        <w:rPr>
          <w:rFonts w:cs="Arial"/>
          <w:color w:val="000000" w:themeColor="text1"/>
          <w:szCs w:val="16"/>
          <w:shd w:val="clear" w:color="auto" w:fill="FFFFFF"/>
        </w:rPr>
        <w:t>Include State’s definition of “significant discrepancy.”</w:t>
      </w:r>
    </w:p>
    <w:p w14:paraId="19EA6D3F" w14:textId="77777777" w:rsidR="00413366" w:rsidRPr="005C29F8" w:rsidRDefault="00413366" w:rsidP="004369B2">
      <w:pPr>
        <w:rPr>
          <w:color w:val="000000" w:themeColor="text1"/>
        </w:rPr>
      </w:pPr>
      <w:r w:rsidRPr="005C29F8">
        <w:rPr>
          <w:b/>
          <w:color w:val="000000" w:themeColor="text1"/>
        </w:rPr>
        <w:t>Instructions</w:t>
      </w:r>
    </w:p>
    <w:p w14:paraId="516DD2DE" w14:textId="77777777" w:rsidR="00413366" w:rsidRPr="005C29F8" w:rsidRDefault="00413366" w:rsidP="00BB7BC9">
      <w:pPr>
        <w:rPr>
          <w:rFonts w:cs="Arial"/>
          <w:color w:val="000000" w:themeColor="text1"/>
          <w:szCs w:val="16"/>
        </w:rPr>
      </w:pPr>
      <w:r w:rsidRPr="005C29F8">
        <w:rPr>
          <w:rFonts w:cs="Arial"/>
          <w:color w:val="000000" w:themeColor="text1"/>
          <w:szCs w:val="16"/>
        </w:rPr>
        <w:t>If the State has established a minimum n size requirement, the State may only include, in both the numerator and the denominator, districts that met that State-established n size. If the State used a minimum n size requirement, report the number of districts excluded from the calculation as a result of this requirement.</w:t>
      </w:r>
    </w:p>
    <w:p w14:paraId="7D3F6556" w14:textId="7D96A206" w:rsidR="00413366" w:rsidRPr="005C29F8" w:rsidRDefault="0016730D" w:rsidP="00BB7BC9">
      <w:pPr>
        <w:rPr>
          <w:rFonts w:cs="Arial"/>
          <w:color w:val="000000" w:themeColor="text1"/>
          <w:szCs w:val="16"/>
        </w:rPr>
      </w:pPr>
      <w:r w:rsidRPr="005C29F8">
        <w:rPr>
          <w:rFonts w:cs="Arial"/>
          <w:color w:val="000000" w:themeColor="text1"/>
          <w:szCs w:val="16"/>
        </w:rPr>
        <w:t>Describe the results of the State’s examination of the data for the year before the reporting year (e.g., for the FFY 2019 SPP/APR, use data from 2018-2019), including data disaggregated by race and ethnicity to determine if significant discrepancies are occurring in the rates of long-term suspensions and expulsions of children with IEPs, as required at 20 U.S.C. 1412(a)(22). The State’s examination must include one of the following comparisons</w:t>
      </w:r>
    </w:p>
    <w:p w14:paraId="041F9A85" w14:textId="0566F4DA" w:rsidR="00413366" w:rsidRPr="005C29F8" w:rsidRDefault="00515E61" w:rsidP="006A01BD">
      <w:pPr>
        <w:ind w:firstLine="720"/>
        <w:rPr>
          <w:rFonts w:cs="Arial"/>
          <w:color w:val="000000" w:themeColor="text1"/>
          <w:szCs w:val="16"/>
        </w:rPr>
      </w:pPr>
      <w:r w:rsidRPr="005C29F8">
        <w:rPr>
          <w:rFonts w:cs="Arial"/>
          <w:color w:val="000000" w:themeColor="text1"/>
          <w:szCs w:val="16"/>
        </w:rPr>
        <w:t>--The rates of suspensions and expulsions for children with IEPs among LEAs within the State; or</w:t>
      </w:r>
    </w:p>
    <w:p w14:paraId="4B77809C" w14:textId="04050159" w:rsidR="00413366" w:rsidRPr="005C29F8" w:rsidRDefault="00515E61" w:rsidP="006A01BD">
      <w:pPr>
        <w:ind w:firstLine="720"/>
        <w:rPr>
          <w:rFonts w:cs="Arial"/>
          <w:color w:val="000000" w:themeColor="text1"/>
          <w:szCs w:val="16"/>
        </w:rPr>
      </w:pPr>
      <w:r w:rsidRPr="005C29F8">
        <w:rPr>
          <w:rFonts w:cs="Arial"/>
          <w:color w:val="000000" w:themeColor="text1"/>
          <w:szCs w:val="16"/>
        </w:rPr>
        <w:t>--The rates of suspensions and expulsions for children with IEPs to nondisabled children within the LEAs</w:t>
      </w:r>
    </w:p>
    <w:p w14:paraId="428DC587" w14:textId="77777777" w:rsidR="00413366" w:rsidRPr="005C29F8" w:rsidRDefault="00413366" w:rsidP="00BB7BC9">
      <w:pPr>
        <w:rPr>
          <w:rFonts w:cs="Arial"/>
          <w:color w:val="000000" w:themeColor="text1"/>
          <w:szCs w:val="16"/>
        </w:rPr>
      </w:pPr>
      <w:r w:rsidRPr="005C29F8">
        <w:rPr>
          <w:rFonts w:cs="Arial"/>
          <w:color w:val="000000" w:themeColor="text1"/>
          <w:szCs w:val="16"/>
        </w:rPr>
        <w:t>In the description, specify which method the State used to determine possible discrepancies and explain what constitutes those discrepancies.</w:t>
      </w:r>
    </w:p>
    <w:p w14:paraId="42FA82A8" w14:textId="77777777" w:rsidR="00413366" w:rsidRPr="005C29F8" w:rsidRDefault="00413366" w:rsidP="00BB7BC9">
      <w:pPr>
        <w:rPr>
          <w:rFonts w:cs="Arial"/>
          <w:color w:val="000000" w:themeColor="text1"/>
          <w:szCs w:val="16"/>
        </w:rPr>
      </w:pPr>
      <w:r w:rsidRPr="005C29F8">
        <w:rPr>
          <w:rFonts w:cs="Arial"/>
          <w:color w:val="000000" w:themeColor="text1"/>
          <w:szCs w:val="16"/>
        </w:rPr>
        <w:t>Indicator 4B: Provide the following: (a) the number of districts that met the State-established n size (if applicable) for one or more racial/ethnic groups that have a significant discrepancy, by race or ethnicity, in the rates of suspensions and expulsions of greater than 10 days in a school year for children with IEPs; and (b) the number of those districts in which policies, procedures or practices contribute to the significant discrepancy and do not comply with requirements relating to the development and implementation of IEPs, the use of positive behavioral interventions and supports, and procedural safeguards.</w:t>
      </w:r>
    </w:p>
    <w:p w14:paraId="1F7345F8" w14:textId="77777777" w:rsidR="00413366" w:rsidRPr="005C29F8" w:rsidRDefault="00413366" w:rsidP="00BB7BC9">
      <w:pPr>
        <w:rPr>
          <w:rFonts w:cs="Arial"/>
          <w:color w:val="000000" w:themeColor="text1"/>
          <w:szCs w:val="16"/>
        </w:rPr>
      </w:pPr>
      <w:r w:rsidRPr="005C29F8">
        <w:rPr>
          <w:rFonts w:cs="Arial"/>
          <w:color w:val="000000" w:themeColor="text1"/>
          <w:szCs w:val="16"/>
        </w:rPr>
        <w:t>Provide detailed information about the timely correction of noncompliance as noted in OSEP’s response for the previous SPP/APR. If discrepancies occurred and the district with discrepancies had policies, procedures or practices that contributed to the significant discrepancy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the Office of Special Education Programs (OSEP) Memorandum 09-02, dated October 17, 2008.</w:t>
      </w:r>
    </w:p>
    <w:p w14:paraId="244FF3E4" w14:textId="77777777" w:rsidR="00413366" w:rsidRPr="005C29F8" w:rsidRDefault="00413366" w:rsidP="00BB7BC9">
      <w:pPr>
        <w:rPr>
          <w:rFonts w:cs="Arial"/>
          <w:color w:val="000000" w:themeColor="text1"/>
          <w:szCs w:val="16"/>
        </w:rPr>
      </w:pPr>
      <w:r w:rsidRPr="005C29F8">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2A4C3F88" w14:textId="50FF4A75" w:rsidR="00413366" w:rsidRPr="005C29F8" w:rsidRDefault="0016730D" w:rsidP="00BB7BC9">
      <w:pPr>
        <w:rPr>
          <w:rFonts w:cs="Arial"/>
          <w:color w:val="000000" w:themeColor="text1"/>
          <w:szCs w:val="16"/>
        </w:rPr>
      </w:pPr>
      <w:r w:rsidRPr="005C29F8">
        <w:rPr>
          <w:rFonts w:cs="Arial"/>
          <w:color w:val="000000" w:themeColor="text1"/>
          <w:szCs w:val="16"/>
        </w:rPr>
        <w:t>If the State reported less than 100% compliance for the previous reporting period (e.g., for the FFY 2019 SPP/APR, the data for 2018-2019), and the State did not identify any findings of noncompliance, provide an explanation of why the State did not identify any findings of noncompliance.</w:t>
      </w:r>
    </w:p>
    <w:p w14:paraId="4A2E05BE" w14:textId="77777777" w:rsidR="00413366" w:rsidRPr="005C29F8" w:rsidRDefault="00413366" w:rsidP="00BB7BC9">
      <w:pPr>
        <w:rPr>
          <w:rFonts w:cs="Arial"/>
          <w:color w:val="000000" w:themeColor="text1"/>
          <w:szCs w:val="16"/>
        </w:rPr>
      </w:pPr>
      <w:r w:rsidRPr="005C29F8">
        <w:rPr>
          <w:rFonts w:cs="Arial"/>
          <w:color w:val="000000" w:themeColor="text1"/>
          <w:szCs w:val="16"/>
        </w:rPr>
        <w:t>Targets must be 0% for 4B.</w:t>
      </w:r>
    </w:p>
    <w:p w14:paraId="1D15A8F4" w14:textId="6546AA23" w:rsidR="00D90B7C" w:rsidRPr="0033429D" w:rsidRDefault="00D11730" w:rsidP="008645AD">
      <w:pPr>
        <w:pStyle w:val="Heading2"/>
      </w:pPr>
      <w:r w:rsidRPr="0033429D">
        <w:t>4B</w:t>
      </w:r>
      <w:r w:rsidR="00E90DE9" w:rsidRPr="0033429D">
        <w:t xml:space="preserve"> </w:t>
      </w:r>
      <w:r w:rsidRPr="0033429D">
        <w:t xml:space="preserve">- </w:t>
      </w:r>
      <w:r w:rsidR="00D90B7C" w:rsidRPr="0033429D">
        <w:t>Indicator Data</w:t>
      </w:r>
    </w:p>
    <w:p w14:paraId="435C0FC5" w14:textId="77777777" w:rsidR="0091098C" w:rsidRPr="005C29F8" w:rsidRDefault="0091098C" w:rsidP="004369B2">
      <w:pPr>
        <w:rPr>
          <w:color w:val="000000" w:themeColor="text1"/>
        </w:rPr>
      </w:pPr>
    </w:p>
    <w:p w14:paraId="113E64CF" w14:textId="7EACB9AD" w:rsidR="00CA0009" w:rsidRPr="005C29F8" w:rsidRDefault="0091098C" w:rsidP="004369B2">
      <w:pPr>
        <w:rPr>
          <w:color w:val="000000" w:themeColor="text1"/>
        </w:rPr>
      </w:pPr>
      <w:r w:rsidRPr="005C29F8">
        <w:rPr>
          <w:b/>
          <w:color w:val="000000" w:themeColor="text1"/>
        </w:rPr>
        <w:t>Not Applicable</w:t>
      </w:r>
    </w:p>
    <w:p w14:paraId="01A6DC15" w14:textId="244F6F21" w:rsidR="00F9524E" w:rsidRPr="005C29F8" w:rsidRDefault="00C144E3" w:rsidP="004369B2">
      <w:pPr>
        <w:rPr>
          <w:b/>
          <w:color w:val="000000" w:themeColor="text1"/>
        </w:rPr>
      </w:pPr>
      <w:r w:rsidRPr="005C29F8">
        <w:rPr>
          <w:b/>
          <w:color w:val="000000" w:themeColor="text1"/>
        </w:rPr>
        <w:t>Select yes if this indicator is not applicable.</w:t>
      </w:r>
    </w:p>
    <w:p w14:paraId="53F0BC7A" w14:textId="32C15B12" w:rsidR="00F85593" w:rsidRDefault="00F85593" w:rsidP="004369B2">
      <w:pPr>
        <w:rPr>
          <w:rFonts w:cs="Arial"/>
          <w:color w:val="000000" w:themeColor="text1"/>
          <w:szCs w:val="16"/>
        </w:rPr>
      </w:pPr>
      <w:r w:rsidRPr="005C29F8">
        <w:rPr>
          <w:rFonts w:cs="Arial"/>
          <w:color w:val="000000" w:themeColor="text1"/>
          <w:szCs w:val="16"/>
        </w:rPr>
        <w:t>NO</w:t>
      </w:r>
    </w:p>
    <w:p w14:paraId="2A73B0E0" w14:textId="77777777" w:rsidR="00CF0A73" w:rsidRPr="005C29F8" w:rsidRDefault="00CF0A73" w:rsidP="004369B2">
      <w:pPr>
        <w:rPr>
          <w:color w:val="000000" w:themeColor="text1"/>
        </w:rPr>
      </w:pPr>
    </w:p>
    <w:p w14:paraId="069D75E9" w14:textId="5200D253" w:rsidR="00BB7BC9" w:rsidRDefault="00BB7BC9" w:rsidP="004369B2">
      <w:pPr>
        <w:rPr>
          <w:b/>
          <w:color w:val="000000" w:themeColor="text1"/>
        </w:rPr>
      </w:pPr>
      <w:r w:rsidRPr="005C29F8">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14:paraId="79576181" w14:textId="77777777" w:rsidTr="00123D76">
        <w:trPr>
          <w:trHeight w:val="311"/>
          <w:tblHeader/>
        </w:trPr>
        <w:tc>
          <w:tcPr>
            <w:tcW w:w="2562" w:type="dxa"/>
          </w:tcPr>
          <w:p w14:paraId="3F975A24" w14:textId="77777777" w:rsidR="001F64DB" w:rsidRDefault="001F64DB" w:rsidP="00123D76">
            <w:pPr>
              <w:jc w:val="center"/>
              <w:rPr>
                <w:b/>
                <w:color w:val="000000" w:themeColor="text1"/>
              </w:rPr>
            </w:pPr>
            <w:r w:rsidRPr="005C29F8">
              <w:rPr>
                <w:rFonts w:cs="Arial"/>
                <w:b/>
                <w:color w:val="000000" w:themeColor="text1"/>
                <w:szCs w:val="16"/>
              </w:rPr>
              <w:t>Baseline Year</w:t>
            </w:r>
          </w:p>
        </w:tc>
        <w:tc>
          <w:tcPr>
            <w:tcW w:w="2563" w:type="dxa"/>
          </w:tcPr>
          <w:p w14:paraId="2C69FE8E" w14:textId="77777777" w:rsidR="001F64DB" w:rsidRDefault="001F64DB" w:rsidP="00123D76">
            <w:pPr>
              <w:jc w:val="center"/>
              <w:rPr>
                <w:b/>
                <w:color w:val="000000" w:themeColor="text1"/>
              </w:rPr>
            </w:pPr>
            <w:r>
              <w:rPr>
                <w:b/>
                <w:color w:val="000000" w:themeColor="text1"/>
              </w:rPr>
              <w:t>Baseline Data</w:t>
            </w:r>
          </w:p>
        </w:tc>
      </w:tr>
      <w:tr w:rsidR="001F64DB" w14:paraId="53FC8895" w14:textId="77777777" w:rsidTr="00123D76">
        <w:trPr>
          <w:trHeight w:val="311"/>
        </w:trPr>
        <w:tc>
          <w:tcPr>
            <w:tcW w:w="2562" w:type="dxa"/>
            <w:vAlign w:val="center"/>
          </w:tcPr>
          <w:p w14:paraId="28447C7D" w14:textId="6D0F8050" w:rsidR="001F64DB" w:rsidRDefault="001F64DB" w:rsidP="00123D76">
            <w:pPr>
              <w:jc w:val="center"/>
              <w:rPr>
                <w:b/>
                <w:color w:val="000000" w:themeColor="text1"/>
              </w:rPr>
            </w:pPr>
            <w:r w:rsidRPr="005C29F8">
              <w:rPr>
                <w:rFonts w:cs="Arial"/>
                <w:color w:val="000000" w:themeColor="text1"/>
                <w:szCs w:val="16"/>
              </w:rPr>
              <w:t>2017</w:t>
            </w:r>
          </w:p>
        </w:tc>
        <w:tc>
          <w:tcPr>
            <w:tcW w:w="2563" w:type="dxa"/>
            <w:vAlign w:val="center"/>
          </w:tcPr>
          <w:p w14:paraId="66688D2B" w14:textId="7F6A1027" w:rsidR="001F64DB" w:rsidRDefault="001F64DB" w:rsidP="00123D76">
            <w:pPr>
              <w:jc w:val="center"/>
              <w:rPr>
                <w:b/>
                <w:color w:val="000000" w:themeColor="text1"/>
              </w:rPr>
            </w:pPr>
            <w:r w:rsidRPr="005C29F8">
              <w:rPr>
                <w:rFonts w:cs="Arial"/>
                <w:color w:val="000000" w:themeColor="text1"/>
                <w:szCs w:val="16"/>
              </w:rPr>
              <w:t>0.51%</w:t>
            </w:r>
          </w:p>
        </w:tc>
      </w:tr>
    </w:tbl>
    <w:p w14:paraId="0491A3BB" w14:textId="7F542BF4" w:rsidR="001F64DB" w:rsidRDefault="001F64DB" w:rsidP="004369B2">
      <w:pPr>
        <w:rPr>
          <w:color w:val="000000" w:themeColor="text1"/>
        </w:rPr>
      </w:pPr>
    </w:p>
    <w:p w14:paraId="5B271C5C" w14:textId="77777777" w:rsidR="001F64DB" w:rsidRPr="005C29F8"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5C29F8" w14:paraId="6E379028" w14:textId="77777777" w:rsidTr="0033429D">
        <w:trPr>
          <w:trHeight w:val="350"/>
        </w:trPr>
        <w:tc>
          <w:tcPr>
            <w:tcW w:w="833" w:type="pct"/>
            <w:tcBorders>
              <w:bottom w:val="single" w:sz="4" w:space="0" w:color="auto"/>
            </w:tcBorders>
            <w:shd w:val="clear" w:color="auto" w:fill="auto"/>
          </w:tcPr>
          <w:p w14:paraId="23D7B707" w14:textId="77777777" w:rsidR="00BB7BC9" w:rsidRPr="005C29F8" w:rsidRDefault="00BB7BC9" w:rsidP="004369B2">
            <w:pPr>
              <w:jc w:val="center"/>
              <w:rPr>
                <w:b/>
                <w:color w:val="000000" w:themeColor="text1"/>
              </w:rPr>
            </w:pPr>
            <w:r w:rsidRPr="005C29F8">
              <w:rPr>
                <w:b/>
                <w:color w:val="000000" w:themeColor="text1"/>
              </w:rPr>
              <w:t>FFY</w:t>
            </w:r>
          </w:p>
        </w:tc>
        <w:tc>
          <w:tcPr>
            <w:tcW w:w="833" w:type="pct"/>
            <w:shd w:val="clear" w:color="auto" w:fill="auto"/>
          </w:tcPr>
          <w:p w14:paraId="25954044" w14:textId="160ED41F" w:rsidR="00BB7BC9" w:rsidRPr="005C29F8" w:rsidRDefault="002B7490">
            <w:pPr>
              <w:jc w:val="center"/>
              <w:rPr>
                <w:b/>
                <w:color w:val="000000" w:themeColor="text1"/>
              </w:rPr>
            </w:pPr>
            <w:r w:rsidRPr="005C29F8">
              <w:rPr>
                <w:b/>
                <w:color w:val="000000" w:themeColor="text1"/>
              </w:rPr>
              <w:t>2014</w:t>
            </w:r>
          </w:p>
        </w:tc>
        <w:tc>
          <w:tcPr>
            <w:tcW w:w="833" w:type="pct"/>
            <w:shd w:val="clear" w:color="auto" w:fill="auto"/>
          </w:tcPr>
          <w:p w14:paraId="69CF376F" w14:textId="7375A3F7" w:rsidR="00BB7BC9" w:rsidRPr="005C29F8" w:rsidRDefault="002B7490">
            <w:pPr>
              <w:jc w:val="center"/>
              <w:rPr>
                <w:b/>
                <w:color w:val="000000" w:themeColor="text1"/>
              </w:rPr>
            </w:pPr>
            <w:r w:rsidRPr="005C29F8">
              <w:rPr>
                <w:b/>
                <w:color w:val="000000" w:themeColor="text1"/>
              </w:rPr>
              <w:t>2015</w:t>
            </w:r>
          </w:p>
        </w:tc>
        <w:tc>
          <w:tcPr>
            <w:tcW w:w="833" w:type="pct"/>
            <w:shd w:val="clear" w:color="auto" w:fill="auto"/>
          </w:tcPr>
          <w:p w14:paraId="4D8E8925" w14:textId="689058A4" w:rsidR="00BB7BC9" w:rsidRPr="005C29F8" w:rsidRDefault="002B7490">
            <w:pPr>
              <w:jc w:val="center"/>
              <w:rPr>
                <w:b/>
                <w:color w:val="000000" w:themeColor="text1"/>
              </w:rPr>
            </w:pPr>
            <w:r w:rsidRPr="005C29F8">
              <w:rPr>
                <w:b/>
                <w:color w:val="000000" w:themeColor="text1"/>
              </w:rPr>
              <w:t>2016</w:t>
            </w:r>
          </w:p>
        </w:tc>
        <w:tc>
          <w:tcPr>
            <w:tcW w:w="833" w:type="pct"/>
            <w:shd w:val="clear" w:color="auto" w:fill="auto"/>
          </w:tcPr>
          <w:p w14:paraId="703038E4" w14:textId="1BE5FB5A" w:rsidR="00BB7BC9" w:rsidRPr="005C29F8" w:rsidRDefault="002B7490">
            <w:pPr>
              <w:jc w:val="center"/>
              <w:rPr>
                <w:b/>
                <w:color w:val="000000" w:themeColor="text1"/>
              </w:rPr>
            </w:pPr>
            <w:r w:rsidRPr="005C29F8">
              <w:rPr>
                <w:b/>
                <w:color w:val="000000" w:themeColor="text1"/>
              </w:rPr>
              <w:t>2017</w:t>
            </w:r>
          </w:p>
        </w:tc>
        <w:tc>
          <w:tcPr>
            <w:tcW w:w="834" w:type="pct"/>
            <w:shd w:val="clear" w:color="auto" w:fill="auto"/>
          </w:tcPr>
          <w:p w14:paraId="0503649D" w14:textId="176B5064" w:rsidR="00BB7BC9" w:rsidRPr="005C29F8" w:rsidRDefault="002B7490">
            <w:pPr>
              <w:jc w:val="center"/>
              <w:rPr>
                <w:b/>
                <w:color w:val="000000" w:themeColor="text1"/>
              </w:rPr>
            </w:pPr>
            <w:r w:rsidRPr="005C29F8">
              <w:rPr>
                <w:b/>
                <w:color w:val="000000" w:themeColor="text1"/>
              </w:rPr>
              <w:t>2018</w:t>
            </w:r>
          </w:p>
        </w:tc>
      </w:tr>
      <w:tr w:rsidR="005C29F8" w:rsidRPr="005C29F8" w14:paraId="39522776" w14:textId="77777777" w:rsidTr="0033429D">
        <w:trPr>
          <w:trHeight w:val="357"/>
        </w:trPr>
        <w:tc>
          <w:tcPr>
            <w:tcW w:w="833" w:type="pct"/>
            <w:shd w:val="clear" w:color="auto" w:fill="auto"/>
            <w:vAlign w:val="center"/>
          </w:tcPr>
          <w:p w14:paraId="64A2466A" w14:textId="3DCD7D97" w:rsidR="00BB7BC9" w:rsidRPr="005C29F8" w:rsidRDefault="00BB7BC9" w:rsidP="001F692C">
            <w:pPr>
              <w:rPr>
                <w:rFonts w:cs="Arial"/>
                <w:color w:val="000000" w:themeColor="text1"/>
                <w:szCs w:val="16"/>
              </w:rPr>
            </w:pPr>
            <w:r w:rsidRPr="005C29F8">
              <w:rPr>
                <w:rFonts w:cs="Arial"/>
                <w:color w:val="000000" w:themeColor="text1"/>
                <w:szCs w:val="16"/>
              </w:rPr>
              <w:t>Target</w:t>
            </w:r>
          </w:p>
        </w:tc>
        <w:tc>
          <w:tcPr>
            <w:tcW w:w="833" w:type="pct"/>
            <w:shd w:val="clear" w:color="auto" w:fill="auto"/>
            <w:vAlign w:val="center"/>
          </w:tcPr>
          <w:p w14:paraId="40744253" w14:textId="30F05132" w:rsidR="00BB7BC9" w:rsidRPr="005C29F8" w:rsidRDefault="00BA56C8">
            <w:pPr>
              <w:jc w:val="center"/>
              <w:rPr>
                <w:rFonts w:cs="Arial"/>
                <w:color w:val="000000" w:themeColor="text1"/>
                <w:szCs w:val="16"/>
              </w:rPr>
            </w:pPr>
            <w:r w:rsidRPr="005C29F8">
              <w:rPr>
                <w:rFonts w:cs="Arial"/>
                <w:color w:val="000000" w:themeColor="text1"/>
                <w:szCs w:val="16"/>
              </w:rPr>
              <w:t>0%</w:t>
            </w:r>
          </w:p>
        </w:tc>
        <w:tc>
          <w:tcPr>
            <w:tcW w:w="833" w:type="pct"/>
            <w:shd w:val="clear" w:color="auto" w:fill="auto"/>
            <w:vAlign w:val="center"/>
          </w:tcPr>
          <w:p w14:paraId="4721409F" w14:textId="0E67B113" w:rsidR="00BB7BC9" w:rsidRPr="005C29F8" w:rsidRDefault="00BA56C8">
            <w:pPr>
              <w:jc w:val="center"/>
              <w:rPr>
                <w:rFonts w:cs="Arial"/>
                <w:color w:val="000000" w:themeColor="text1"/>
                <w:szCs w:val="16"/>
              </w:rPr>
            </w:pPr>
            <w:r w:rsidRPr="005C29F8">
              <w:rPr>
                <w:rFonts w:cs="Arial"/>
                <w:color w:val="000000" w:themeColor="text1"/>
                <w:szCs w:val="16"/>
              </w:rPr>
              <w:t>0%</w:t>
            </w:r>
          </w:p>
        </w:tc>
        <w:tc>
          <w:tcPr>
            <w:tcW w:w="833" w:type="pct"/>
            <w:shd w:val="clear" w:color="auto" w:fill="auto"/>
            <w:vAlign w:val="center"/>
          </w:tcPr>
          <w:p w14:paraId="61B8DEC3" w14:textId="3B00EB70" w:rsidR="00BB7BC9" w:rsidRPr="005C29F8" w:rsidRDefault="00BA56C8">
            <w:pPr>
              <w:jc w:val="center"/>
              <w:rPr>
                <w:rFonts w:cs="Arial"/>
                <w:color w:val="000000" w:themeColor="text1"/>
                <w:szCs w:val="16"/>
              </w:rPr>
            </w:pPr>
            <w:r w:rsidRPr="005C29F8">
              <w:rPr>
                <w:rFonts w:cs="Arial"/>
                <w:color w:val="000000" w:themeColor="text1"/>
                <w:szCs w:val="16"/>
              </w:rPr>
              <w:t>0%</w:t>
            </w:r>
          </w:p>
        </w:tc>
        <w:tc>
          <w:tcPr>
            <w:tcW w:w="833" w:type="pct"/>
            <w:shd w:val="clear" w:color="auto" w:fill="auto"/>
            <w:vAlign w:val="center"/>
          </w:tcPr>
          <w:p w14:paraId="0C46D83A" w14:textId="2D54F0BE" w:rsidR="00BB7BC9" w:rsidRPr="005C29F8" w:rsidRDefault="00BA56C8">
            <w:pPr>
              <w:jc w:val="center"/>
              <w:rPr>
                <w:rFonts w:cs="Arial"/>
                <w:color w:val="000000" w:themeColor="text1"/>
                <w:szCs w:val="16"/>
              </w:rPr>
            </w:pPr>
            <w:r w:rsidRPr="005C29F8">
              <w:rPr>
                <w:rFonts w:cs="Arial"/>
                <w:color w:val="000000" w:themeColor="text1"/>
                <w:szCs w:val="16"/>
              </w:rPr>
              <w:t>0%</w:t>
            </w:r>
          </w:p>
        </w:tc>
        <w:tc>
          <w:tcPr>
            <w:tcW w:w="834" w:type="pct"/>
            <w:shd w:val="clear" w:color="auto" w:fill="auto"/>
            <w:vAlign w:val="center"/>
          </w:tcPr>
          <w:p w14:paraId="14E1E671" w14:textId="1E800737" w:rsidR="00BB7BC9" w:rsidRPr="005C29F8" w:rsidRDefault="00BA56C8">
            <w:pPr>
              <w:jc w:val="center"/>
              <w:rPr>
                <w:rFonts w:cs="Arial"/>
                <w:color w:val="000000" w:themeColor="text1"/>
                <w:szCs w:val="16"/>
              </w:rPr>
            </w:pPr>
            <w:r w:rsidRPr="005C29F8">
              <w:rPr>
                <w:rFonts w:cs="Arial"/>
                <w:color w:val="000000" w:themeColor="text1"/>
                <w:szCs w:val="16"/>
              </w:rPr>
              <w:t>0%</w:t>
            </w:r>
          </w:p>
        </w:tc>
      </w:tr>
      <w:tr w:rsidR="005C29F8" w:rsidRPr="005C29F8" w14:paraId="2F4BE991" w14:textId="77777777" w:rsidTr="0033429D">
        <w:trPr>
          <w:trHeight w:val="85"/>
        </w:trPr>
        <w:tc>
          <w:tcPr>
            <w:tcW w:w="833" w:type="pct"/>
            <w:shd w:val="clear" w:color="auto" w:fill="auto"/>
            <w:vAlign w:val="center"/>
          </w:tcPr>
          <w:p w14:paraId="1FC0AC5E" w14:textId="77777777" w:rsidR="00BB7BC9" w:rsidRPr="005C29F8" w:rsidRDefault="00BB7BC9" w:rsidP="001F692C">
            <w:pPr>
              <w:rPr>
                <w:rFonts w:cs="Arial"/>
                <w:color w:val="000000" w:themeColor="text1"/>
                <w:szCs w:val="16"/>
              </w:rPr>
            </w:pPr>
            <w:r w:rsidRPr="005C29F8">
              <w:rPr>
                <w:rFonts w:cs="Arial"/>
                <w:color w:val="000000" w:themeColor="text1"/>
                <w:szCs w:val="16"/>
              </w:rPr>
              <w:t>Data</w:t>
            </w:r>
          </w:p>
        </w:tc>
        <w:tc>
          <w:tcPr>
            <w:tcW w:w="833" w:type="pct"/>
            <w:shd w:val="clear" w:color="auto" w:fill="auto"/>
            <w:vAlign w:val="center"/>
          </w:tcPr>
          <w:p w14:paraId="3DA1451A" w14:textId="7F17AC6B" w:rsidR="00BB7BC9" w:rsidRPr="005C29F8" w:rsidRDefault="002B7490" w:rsidP="00A018D4">
            <w:pPr>
              <w:jc w:val="center"/>
              <w:rPr>
                <w:rFonts w:cs="Arial"/>
                <w:color w:val="000000" w:themeColor="text1"/>
                <w:szCs w:val="16"/>
              </w:rPr>
            </w:pPr>
            <w:r w:rsidRPr="005C29F8">
              <w:rPr>
                <w:rFonts w:cs="Arial"/>
                <w:color w:val="000000" w:themeColor="text1"/>
                <w:szCs w:val="16"/>
              </w:rPr>
              <w:t>0.25%</w:t>
            </w:r>
          </w:p>
        </w:tc>
        <w:tc>
          <w:tcPr>
            <w:tcW w:w="833" w:type="pct"/>
            <w:shd w:val="clear" w:color="auto" w:fill="auto"/>
            <w:vAlign w:val="center"/>
          </w:tcPr>
          <w:p w14:paraId="6EE4BDB3" w14:textId="2442769C" w:rsidR="00BB7BC9"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5C29F8" w:rsidRDefault="002B7490" w:rsidP="00A018D4">
            <w:pPr>
              <w:jc w:val="center"/>
              <w:rPr>
                <w:rFonts w:cs="Arial"/>
                <w:color w:val="000000" w:themeColor="text1"/>
                <w:szCs w:val="16"/>
              </w:rPr>
            </w:pPr>
            <w:r w:rsidRPr="005C29F8">
              <w:rPr>
                <w:rFonts w:cs="Arial"/>
                <w:color w:val="000000" w:themeColor="text1"/>
                <w:szCs w:val="16"/>
              </w:rPr>
              <w:t>0.50%</w:t>
            </w:r>
          </w:p>
        </w:tc>
        <w:tc>
          <w:tcPr>
            <w:tcW w:w="833" w:type="pct"/>
            <w:tcBorders>
              <w:bottom w:val="single" w:sz="4" w:space="0" w:color="auto"/>
            </w:tcBorders>
            <w:shd w:val="clear" w:color="auto" w:fill="auto"/>
            <w:vAlign w:val="center"/>
          </w:tcPr>
          <w:p w14:paraId="54826674" w14:textId="13F0F281" w:rsidR="00BB7BC9" w:rsidRPr="005C29F8" w:rsidRDefault="002B7490" w:rsidP="00A018D4">
            <w:pPr>
              <w:jc w:val="center"/>
              <w:rPr>
                <w:rFonts w:cs="Arial"/>
                <w:color w:val="000000" w:themeColor="text1"/>
                <w:szCs w:val="16"/>
              </w:rPr>
            </w:pPr>
            <w:r w:rsidRPr="005C29F8">
              <w:rPr>
                <w:rFonts w:cs="Arial"/>
                <w:color w:val="000000" w:themeColor="text1"/>
                <w:szCs w:val="16"/>
              </w:rPr>
              <w:t>0.51%</w:t>
            </w:r>
          </w:p>
        </w:tc>
        <w:tc>
          <w:tcPr>
            <w:tcW w:w="834" w:type="pct"/>
            <w:tcBorders>
              <w:bottom w:val="single" w:sz="4" w:space="0" w:color="auto"/>
            </w:tcBorders>
            <w:shd w:val="clear" w:color="auto" w:fill="auto"/>
            <w:vAlign w:val="center"/>
          </w:tcPr>
          <w:p w14:paraId="29A1627C" w14:textId="5AC2DD55" w:rsidR="00BB7BC9" w:rsidRPr="005C29F8" w:rsidRDefault="002B7490" w:rsidP="00A018D4">
            <w:pPr>
              <w:jc w:val="center"/>
              <w:rPr>
                <w:rFonts w:cs="Arial"/>
                <w:color w:val="000000" w:themeColor="text1"/>
                <w:szCs w:val="16"/>
              </w:rPr>
            </w:pPr>
            <w:r w:rsidRPr="005C29F8">
              <w:rPr>
                <w:rFonts w:cs="Arial"/>
                <w:color w:val="000000" w:themeColor="text1"/>
                <w:szCs w:val="16"/>
              </w:rPr>
              <w:t>0.00%</w:t>
            </w:r>
          </w:p>
        </w:tc>
      </w:tr>
    </w:tbl>
    <w:p w14:paraId="746FB06B" w14:textId="77777777" w:rsidR="00C15355" w:rsidRPr="005C29F8" w:rsidRDefault="00C15355" w:rsidP="004369B2">
      <w:pPr>
        <w:rPr>
          <w:color w:val="000000" w:themeColor="text1"/>
        </w:rPr>
      </w:pPr>
    </w:p>
    <w:p w14:paraId="31722FA9" w14:textId="62FF3A62" w:rsidR="0016730D" w:rsidRPr="005C29F8" w:rsidRDefault="0016730D" w:rsidP="004369B2">
      <w:pPr>
        <w:rPr>
          <w:color w:val="000000" w:themeColor="text1"/>
        </w:rPr>
      </w:pPr>
      <w:r w:rsidRPr="005C29F8">
        <w:rPr>
          <w:b/>
          <w:color w:val="000000" w:themeColor="text1"/>
        </w:rPr>
        <w:lastRenderedPageBreak/>
        <w:t>Targets</w:t>
      </w:r>
    </w:p>
    <w:tbl>
      <w:tblPr>
        <w:tblW w:w="1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2573"/>
      </w:tblGrid>
      <w:tr w:rsidR="00085D89" w:rsidRPr="005C29F8" w14:paraId="1019C6DC" w14:textId="77777777" w:rsidTr="0033429D">
        <w:trPr>
          <w:trHeight w:val="350"/>
        </w:trPr>
        <w:tc>
          <w:tcPr>
            <w:tcW w:w="1044" w:type="pct"/>
            <w:tcBorders>
              <w:bottom w:val="single" w:sz="4" w:space="0" w:color="auto"/>
            </w:tcBorders>
            <w:shd w:val="clear" w:color="auto" w:fill="auto"/>
          </w:tcPr>
          <w:p w14:paraId="049B323A" w14:textId="77777777" w:rsidR="00085D89" w:rsidRPr="005C29F8" w:rsidRDefault="00085D89" w:rsidP="004369B2">
            <w:pPr>
              <w:jc w:val="center"/>
              <w:rPr>
                <w:b/>
                <w:color w:val="000000" w:themeColor="text1"/>
              </w:rPr>
            </w:pPr>
            <w:r w:rsidRPr="005C29F8">
              <w:rPr>
                <w:b/>
                <w:color w:val="000000" w:themeColor="text1"/>
              </w:rPr>
              <w:t>FFY</w:t>
            </w:r>
          </w:p>
        </w:tc>
        <w:tc>
          <w:tcPr>
            <w:tcW w:w="3956" w:type="pct"/>
            <w:shd w:val="clear" w:color="auto" w:fill="auto"/>
          </w:tcPr>
          <w:p w14:paraId="50E287A7" w14:textId="77777777" w:rsidR="00085D89" w:rsidRPr="005C29F8" w:rsidRDefault="00085D89" w:rsidP="004369B2">
            <w:pPr>
              <w:jc w:val="center"/>
              <w:rPr>
                <w:b/>
                <w:color w:val="000000" w:themeColor="text1"/>
              </w:rPr>
            </w:pPr>
            <w:r w:rsidRPr="005C29F8">
              <w:rPr>
                <w:b/>
                <w:color w:val="000000" w:themeColor="text1"/>
              </w:rPr>
              <w:t>2019</w:t>
            </w:r>
          </w:p>
        </w:tc>
      </w:tr>
      <w:tr w:rsidR="00085D89" w:rsidRPr="005C29F8" w14:paraId="090BA5B6" w14:textId="77777777" w:rsidTr="00085D89">
        <w:trPr>
          <w:trHeight w:val="357"/>
        </w:trPr>
        <w:tc>
          <w:tcPr>
            <w:tcW w:w="1044" w:type="pct"/>
            <w:shd w:val="clear" w:color="auto" w:fill="auto"/>
            <w:vAlign w:val="center"/>
          </w:tcPr>
          <w:p w14:paraId="47EE91AE" w14:textId="1203380B" w:rsidR="00085D89" w:rsidRPr="005C29F8" w:rsidRDefault="00085D89" w:rsidP="00D95C14">
            <w:pPr>
              <w:rPr>
                <w:rFonts w:cs="Arial"/>
                <w:color w:val="000000" w:themeColor="text1"/>
                <w:szCs w:val="16"/>
              </w:rPr>
            </w:pPr>
            <w:r w:rsidRPr="005C29F8">
              <w:rPr>
                <w:rFonts w:cs="Arial"/>
                <w:color w:val="000000" w:themeColor="text1"/>
                <w:szCs w:val="16"/>
              </w:rPr>
              <w:t xml:space="preserve">Target </w:t>
            </w:r>
          </w:p>
        </w:tc>
        <w:tc>
          <w:tcPr>
            <w:tcW w:w="3956" w:type="pct"/>
            <w:shd w:val="clear" w:color="auto" w:fill="auto"/>
            <w:vAlign w:val="center"/>
          </w:tcPr>
          <w:p w14:paraId="26579D0D" w14:textId="55868DD1" w:rsidR="00085D89" w:rsidRPr="005C29F8" w:rsidRDefault="00085D89" w:rsidP="0016730D">
            <w:pPr>
              <w:jc w:val="center"/>
              <w:rPr>
                <w:rFonts w:cs="Arial"/>
                <w:color w:val="000000" w:themeColor="text1"/>
                <w:szCs w:val="16"/>
              </w:rPr>
            </w:pPr>
            <w:r w:rsidRPr="005C29F8">
              <w:rPr>
                <w:rFonts w:cs="Arial"/>
                <w:color w:val="000000" w:themeColor="text1"/>
                <w:szCs w:val="16"/>
              </w:rPr>
              <w:t>0%</w:t>
            </w:r>
          </w:p>
        </w:tc>
      </w:tr>
    </w:tbl>
    <w:p w14:paraId="728AD721" w14:textId="77777777" w:rsidR="00C15355" w:rsidRPr="005C29F8" w:rsidRDefault="00C15355" w:rsidP="004369B2">
      <w:pPr>
        <w:rPr>
          <w:color w:val="000000" w:themeColor="text1"/>
        </w:rPr>
      </w:pPr>
    </w:p>
    <w:p w14:paraId="6C217ADA" w14:textId="6CD856EC" w:rsidR="00D03701" w:rsidRPr="005C29F8" w:rsidRDefault="00EC46E4">
      <w:pPr>
        <w:rPr>
          <w:b/>
          <w:color w:val="000000" w:themeColor="text1"/>
        </w:rPr>
      </w:pPr>
      <w:r w:rsidRPr="005C29F8">
        <w:rPr>
          <w:b/>
          <w:color w:val="000000" w:themeColor="text1"/>
        </w:rPr>
        <w:t>FFY 2019 SPP/APR Data</w:t>
      </w:r>
      <w:bookmarkEnd w:id="28"/>
      <w:bookmarkEnd w:id="29"/>
    </w:p>
    <w:p w14:paraId="51C79687" w14:textId="2BC6416E" w:rsidR="00F9524E" w:rsidRPr="005C29F8" w:rsidRDefault="00F9524E">
      <w:pPr>
        <w:rPr>
          <w:rFonts w:cs="Arial"/>
          <w:b/>
          <w:color w:val="000000" w:themeColor="text1"/>
          <w:szCs w:val="16"/>
        </w:rPr>
      </w:pPr>
      <w:r w:rsidRPr="005C29F8">
        <w:rPr>
          <w:rFonts w:cs="Arial"/>
          <w:b/>
          <w:color w:val="000000" w:themeColor="text1"/>
          <w:szCs w:val="16"/>
        </w:rPr>
        <w:t>Has the state established a minimum n-size requirement? (yes/no)</w:t>
      </w:r>
    </w:p>
    <w:p w14:paraId="6FC8EF80" w14:textId="63ECC90F" w:rsidR="00F9524E" w:rsidRDefault="00F9524E">
      <w:pPr>
        <w:rPr>
          <w:rFonts w:cs="Arial"/>
          <w:color w:val="000000" w:themeColor="text1"/>
          <w:szCs w:val="16"/>
        </w:rPr>
      </w:pPr>
      <w:r w:rsidRPr="005C29F8">
        <w:rPr>
          <w:rFonts w:cs="Arial"/>
          <w:color w:val="000000" w:themeColor="text1"/>
          <w:szCs w:val="16"/>
        </w:rPr>
        <w:t>YES</w:t>
      </w:r>
    </w:p>
    <w:p w14:paraId="69A72720" w14:textId="63D3AC9E" w:rsidR="00F9524E" w:rsidRPr="005C29F8" w:rsidRDefault="00F9524E">
      <w:pPr>
        <w:rPr>
          <w:rFonts w:cs="Arial"/>
          <w:b/>
          <w:color w:val="000000" w:themeColor="text1"/>
          <w:szCs w:val="16"/>
        </w:rPr>
      </w:pPr>
      <w:r w:rsidRPr="005C29F8">
        <w:rPr>
          <w:rFonts w:cs="Arial"/>
          <w:b/>
          <w:color w:val="000000" w:themeColor="text1"/>
          <w:szCs w:val="16"/>
        </w:rPr>
        <w:t>If yes, the State may only include, in both the numerator and the denominator, districts that met the State-established n size. Report the number of districts excluded from the calculation as a result of the requirement.</w:t>
      </w:r>
    </w:p>
    <w:p w14:paraId="4A920DA7" w14:textId="169D365F" w:rsidR="00F9524E" w:rsidRDefault="00F9524E" w:rsidP="004369B2">
      <w:pPr>
        <w:rPr>
          <w:rFonts w:cs="Arial"/>
          <w:color w:val="000000" w:themeColor="text1"/>
          <w:szCs w:val="16"/>
        </w:rPr>
      </w:pPr>
    </w:p>
    <w:p w14:paraId="4C0AC734" w14:textId="77777777" w:rsidR="0016730D" w:rsidRPr="005C29F8"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5C29F8" w:rsidRPr="005C29F8" w14:paraId="38B0A91A" w14:textId="77777777" w:rsidTr="00C570AA">
        <w:trPr>
          <w:trHeight w:val="994"/>
          <w:jc w:val="center"/>
        </w:trPr>
        <w:tc>
          <w:tcPr>
            <w:tcW w:w="615" w:type="pct"/>
            <w:shd w:val="clear" w:color="auto" w:fill="auto"/>
            <w:vAlign w:val="bottom"/>
          </w:tcPr>
          <w:p w14:paraId="7B29D1BD" w14:textId="0CDD0DFE" w:rsidR="00DE45AB" w:rsidRPr="005C29F8" w:rsidRDefault="00DE45AB" w:rsidP="00631963">
            <w:pPr>
              <w:jc w:val="center"/>
              <w:rPr>
                <w:rFonts w:cs="Arial"/>
                <w:b/>
                <w:color w:val="000000" w:themeColor="text1"/>
                <w:szCs w:val="16"/>
              </w:rPr>
            </w:pPr>
            <w:r w:rsidRPr="005C29F8">
              <w:rPr>
                <w:rFonts w:cs="Arial"/>
                <w:b/>
                <w:color w:val="000000" w:themeColor="text1"/>
                <w:szCs w:val="16"/>
              </w:rPr>
              <w:t>Number of districts that have a significant discrepancy, by race or ethnicity</w:t>
            </w:r>
          </w:p>
        </w:tc>
        <w:tc>
          <w:tcPr>
            <w:tcW w:w="589" w:type="pct"/>
            <w:shd w:val="clear" w:color="auto" w:fill="auto"/>
            <w:vAlign w:val="bottom"/>
          </w:tcPr>
          <w:p w14:paraId="5F8F5A3F" w14:textId="0EDCCC68" w:rsidR="00DE45AB" w:rsidRPr="005C29F8" w:rsidRDefault="00DE45AB" w:rsidP="00631963">
            <w:pPr>
              <w:jc w:val="center"/>
              <w:rPr>
                <w:rFonts w:cs="Arial"/>
                <w:b/>
                <w:color w:val="000000" w:themeColor="text1"/>
                <w:szCs w:val="16"/>
              </w:rPr>
            </w:pPr>
            <w:r w:rsidRPr="005C29F8">
              <w:rPr>
                <w:rFonts w:cs="Arial"/>
                <w:b/>
                <w:color w:val="000000" w:themeColor="text1"/>
                <w:szCs w:val="16"/>
              </w:rPr>
              <w:t>Number of those districts that have policies procedure, or practices that contribute to the significant discrepancy and do not comply with requirements</w:t>
            </w:r>
          </w:p>
        </w:tc>
        <w:tc>
          <w:tcPr>
            <w:tcW w:w="814" w:type="pct"/>
            <w:shd w:val="clear" w:color="auto" w:fill="auto"/>
            <w:vAlign w:val="bottom"/>
          </w:tcPr>
          <w:p w14:paraId="198605CB" w14:textId="35586744" w:rsidR="00DE45AB" w:rsidRPr="005C29F8" w:rsidRDefault="004B2A77" w:rsidP="00631963">
            <w:pPr>
              <w:jc w:val="center"/>
              <w:rPr>
                <w:rFonts w:cs="Arial"/>
                <w:b/>
                <w:color w:val="000000" w:themeColor="text1"/>
                <w:szCs w:val="16"/>
              </w:rPr>
            </w:pPr>
            <w:r w:rsidRPr="005C29F8">
              <w:rPr>
                <w:rFonts w:cs="Arial"/>
                <w:b/>
                <w:color w:val="000000" w:themeColor="text1"/>
                <w:szCs w:val="16"/>
              </w:rPr>
              <w:t>Number of Districts that met the State's minimum n-size</w:t>
            </w:r>
          </w:p>
        </w:tc>
        <w:tc>
          <w:tcPr>
            <w:tcW w:w="534" w:type="pct"/>
            <w:shd w:val="clear" w:color="auto" w:fill="auto"/>
            <w:vAlign w:val="bottom"/>
          </w:tcPr>
          <w:p w14:paraId="45990D98" w14:textId="428B9591" w:rsidR="00DE45AB" w:rsidRPr="005C29F8" w:rsidRDefault="00B954DC" w:rsidP="00631963">
            <w:pPr>
              <w:jc w:val="center"/>
              <w:rPr>
                <w:rFonts w:cs="Arial"/>
                <w:b/>
                <w:color w:val="000000" w:themeColor="text1"/>
                <w:szCs w:val="16"/>
              </w:rPr>
            </w:pPr>
            <w:r w:rsidRPr="005C29F8">
              <w:rPr>
                <w:rFonts w:cs="Arial"/>
                <w:b/>
                <w:color w:val="000000" w:themeColor="text1"/>
                <w:szCs w:val="16"/>
              </w:rPr>
              <w:t>FFY 2018 Data</w:t>
            </w:r>
          </w:p>
        </w:tc>
        <w:tc>
          <w:tcPr>
            <w:tcW w:w="776" w:type="pct"/>
            <w:shd w:val="clear" w:color="auto" w:fill="auto"/>
            <w:vAlign w:val="bottom"/>
          </w:tcPr>
          <w:p w14:paraId="1BAB59B0" w14:textId="7FF5C300" w:rsidR="00DE45AB" w:rsidRPr="005C29F8" w:rsidRDefault="00DE45AB" w:rsidP="00631963">
            <w:pPr>
              <w:jc w:val="center"/>
              <w:rPr>
                <w:rFonts w:cs="Arial"/>
                <w:b/>
                <w:color w:val="000000" w:themeColor="text1"/>
                <w:szCs w:val="16"/>
              </w:rPr>
            </w:pPr>
            <w:r w:rsidRPr="005C29F8">
              <w:rPr>
                <w:rFonts w:cs="Arial"/>
                <w:b/>
                <w:color w:val="000000" w:themeColor="text1"/>
                <w:szCs w:val="16"/>
              </w:rPr>
              <w:t>FFY 2019 Target</w:t>
            </w:r>
          </w:p>
        </w:tc>
        <w:tc>
          <w:tcPr>
            <w:tcW w:w="485" w:type="pct"/>
            <w:shd w:val="clear" w:color="auto" w:fill="auto"/>
            <w:vAlign w:val="bottom"/>
          </w:tcPr>
          <w:p w14:paraId="179C63C5" w14:textId="1246C359" w:rsidR="00DE45AB" w:rsidRPr="005C29F8" w:rsidRDefault="00DE45AB" w:rsidP="00631963">
            <w:pPr>
              <w:jc w:val="center"/>
              <w:rPr>
                <w:rFonts w:cs="Arial"/>
                <w:b/>
                <w:color w:val="000000" w:themeColor="text1"/>
                <w:szCs w:val="16"/>
              </w:rPr>
            </w:pPr>
            <w:r w:rsidRPr="005C29F8">
              <w:rPr>
                <w:rFonts w:cs="Arial"/>
                <w:b/>
                <w:color w:val="000000" w:themeColor="text1"/>
                <w:szCs w:val="16"/>
              </w:rPr>
              <w:t>FFY 2019 Data</w:t>
            </w:r>
          </w:p>
        </w:tc>
        <w:tc>
          <w:tcPr>
            <w:tcW w:w="602" w:type="pct"/>
            <w:shd w:val="clear" w:color="auto" w:fill="auto"/>
            <w:vAlign w:val="bottom"/>
          </w:tcPr>
          <w:p w14:paraId="65AC4432" w14:textId="77777777" w:rsidR="00DE45AB" w:rsidRPr="005C29F8" w:rsidRDefault="00DE45AB" w:rsidP="00631963">
            <w:pPr>
              <w:jc w:val="center"/>
              <w:rPr>
                <w:rFonts w:cs="Arial"/>
                <w:b/>
                <w:color w:val="000000" w:themeColor="text1"/>
                <w:szCs w:val="16"/>
              </w:rPr>
            </w:pPr>
            <w:r w:rsidRPr="005C29F8">
              <w:rPr>
                <w:rFonts w:cs="Arial"/>
                <w:b/>
                <w:color w:val="000000" w:themeColor="text1"/>
                <w:szCs w:val="16"/>
              </w:rPr>
              <w:t>Status</w:t>
            </w:r>
          </w:p>
        </w:tc>
        <w:tc>
          <w:tcPr>
            <w:tcW w:w="584" w:type="pct"/>
            <w:shd w:val="clear" w:color="auto" w:fill="auto"/>
            <w:vAlign w:val="bottom"/>
          </w:tcPr>
          <w:p w14:paraId="1CC124E2" w14:textId="77777777" w:rsidR="00DE45AB" w:rsidRPr="005C29F8" w:rsidRDefault="00DE45AB" w:rsidP="00631963">
            <w:pPr>
              <w:jc w:val="center"/>
              <w:rPr>
                <w:rFonts w:cs="Arial"/>
                <w:b/>
                <w:color w:val="000000" w:themeColor="text1"/>
                <w:szCs w:val="16"/>
              </w:rPr>
            </w:pPr>
            <w:r w:rsidRPr="005C29F8">
              <w:rPr>
                <w:rFonts w:cs="Arial"/>
                <w:b/>
                <w:color w:val="000000" w:themeColor="text1"/>
                <w:szCs w:val="16"/>
              </w:rPr>
              <w:t>Slippage</w:t>
            </w:r>
          </w:p>
        </w:tc>
      </w:tr>
      <w:tr w:rsidR="005C29F8" w:rsidRPr="005C29F8" w14:paraId="204CDE51" w14:textId="77777777" w:rsidTr="00C570AA">
        <w:trPr>
          <w:trHeight w:val="233"/>
          <w:jc w:val="center"/>
        </w:trPr>
        <w:tc>
          <w:tcPr>
            <w:tcW w:w="615" w:type="pct"/>
            <w:shd w:val="clear" w:color="auto" w:fill="auto"/>
          </w:tcPr>
          <w:p w14:paraId="1BBB876A" w14:textId="743343A5" w:rsidR="00DE45AB" w:rsidRPr="005C29F8" w:rsidRDefault="002B7490" w:rsidP="00A018D4">
            <w:pPr>
              <w:jc w:val="center"/>
              <w:rPr>
                <w:rFonts w:cs="Arial"/>
                <w:color w:val="000000" w:themeColor="text1"/>
                <w:szCs w:val="16"/>
              </w:rPr>
            </w:pPr>
            <w:r w:rsidRPr="005C29F8">
              <w:rPr>
                <w:rFonts w:cs="Arial"/>
                <w:color w:val="000000" w:themeColor="text1"/>
                <w:szCs w:val="16"/>
              </w:rPr>
              <w:t>7</w:t>
            </w:r>
          </w:p>
        </w:tc>
        <w:tc>
          <w:tcPr>
            <w:tcW w:w="589" w:type="pct"/>
            <w:shd w:val="clear" w:color="auto" w:fill="auto"/>
            <w:vAlign w:val="center"/>
          </w:tcPr>
          <w:p w14:paraId="6C540A5B" w14:textId="472541D0" w:rsidR="00DE45AB" w:rsidRPr="005C29F8" w:rsidRDefault="002B7490" w:rsidP="00A018D4">
            <w:pPr>
              <w:jc w:val="center"/>
              <w:rPr>
                <w:rFonts w:cs="Arial"/>
                <w:color w:val="000000" w:themeColor="text1"/>
                <w:szCs w:val="16"/>
              </w:rPr>
            </w:pPr>
            <w:r w:rsidRPr="005C29F8">
              <w:rPr>
                <w:rFonts w:cs="Arial"/>
                <w:color w:val="000000" w:themeColor="text1"/>
                <w:szCs w:val="16"/>
              </w:rPr>
              <w:t>0</w:t>
            </w:r>
          </w:p>
        </w:tc>
        <w:tc>
          <w:tcPr>
            <w:tcW w:w="814" w:type="pct"/>
            <w:shd w:val="clear" w:color="auto" w:fill="auto"/>
          </w:tcPr>
          <w:p w14:paraId="6F1E42F0" w14:textId="4B631704" w:rsidR="00DE45AB" w:rsidRPr="005C29F8" w:rsidRDefault="002B7490" w:rsidP="00A018D4">
            <w:pPr>
              <w:jc w:val="center"/>
              <w:rPr>
                <w:rFonts w:cs="Arial"/>
                <w:color w:val="000000" w:themeColor="text1"/>
                <w:szCs w:val="16"/>
              </w:rPr>
            </w:pPr>
            <w:r w:rsidRPr="005C29F8">
              <w:rPr>
                <w:rFonts w:cs="Arial"/>
                <w:color w:val="000000" w:themeColor="text1"/>
                <w:szCs w:val="16"/>
              </w:rPr>
              <w:t>403</w:t>
            </w:r>
          </w:p>
        </w:tc>
        <w:tc>
          <w:tcPr>
            <w:tcW w:w="534" w:type="pct"/>
            <w:shd w:val="clear" w:color="auto" w:fill="auto"/>
          </w:tcPr>
          <w:p w14:paraId="76FAD105" w14:textId="6054175F" w:rsidR="00DE45AB"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776" w:type="pct"/>
            <w:shd w:val="clear" w:color="auto" w:fill="auto"/>
          </w:tcPr>
          <w:p w14:paraId="0F3192F2" w14:textId="289113AF" w:rsidR="00DE45AB" w:rsidRPr="005C29F8" w:rsidRDefault="00BA56C8">
            <w:pPr>
              <w:jc w:val="center"/>
              <w:rPr>
                <w:rFonts w:cs="Arial"/>
                <w:color w:val="000000" w:themeColor="text1"/>
                <w:szCs w:val="16"/>
              </w:rPr>
            </w:pPr>
            <w:r w:rsidRPr="005C29F8">
              <w:rPr>
                <w:rFonts w:cs="Arial"/>
                <w:color w:val="000000" w:themeColor="text1"/>
                <w:szCs w:val="16"/>
              </w:rPr>
              <w:t>0%</w:t>
            </w:r>
          </w:p>
        </w:tc>
        <w:tc>
          <w:tcPr>
            <w:tcW w:w="485" w:type="pct"/>
            <w:shd w:val="clear" w:color="auto" w:fill="auto"/>
          </w:tcPr>
          <w:p w14:paraId="7BDF1791" w14:textId="2192A561" w:rsidR="00DE45AB"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602" w:type="pct"/>
            <w:shd w:val="clear" w:color="auto" w:fill="auto"/>
          </w:tcPr>
          <w:p w14:paraId="389804B8" w14:textId="23C75A7D" w:rsidR="00DE45AB" w:rsidRPr="005C29F8" w:rsidRDefault="002B7490" w:rsidP="00A018D4">
            <w:pPr>
              <w:jc w:val="center"/>
              <w:rPr>
                <w:rFonts w:cs="Arial"/>
                <w:color w:val="000000" w:themeColor="text1"/>
                <w:szCs w:val="16"/>
              </w:rPr>
            </w:pPr>
            <w:r w:rsidRPr="005C29F8">
              <w:rPr>
                <w:rFonts w:cs="Arial"/>
                <w:color w:val="000000" w:themeColor="text1"/>
                <w:szCs w:val="16"/>
              </w:rPr>
              <w:t>Met Target</w:t>
            </w:r>
          </w:p>
        </w:tc>
        <w:tc>
          <w:tcPr>
            <w:tcW w:w="584" w:type="pct"/>
            <w:shd w:val="clear" w:color="auto" w:fill="auto"/>
          </w:tcPr>
          <w:p w14:paraId="3AF9E82D" w14:textId="6AA616AB" w:rsidR="00DE45AB"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bl>
    <w:p w14:paraId="40DD3F41" w14:textId="31F46ACB" w:rsidR="00F9524E" w:rsidRPr="005C29F8" w:rsidRDefault="004B3E74" w:rsidP="000E33D0">
      <w:pPr>
        <w:rPr>
          <w:rFonts w:cs="Arial"/>
          <w:b/>
          <w:color w:val="000000" w:themeColor="text1"/>
          <w:szCs w:val="16"/>
        </w:rPr>
      </w:pPr>
      <w:r w:rsidRPr="005C29F8">
        <w:rPr>
          <w:rFonts w:cs="Arial"/>
          <w:b/>
          <w:color w:val="000000" w:themeColor="text1"/>
          <w:szCs w:val="16"/>
        </w:rPr>
        <w:t xml:space="preserve">Were all races and ethnicities included in the review? </w:t>
      </w:r>
    </w:p>
    <w:p w14:paraId="1F24C674" w14:textId="1B9869B3" w:rsidR="00F9524E" w:rsidRPr="005C29F8" w:rsidRDefault="00F9524E" w:rsidP="000E33D0">
      <w:pPr>
        <w:rPr>
          <w:rFonts w:cs="Arial"/>
          <w:color w:val="000000" w:themeColor="text1"/>
          <w:szCs w:val="16"/>
        </w:rPr>
      </w:pPr>
      <w:r w:rsidRPr="005C29F8">
        <w:rPr>
          <w:rFonts w:cs="Arial"/>
          <w:color w:val="000000" w:themeColor="text1"/>
          <w:szCs w:val="16"/>
        </w:rPr>
        <w:t>YES</w:t>
      </w:r>
    </w:p>
    <w:p w14:paraId="6DB014CF" w14:textId="6C5A068F" w:rsidR="001F6A28" w:rsidRPr="005C29F8" w:rsidRDefault="001F6A28" w:rsidP="009A755E">
      <w:pPr>
        <w:rPr>
          <w:rFonts w:cs="Arial"/>
          <w:b/>
          <w:color w:val="000000" w:themeColor="text1"/>
          <w:szCs w:val="16"/>
        </w:rPr>
      </w:pPr>
      <w:bookmarkStart w:id="30" w:name="_Toc392159294"/>
      <w:r w:rsidRPr="005C29F8">
        <w:rPr>
          <w:rFonts w:cs="Arial"/>
          <w:b/>
          <w:color w:val="000000" w:themeColor="text1"/>
          <w:szCs w:val="16"/>
        </w:rPr>
        <w:t>State’s definition of “significant discrepancy” and methodology</w:t>
      </w:r>
    </w:p>
    <w:p w14:paraId="68DA7D27" w14:textId="3FCFF894" w:rsidR="002D57DA" w:rsidRPr="005C29F8" w:rsidRDefault="002B7490" w:rsidP="009C613A">
      <w:pPr>
        <w:rPr>
          <w:rFonts w:cs="Arial"/>
          <w:b/>
          <w:color w:val="000000" w:themeColor="text1"/>
          <w:szCs w:val="16"/>
        </w:rPr>
      </w:pPr>
      <w:r w:rsidRPr="005C29F8">
        <w:rPr>
          <w:rFonts w:cs="Arial"/>
          <w:color w:val="000000" w:themeColor="text1"/>
          <w:szCs w:val="16"/>
        </w:rPr>
        <w:t>MA DESE’s definition of significant discrepancy in the rate of suspensions and expulsions (for greater than 10 days in a school year) of students with IEPs who are members of a specific racial/ethnic group is a suspension/ expulsion rate of five times the state rate for all students for three consecutive years. During FFY 2019 the state rate of all students statewide who were suspended or expelled for greater than 10 days is 0.006; five times the state rate is 0.031 or 3.1%. (Please note that because Indicator 4 is reported using a one-year lag, the final year of data analysis reported here is from FFY 2019.) Therefore, LEAs meeting the State's definition of significant discrepancy if they:</w:t>
      </w:r>
      <w:r w:rsidRPr="005C29F8">
        <w:rPr>
          <w:rFonts w:cs="Arial"/>
          <w:color w:val="000000" w:themeColor="text1"/>
          <w:szCs w:val="16"/>
        </w:rPr>
        <w:br/>
        <w:t>• met the minimum “n” size of 10 students with IEPs in a particular racial/ethnic group; and</w:t>
      </w:r>
      <w:r w:rsidRPr="005C29F8">
        <w:rPr>
          <w:rFonts w:cs="Arial"/>
          <w:color w:val="000000" w:themeColor="text1"/>
          <w:szCs w:val="16"/>
        </w:rPr>
        <w:br/>
        <w:t>•more than 3.1% ( five times the state rate) of students with an IEP who are members of a particular racial /ethnic group were suspended or expelled for greater than 10 days over the course of the 2018-2019 school year;</w:t>
      </w:r>
      <w:r w:rsidRPr="005C29F8">
        <w:rPr>
          <w:rFonts w:cs="Arial"/>
          <w:color w:val="000000" w:themeColor="text1"/>
          <w:szCs w:val="16"/>
        </w:rPr>
        <w:br/>
        <w:t>•and the identified LEA had similar data for the two prior school years.</w:t>
      </w:r>
      <w:r w:rsidRPr="005C29F8">
        <w:rPr>
          <w:rFonts w:cs="Arial"/>
          <w:color w:val="000000" w:themeColor="text1"/>
          <w:szCs w:val="16"/>
        </w:rPr>
        <w:br/>
      </w:r>
      <w:r w:rsidRPr="005C29F8">
        <w:rPr>
          <w:rFonts w:cs="Arial"/>
          <w:color w:val="000000" w:themeColor="text1"/>
          <w:szCs w:val="16"/>
        </w:rPr>
        <w:br/>
        <w:t>Discipline data are reported by the school districts to MA DESE using the School Safety and Discipline Report (SSDR). The SSDR includes all incidents involving bullying, drug, violent, or crime-related offenses on school property and any other offenses that result in a disciplinary action removing the student from the regular educational environment, including both in- and out-of-school suspensions.</w:t>
      </w:r>
      <w:r w:rsidRPr="005C29F8">
        <w:rPr>
          <w:rFonts w:cs="Arial"/>
          <w:color w:val="000000" w:themeColor="text1"/>
          <w:szCs w:val="16"/>
        </w:rPr>
        <w:br/>
      </w:r>
      <w:r w:rsidRPr="005C29F8">
        <w:rPr>
          <w:rFonts w:cs="Arial"/>
          <w:color w:val="000000" w:themeColor="text1"/>
          <w:szCs w:val="16"/>
        </w:rPr>
        <w:br/>
        <w:t>Although 406 LEAs were in operation during the 2018-2019 school year, MA DESE has overwritten the data for indicator 4B, removing from the calculation those LEAs that did not have data for each year of the calculation or did not meet the state’s minimum “n” size for all reporting years. Data reported here is on the 403LEAs that met the state’s “n” size requirement for Indicator 4B.</w:t>
      </w:r>
    </w:p>
    <w:p w14:paraId="3EC3FBFA" w14:textId="77777777" w:rsidR="006C575D" w:rsidRPr="005C29F8" w:rsidRDefault="006C575D" w:rsidP="004369B2">
      <w:pPr>
        <w:rPr>
          <w:b/>
          <w:color w:val="000000" w:themeColor="text1"/>
        </w:rPr>
      </w:pPr>
      <w:r w:rsidRPr="005C29F8">
        <w:rPr>
          <w:b/>
          <w:color w:val="000000" w:themeColor="text1"/>
        </w:rPr>
        <w:t>Provide additional information about this indicator (optional)</w:t>
      </w:r>
    </w:p>
    <w:p w14:paraId="35896747" w14:textId="5B1C78C3" w:rsidR="002D57DA" w:rsidRPr="005C29F8" w:rsidRDefault="002D57DA" w:rsidP="000E33D0">
      <w:pPr>
        <w:rPr>
          <w:rFonts w:cs="Arial"/>
          <w:color w:val="000000" w:themeColor="text1"/>
          <w:szCs w:val="16"/>
        </w:rPr>
      </w:pPr>
    </w:p>
    <w:p w14:paraId="4B905245" w14:textId="77777777" w:rsidR="005E2440" w:rsidRPr="005C29F8" w:rsidRDefault="005E2440" w:rsidP="004369B2">
      <w:pPr>
        <w:rPr>
          <w:color w:val="000000" w:themeColor="text1"/>
        </w:rPr>
      </w:pPr>
    </w:p>
    <w:p w14:paraId="248087F7" w14:textId="17599BC7" w:rsidR="001F6A28" w:rsidRPr="005C29F8" w:rsidRDefault="001F6A28" w:rsidP="004369B2">
      <w:pPr>
        <w:rPr>
          <w:color w:val="000000" w:themeColor="text1"/>
        </w:rPr>
      </w:pPr>
      <w:r w:rsidRPr="005C29F8">
        <w:rPr>
          <w:b/>
          <w:color w:val="000000" w:themeColor="text1"/>
        </w:rPr>
        <w:t>Review of Policies, Procedures, and Practices (completed in FFY 2019 using 2018-2019 data)</w:t>
      </w:r>
    </w:p>
    <w:p w14:paraId="71ECDBC1" w14:textId="77777777" w:rsidR="001F6A28" w:rsidRPr="005C29F8" w:rsidRDefault="001F6A28" w:rsidP="009A755E">
      <w:pPr>
        <w:rPr>
          <w:rFonts w:cs="Arial"/>
          <w:b/>
          <w:color w:val="000000" w:themeColor="text1"/>
          <w:szCs w:val="16"/>
        </w:rPr>
      </w:pPr>
      <w:r w:rsidRPr="005C29F8">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5C29F8" w:rsidRDefault="002B7490" w:rsidP="009C613A">
      <w:pPr>
        <w:rPr>
          <w:rFonts w:cs="Arial"/>
          <w:color w:val="000000" w:themeColor="text1"/>
          <w:szCs w:val="16"/>
        </w:rPr>
      </w:pPr>
      <w:r w:rsidRPr="005C29F8">
        <w:rPr>
          <w:rFonts w:cs="Arial"/>
          <w:color w:val="000000" w:themeColor="text1"/>
          <w:szCs w:val="16"/>
        </w:rPr>
        <w:t xml:space="preserve">MA DESE uses the same methodology for reviewing policies, practices, and procedures (PPPs) for LEAs identified as significant discrepancies in Indicators 4A and 4B. </w:t>
      </w:r>
      <w:r w:rsidRPr="005C29F8">
        <w:rPr>
          <w:rFonts w:cs="Arial"/>
          <w:color w:val="000000" w:themeColor="text1"/>
          <w:szCs w:val="16"/>
        </w:rPr>
        <w:br/>
      </w:r>
      <w:r w:rsidRPr="005C29F8">
        <w:rPr>
          <w:rFonts w:cs="Arial"/>
          <w:color w:val="000000" w:themeColor="text1"/>
          <w:szCs w:val="16"/>
        </w:rPr>
        <w:br/>
        <w:t xml:space="preserve">Assessing the appropriateness of the PPPs regarding the development and implementation of IEPs, the use of positive behavioral and instructional interventions and supports, and procedural safeguards has been a coordinated and collaborative process among several offices at MA DESE. MA DESE verifies compliance of LEAs PPPs through its monitoring review process, including special education monitoring criteria that address these focus areas, MA DESE also assesses corrective action reports and progress reports completed by LEAs in all other areas of identified noncompliance to assesses whether the non-compliance contributed to the discrepancy in indicators 4A and 4B. Any deficiencies in the PPPs must be corrected by the LEA within one year from date of notification and the LEA must submit evidence of the corrections to MA DESE for verification. </w:t>
      </w:r>
      <w:r w:rsidRPr="005C29F8">
        <w:rPr>
          <w:rFonts w:cs="Arial"/>
          <w:color w:val="000000" w:themeColor="text1"/>
          <w:szCs w:val="16"/>
        </w:rPr>
        <w:br/>
      </w:r>
      <w:r w:rsidRPr="005C29F8">
        <w:rPr>
          <w:rFonts w:cs="Arial"/>
          <w:color w:val="000000" w:themeColor="text1"/>
          <w:szCs w:val="16"/>
        </w:rPr>
        <w:br/>
        <w:t xml:space="preserve"> In this focused process. MA DESE verified that seven LEAs identified (for 4b) as having significant discrepancy through data analysis compliant with the IDEA but zero instances of noncompliance in relation to policies, practices, and procedures. Nonetheless, MA DESE will support their participation in the Rethinking Discipline Professional Learning Network (targeted assistance conversations with staff from the MA DESE Offices of Student and Family Support, Special Education Planning and Policy, and Charter Schools and School Redesign. This engagement included discussion of district-specific data, as well as information about successful strategies that LEAs have implemented and challenges they are facing related to student discipline practice and to provide for reflection on policies, practices, and procedures in order to support students on IEPS and reduce the use of disciplinary removal. </w:t>
      </w:r>
      <w:r w:rsidRPr="005C29F8">
        <w:rPr>
          <w:rFonts w:cs="Arial"/>
          <w:color w:val="000000" w:themeColor="text1"/>
          <w:szCs w:val="16"/>
        </w:rPr>
        <w:br/>
      </w:r>
      <w:r w:rsidRPr="005C29F8">
        <w:rPr>
          <w:rFonts w:cs="Arial"/>
          <w:color w:val="000000" w:themeColor="text1"/>
          <w:szCs w:val="16"/>
        </w:rPr>
        <w:lastRenderedPageBreak/>
        <w:br/>
        <w:t>By reviewing information, inclusive of monitoring progress reports, policies, procedures, and action plans, MA DESE verified that seven of the seven LEAs were correctly implementing all regulatory requirements related to the development and implementation of IEPs, positive behavioral interventions and supports, and procedural safeguards.</w:t>
      </w:r>
    </w:p>
    <w:p w14:paraId="3F34C37B" w14:textId="77777777" w:rsidR="00616510" w:rsidRPr="005C29F8" w:rsidRDefault="00616510" w:rsidP="009C613A">
      <w:pPr>
        <w:rPr>
          <w:rFonts w:cs="Arial"/>
          <w:color w:val="000000" w:themeColor="text1"/>
          <w:szCs w:val="16"/>
        </w:rPr>
      </w:pPr>
    </w:p>
    <w:p w14:paraId="23CDB3C2" w14:textId="04EDADC3" w:rsidR="00616510" w:rsidRDefault="00616510" w:rsidP="009C613A">
      <w:pPr>
        <w:rPr>
          <w:rFonts w:cs="Arial"/>
          <w:color w:val="000000" w:themeColor="text1"/>
          <w:szCs w:val="16"/>
        </w:rPr>
      </w:pPr>
      <w:r w:rsidRPr="005C29F8">
        <w:rPr>
          <w:rFonts w:cs="Arial"/>
          <w:color w:val="000000" w:themeColor="text1"/>
          <w:szCs w:val="16"/>
        </w:rPr>
        <w:t>The State DID NOT identify noncompliance with Part B requirements as a result of the review required by 34 CFR §300.170(b)</w:t>
      </w:r>
    </w:p>
    <w:p w14:paraId="3A779219" w14:textId="77777777" w:rsidR="00F9524E" w:rsidRPr="005C29F8" w:rsidRDefault="00F9524E">
      <w:pPr>
        <w:rPr>
          <w:b/>
          <w:color w:val="000000" w:themeColor="text1"/>
        </w:rPr>
      </w:pPr>
    </w:p>
    <w:p w14:paraId="54A274E0" w14:textId="63B9CCAD" w:rsidR="009A755E" w:rsidRPr="005C29F8" w:rsidRDefault="009A755E" w:rsidP="004369B2">
      <w:pPr>
        <w:rPr>
          <w:color w:val="000000" w:themeColor="text1"/>
        </w:rPr>
      </w:pPr>
      <w:r w:rsidRPr="005C29F8">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5C29F8" w14:paraId="114A5055" w14:textId="77777777" w:rsidTr="00C570AA">
        <w:trPr>
          <w:trHeight w:val="389"/>
          <w:tblHeader/>
        </w:trPr>
        <w:tc>
          <w:tcPr>
            <w:tcW w:w="1211" w:type="pct"/>
            <w:shd w:val="clear" w:color="auto" w:fill="auto"/>
            <w:vAlign w:val="bottom"/>
          </w:tcPr>
          <w:p w14:paraId="776A9C2C"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06AB2FBF" w14:textId="77777777" w:rsidTr="00C570AA">
        <w:tc>
          <w:tcPr>
            <w:tcW w:w="1211" w:type="pct"/>
            <w:shd w:val="clear" w:color="auto" w:fill="auto"/>
          </w:tcPr>
          <w:p w14:paraId="6AF875F0" w14:textId="0FD8621B" w:rsidR="009A755E" w:rsidRPr="005C29F8" w:rsidRDefault="009A755E" w:rsidP="00A018D4">
            <w:pPr>
              <w:jc w:val="center"/>
              <w:rPr>
                <w:rFonts w:cs="Arial"/>
                <w:color w:val="000000" w:themeColor="text1"/>
                <w:szCs w:val="16"/>
              </w:rPr>
            </w:pPr>
          </w:p>
        </w:tc>
        <w:tc>
          <w:tcPr>
            <w:tcW w:w="1271" w:type="pct"/>
            <w:shd w:val="clear" w:color="auto" w:fill="auto"/>
          </w:tcPr>
          <w:p w14:paraId="58D166B5" w14:textId="6ADFFC16" w:rsidR="009A755E" w:rsidRPr="005C29F8" w:rsidRDefault="009A755E" w:rsidP="00A018D4">
            <w:pPr>
              <w:jc w:val="center"/>
              <w:rPr>
                <w:rFonts w:cs="Arial"/>
                <w:color w:val="000000" w:themeColor="text1"/>
                <w:szCs w:val="16"/>
              </w:rPr>
            </w:pPr>
          </w:p>
        </w:tc>
        <w:tc>
          <w:tcPr>
            <w:tcW w:w="1214" w:type="pct"/>
            <w:shd w:val="clear" w:color="auto" w:fill="auto"/>
          </w:tcPr>
          <w:p w14:paraId="745E0498" w14:textId="77F90D3F" w:rsidR="009A755E" w:rsidRPr="005C29F8" w:rsidRDefault="009A755E" w:rsidP="00A018D4">
            <w:pPr>
              <w:jc w:val="center"/>
              <w:rPr>
                <w:rFonts w:cs="Arial"/>
                <w:color w:val="000000" w:themeColor="text1"/>
                <w:szCs w:val="16"/>
              </w:rPr>
            </w:pPr>
          </w:p>
        </w:tc>
        <w:tc>
          <w:tcPr>
            <w:tcW w:w="1304" w:type="pct"/>
            <w:shd w:val="clear" w:color="auto" w:fill="auto"/>
          </w:tcPr>
          <w:p w14:paraId="55E32910" w14:textId="7F6FD668" w:rsidR="009A755E" w:rsidRPr="005C29F8" w:rsidRDefault="009A755E" w:rsidP="00A018D4">
            <w:pPr>
              <w:jc w:val="center"/>
              <w:rPr>
                <w:rFonts w:cs="Arial"/>
                <w:color w:val="000000" w:themeColor="text1"/>
                <w:szCs w:val="16"/>
              </w:rPr>
            </w:pPr>
          </w:p>
        </w:tc>
      </w:tr>
    </w:tbl>
    <w:p w14:paraId="6CFB1826" w14:textId="2D35758D" w:rsidR="009A755E" w:rsidRPr="005C29F8" w:rsidRDefault="009A755E" w:rsidP="004369B2">
      <w:pPr>
        <w:rPr>
          <w:color w:val="000000" w:themeColor="text1"/>
        </w:rPr>
      </w:pPr>
      <w:r w:rsidRPr="005C29F8">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B04BPPFFYNCFINDINGS"/>
      </w:tblPr>
      <w:tblGrid>
        <w:gridCol w:w="1995"/>
        <w:gridCol w:w="2998"/>
        <w:gridCol w:w="2989"/>
        <w:gridCol w:w="2808"/>
      </w:tblGrid>
      <w:tr w:rsidR="005C29F8" w:rsidRPr="005C29F8" w14:paraId="00324CEE" w14:textId="77777777" w:rsidTr="00C570AA">
        <w:trPr>
          <w:tblHeader/>
        </w:trPr>
        <w:tc>
          <w:tcPr>
            <w:tcW w:w="924" w:type="pct"/>
            <w:shd w:val="clear" w:color="auto" w:fill="auto"/>
            <w:vAlign w:val="bottom"/>
          </w:tcPr>
          <w:p w14:paraId="77DA67D5" w14:textId="149F9136" w:rsidR="009A755E" w:rsidRPr="005C29F8" w:rsidRDefault="0016730D" w:rsidP="009A755E">
            <w:pPr>
              <w:jc w:val="center"/>
              <w:rPr>
                <w:rFonts w:cs="Arial"/>
                <w:b/>
                <w:color w:val="000000" w:themeColor="text1"/>
                <w:szCs w:val="16"/>
              </w:rPr>
            </w:pPr>
            <w:r w:rsidRPr="005C29F8">
              <w:rPr>
                <w:rFonts w:cs="Arial"/>
                <w:b/>
                <w:color w:val="000000" w:themeColor="text1"/>
                <w:szCs w:val="16"/>
              </w:rPr>
              <w:t>Year Findings of Noncompliance Were Identified</w:t>
            </w:r>
          </w:p>
        </w:tc>
        <w:tc>
          <w:tcPr>
            <w:tcW w:w="1389" w:type="pct"/>
            <w:shd w:val="clear" w:color="auto" w:fill="auto"/>
            <w:vAlign w:val="bottom"/>
          </w:tcPr>
          <w:p w14:paraId="10CE444D" w14:textId="76EB6AAD"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Not Yet Verified as Corrected as of FFY 2018 APR</w:t>
            </w:r>
          </w:p>
        </w:tc>
        <w:tc>
          <w:tcPr>
            <w:tcW w:w="1385" w:type="pct"/>
            <w:shd w:val="clear" w:color="auto" w:fill="auto"/>
            <w:vAlign w:val="bottom"/>
          </w:tcPr>
          <w:p w14:paraId="541F036E"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04FE0165" w14:textId="77777777" w:rsidTr="00C570AA">
        <w:tc>
          <w:tcPr>
            <w:tcW w:w="924" w:type="pct"/>
            <w:shd w:val="clear" w:color="auto" w:fill="auto"/>
          </w:tcPr>
          <w:p w14:paraId="24BDFB83" w14:textId="477472C3" w:rsidR="009A755E" w:rsidRPr="005C29F8"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5C29F8" w:rsidRDefault="009A755E">
            <w:pPr>
              <w:jc w:val="center"/>
              <w:rPr>
                <w:rFonts w:cs="Arial"/>
                <w:noProof/>
                <w:color w:val="000000" w:themeColor="text1"/>
                <w:szCs w:val="16"/>
              </w:rPr>
            </w:pPr>
          </w:p>
        </w:tc>
        <w:tc>
          <w:tcPr>
            <w:tcW w:w="1385" w:type="pct"/>
            <w:shd w:val="clear" w:color="auto" w:fill="auto"/>
          </w:tcPr>
          <w:p w14:paraId="265AB867" w14:textId="6DD4A6E4" w:rsidR="009A755E" w:rsidRPr="005C29F8" w:rsidRDefault="009A755E">
            <w:pPr>
              <w:jc w:val="center"/>
              <w:rPr>
                <w:rFonts w:cs="Arial"/>
                <w:noProof/>
                <w:color w:val="000000" w:themeColor="text1"/>
                <w:szCs w:val="16"/>
              </w:rPr>
            </w:pPr>
          </w:p>
        </w:tc>
        <w:tc>
          <w:tcPr>
            <w:tcW w:w="1301" w:type="pct"/>
            <w:shd w:val="clear" w:color="auto" w:fill="auto"/>
          </w:tcPr>
          <w:p w14:paraId="016118B8" w14:textId="60E0958F" w:rsidR="009A755E" w:rsidRPr="005C29F8" w:rsidRDefault="009A755E">
            <w:pPr>
              <w:jc w:val="center"/>
              <w:rPr>
                <w:rFonts w:cs="Arial"/>
                <w:noProof/>
                <w:color w:val="000000" w:themeColor="text1"/>
                <w:szCs w:val="16"/>
              </w:rPr>
            </w:pPr>
          </w:p>
        </w:tc>
      </w:tr>
      <w:tr w:rsidR="005C29F8" w:rsidRPr="005C29F8" w14:paraId="06C2E448" w14:textId="77777777" w:rsidTr="00C570AA">
        <w:tc>
          <w:tcPr>
            <w:tcW w:w="924" w:type="pct"/>
            <w:shd w:val="clear" w:color="auto" w:fill="auto"/>
          </w:tcPr>
          <w:p w14:paraId="1F883C29" w14:textId="16901E48" w:rsidR="009A755E" w:rsidRPr="005C29F8"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5C29F8" w:rsidRDefault="009A755E">
            <w:pPr>
              <w:jc w:val="center"/>
              <w:rPr>
                <w:rFonts w:cs="Arial"/>
                <w:noProof/>
                <w:color w:val="000000" w:themeColor="text1"/>
                <w:szCs w:val="16"/>
              </w:rPr>
            </w:pPr>
          </w:p>
        </w:tc>
        <w:tc>
          <w:tcPr>
            <w:tcW w:w="1385" w:type="pct"/>
            <w:shd w:val="clear" w:color="auto" w:fill="auto"/>
          </w:tcPr>
          <w:p w14:paraId="5C5B29A8" w14:textId="4F847347" w:rsidR="009A755E" w:rsidRPr="005C29F8" w:rsidRDefault="009A755E">
            <w:pPr>
              <w:jc w:val="center"/>
              <w:rPr>
                <w:rFonts w:cs="Arial"/>
                <w:noProof/>
                <w:color w:val="000000" w:themeColor="text1"/>
                <w:szCs w:val="16"/>
              </w:rPr>
            </w:pPr>
          </w:p>
        </w:tc>
        <w:tc>
          <w:tcPr>
            <w:tcW w:w="1301" w:type="pct"/>
            <w:shd w:val="clear" w:color="auto" w:fill="auto"/>
          </w:tcPr>
          <w:p w14:paraId="3059F96F" w14:textId="54D2C196" w:rsidR="009A755E" w:rsidRPr="005C29F8" w:rsidRDefault="009A755E">
            <w:pPr>
              <w:jc w:val="center"/>
              <w:rPr>
                <w:rFonts w:cs="Arial"/>
                <w:noProof/>
                <w:color w:val="000000" w:themeColor="text1"/>
                <w:szCs w:val="16"/>
              </w:rPr>
            </w:pPr>
          </w:p>
        </w:tc>
      </w:tr>
      <w:tr w:rsidR="005C29F8" w:rsidRPr="005C29F8" w14:paraId="270D86DF" w14:textId="77777777" w:rsidTr="00C570AA">
        <w:tc>
          <w:tcPr>
            <w:tcW w:w="924" w:type="pct"/>
            <w:shd w:val="clear" w:color="auto" w:fill="auto"/>
          </w:tcPr>
          <w:p w14:paraId="7DBC402C" w14:textId="659D0437" w:rsidR="009A755E" w:rsidRPr="005C29F8"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5C29F8" w:rsidRDefault="009A755E">
            <w:pPr>
              <w:jc w:val="center"/>
              <w:rPr>
                <w:rFonts w:cs="Arial"/>
                <w:noProof/>
                <w:color w:val="000000" w:themeColor="text1"/>
                <w:szCs w:val="16"/>
              </w:rPr>
            </w:pPr>
          </w:p>
        </w:tc>
        <w:tc>
          <w:tcPr>
            <w:tcW w:w="1385" w:type="pct"/>
            <w:shd w:val="clear" w:color="auto" w:fill="auto"/>
          </w:tcPr>
          <w:p w14:paraId="4ABCDE9F" w14:textId="61A85266" w:rsidR="009A755E" w:rsidRPr="005C29F8" w:rsidRDefault="009A755E">
            <w:pPr>
              <w:jc w:val="center"/>
              <w:rPr>
                <w:rFonts w:cs="Arial"/>
                <w:noProof/>
                <w:color w:val="000000" w:themeColor="text1"/>
                <w:szCs w:val="16"/>
              </w:rPr>
            </w:pPr>
          </w:p>
        </w:tc>
        <w:tc>
          <w:tcPr>
            <w:tcW w:w="1301" w:type="pct"/>
            <w:shd w:val="clear" w:color="auto" w:fill="auto"/>
          </w:tcPr>
          <w:p w14:paraId="4AB54464" w14:textId="0D8F01A9" w:rsidR="009A755E" w:rsidRPr="005C29F8" w:rsidRDefault="009A755E">
            <w:pPr>
              <w:jc w:val="center"/>
              <w:rPr>
                <w:rFonts w:cs="Arial"/>
                <w:noProof/>
                <w:color w:val="000000" w:themeColor="text1"/>
                <w:szCs w:val="16"/>
              </w:rPr>
            </w:pPr>
          </w:p>
        </w:tc>
      </w:tr>
    </w:tbl>
    <w:p w14:paraId="78C7176D" w14:textId="44CC878A" w:rsidR="009A221D" w:rsidRPr="005C29F8" w:rsidRDefault="009A221D" w:rsidP="009A221D">
      <w:pPr>
        <w:rPr>
          <w:rFonts w:cs="Arial"/>
          <w:b/>
          <w:bCs/>
          <w:color w:val="000000" w:themeColor="text1"/>
          <w:szCs w:val="16"/>
        </w:rPr>
      </w:pPr>
    </w:p>
    <w:p w14:paraId="4E534FF7" w14:textId="7B8B86A4" w:rsidR="009A755E" w:rsidRPr="005C29F8" w:rsidRDefault="009A755E" w:rsidP="004369B2">
      <w:pPr>
        <w:rPr>
          <w:color w:val="000000" w:themeColor="text1"/>
        </w:rPr>
      </w:pPr>
      <w:r w:rsidRPr="005C29F8">
        <w:rPr>
          <w:b/>
          <w:color w:val="000000" w:themeColor="text1"/>
        </w:rPr>
        <w:t>Findings of Noncompliance Verified as Corrected</w:t>
      </w:r>
    </w:p>
    <w:p w14:paraId="6D2F84BA" w14:textId="56FB246F" w:rsidR="009A755E" w:rsidRPr="005C29F8" w:rsidRDefault="009A755E" w:rsidP="009A755E">
      <w:pPr>
        <w:rPr>
          <w:rFonts w:cs="Arial"/>
          <w:b/>
          <w:color w:val="000000" w:themeColor="text1"/>
          <w:szCs w:val="16"/>
        </w:rPr>
      </w:pPr>
      <w:r w:rsidRPr="005C29F8">
        <w:rPr>
          <w:rFonts w:cs="Arial"/>
          <w:b/>
          <w:color w:val="000000" w:themeColor="text1"/>
          <w:szCs w:val="16"/>
        </w:rPr>
        <w:t xml:space="preserve">Describe how the State verified that the source of noncompliance is correctly implementing the </w:t>
      </w:r>
      <w:r w:rsidRPr="005C29F8">
        <w:rPr>
          <w:rFonts w:cs="Arial"/>
          <w:b/>
          <w:i/>
          <w:color w:val="000000" w:themeColor="text1"/>
          <w:szCs w:val="16"/>
        </w:rPr>
        <w:t>regulatory requirements</w:t>
      </w:r>
    </w:p>
    <w:p w14:paraId="49F25CF7" w14:textId="082BC6AF" w:rsidR="003C308E" w:rsidRPr="005C29F8" w:rsidRDefault="003C308E" w:rsidP="009A755E">
      <w:pPr>
        <w:rPr>
          <w:rFonts w:cs="Arial"/>
          <w:color w:val="000000" w:themeColor="text1"/>
          <w:szCs w:val="16"/>
        </w:rPr>
      </w:pPr>
    </w:p>
    <w:p w14:paraId="18499E6B" w14:textId="7BB19FBF" w:rsidR="009A755E" w:rsidRPr="005C29F8" w:rsidRDefault="009A755E" w:rsidP="009A755E">
      <w:pPr>
        <w:rPr>
          <w:rFonts w:cs="Arial"/>
          <w:b/>
          <w:color w:val="000000" w:themeColor="text1"/>
          <w:szCs w:val="16"/>
        </w:rPr>
      </w:pPr>
      <w:r w:rsidRPr="005C29F8">
        <w:rPr>
          <w:rFonts w:cs="Arial"/>
          <w:b/>
          <w:color w:val="000000" w:themeColor="text1"/>
          <w:szCs w:val="16"/>
        </w:rPr>
        <w:t xml:space="preserve">Describe how the State verified that each </w:t>
      </w:r>
      <w:r w:rsidRPr="005C29F8">
        <w:rPr>
          <w:rFonts w:cs="Arial"/>
          <w:b/>
          <w:i/>
          <w:color w:val="000000" w:themeColor="text1"/>
          <w:szCs w:val="16"/>
        </w:rPr>
        <w:t>individual case</w:t>
      </w:r>
      <w:r w:rsidRPr="005C29F8">
        <w:rPr>
          <w:rFonts w:cs="Arial"/>
          <w:b/>
          <w:color w:val="000000" w:themeColor="text1"/>
          <w:szCs w:val="16"/>
        </w:rPr>
        <w:t xml:space="preserve"> of noncompliance was corrected</w:t>
      </w:r>
    </w:p>
    <w:p w14:paraId="47DD79F6" w14:textId="61BF1E05" w:rsidR="003C308E" w:rsidRDefault="003C308E" w:rsidP="009A755E">
      <w:pPr>
        <w:rPr>
          <w:rFonts w:cs="Arial"/>
          <w:color w:val="000000" w:themeColor="text1"/>
          <w:szCs w:val="16"/>
        </w:rPr>
      </w:pPr>
    </w:p>
    <w:p w14:paraId="7BCEF85B" w14:textId="62F9E93D" w:rsidR="004E2151" w:rsidRPr="0033429D" w:rsidRDefault="00D11730" w:rsidP="008645AD">
      <w:pPr>
        <w:pStyle w:val="Heading2"/>
      </w:pPr>
      <w:r w:rsidRPr="0033429D">
        <w:t>4B</w:t>
      </w:r>
      <w:r w:rsidR="00E90DE9" w:rsidRPr="0033429D">
        <w:t xml:space="preserve"> </w:t>
      </w:r>
      <w:r w:rsidRPr="0033429D">
        <w:t xml:space="preserve">- </w:t>
      </w:r>
      <w:r w:rsidR="004E2151" w:rsidRPr="0033429D">
        <w:t>Prior FFY Required Actions</w:t>
      </w:r>
    </w:p>
    <w:p w14:paraId="60DC97B4" w14:textId="67376465" w:rsidR="009B02BC" w:rsidRPr="005C29F8" w:rsidRDefault="002B7490" w:rsidP="004E2151">
      <w:pPr>
        <w:rPr>
          <w:rFonts w:cs="Arial"/>
          <w:color w:val="000000" w:themeColor="text1"/>
          <w:szCs w:val="16"/>
        </w:rPr>
      </w:pPr>
      <w:r w:rsidRPr="005C29F8">
        <w:rPr>
          <w:rFonts w:cs="Arial"/>
          <w:color w:val="000000" w:themeColor="text1"/>
          <w:szCs w:val="16"/>
        </w:rPr>
        <w:t>None</w:t>
      </w:r>
    </w:p>
    <w:p w14:paraId="7562BCA8" w14:textId="2875B1E9" w:rsidR="005115D6" w:rsidRPr="0033429D" w:rsidRDefault="00D11730" w:rsidP="008645AD">
      <w:pPr>
        <w:pStyle w:val="Heading2"/>
      </w:pPr>
      <w:r w:rsidRPr="0033429D">
        <w:t>4B - OSEP Response</w:t>
      </w:r>
    </w:p>
    <w:p w14:paraId="489BF62D" w14:textId="19458AE8" w:rsidR="003C308E" w:rsidRPr="005C29F8" w:rsidRDefault="003C308E" w:rsidP="00212954">
      <w:pPr>
        <w:rPr>
          <w:rFonts w:cs="Arial"/>
          <w:color w:val="000000" w:themeColor="text1"/>
          <w:szCs w:val="16"/>
        </w:rPr>
      </w:pPr>
    </w:p>
    <w:p w14:paraId="4D6C35B1" w14:textId="16E26788" w:rsidR="005115D6" w:rsidRPr="0033429D" w:rsidRDefault="00D11730" w:rsidP="008645AD">
      <w:pPr>
        <w:pStyle w:val="Heading2"/>
      </w:pPr>
      <w:r w:rsidRPr="0033429D">
        <w:t>4B- Required Actions</w:t>
      </w:r>
    </w:p>
    <w:p w14:paraId="5DE261E4" w14:textId="20281C98" w:rsidR="003C308E" w:rsidRPr="005C29F8" w:rsidRDefault="003C308E" w:rsidP="00212954">
      <w:pPr>
        <w:rPr>
          <w:rFonts w:cs="Arial"/>
          <w:color w:val="000000" w:themeColor="text1"/>
          <w:szCs w:val="16"/>
        </w:rPr>
      </w:pPr>
    </w:p>
    <w:p w14:paraId="4C9312F8" w14:textId="77777777" w:rsidR="00600E15" w:rsidRPr="005C29F8" w:rsidRDefault="00600E15">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4F968F36" w14:textId="6BE4B228" w:rsidR="00D21EAA" w:rsidRPr="005C29F8" w:rsidRDefault="00D21EAA" w:rsidP="000444E2">
      <w:pPr>
        <w:pStyle w:val="Heading1"/>
        <w:rPr>
          <w:color w:val="000000" w:themeColor="text1"/>
          <w:sz w:val="22"/>
        </w:rPr>
      </w:pPr>
      <w:r w:rsidRPr="005C29F8">
        <w:rPr>
          <w:color w:val="000000" w:themeColor="text1"/>
          <w:sz w:val="22"/>
        </w:rPr>
        <w:lastRenderedPageBreak/>
        <w:t xml:space="preserve">Indicator 5: </w:t>
      </w:r>
      <w:bookmarkEnd w:id="11"/>
      <w:r w:rsidRPr="005C29F8">
        <w:rPr>
          <w:color w:val="000000" w:themeColor="text1"/>
          <w:sz w:val="22"/>
        </w:rPr>
        <w:t>Education Environments (children 6-21)</w:t>
      </w:r>
      <w:bookmarkEnd w:id="18"/>
      <w:bookmarkEnd w:id="30"/>
    </w:p>
    <w:p w14:paraId="52AD89A1" w14:textId="77777777" w:rsidR="00775845" w:rsidRPr="005C29F8" w:rsidRDefault="00775845" w:rsidP="00A018D4">
      <w:pPr>
        <w:rPr>
          <w:color w:val="000000" w:themeColor="text1"/>
          <w:szCs w:val="20"/>
        </w:rPr>
      </w:pPr>
      <w:bookmarkStart w:id="31" w:name="_Toc392159295"/>
      <w:r w:rsidRPr="005C29F8">
        <w:rPr>
          <w:b/>
          <w:color w:val="000000" w:themeColor="text1"/>
          <w:sz w:val="20"/>
          <w:szCs w:val="20"/>
        </w:rPr>
        <w:t xml:space="preserve">Instructions and Measurement </w:t>
      </w:r>
    </w:p>
    <w:p w14:paraId="5E00F17E" w14:textId="149CBFE3" w:rsidR="00CC634E" w:rsidRPr="005C29F8" w:rsidRDefault="00CC634E" w:rsidP="004369B2">
      <w:pPr>
        <w:rPr>
          <w:color w:val="000000" w:themeColor="text1"/>
        </w:rPr>
      </w:pPr>
      <w:r w:rsidRPr="005C29F8">
        <w:rPr>
          <w:b/>
          <w:color w:val="000000" w:themeColor="text1"/>
        </w:rPr>
        <w:t>Monitoring Priority:</w:t>
      </w:r>
      <w:r w:rsidRPr="005C29F8">
        <w:rPr>
          <w:color w:val="000000" w:themeColor="text1"/>
        </w:rPr>
        <w:t xml:space="preserve"> FAPE in the LRE</w:t>
      </w:r>
    </w:p>
    <w:p w14:paraId="653D57AC" w14:textId="3437AE35" w:rsidR="00CC634E" w:rsidRPr="005C29F8" w:rsidRDefault="00CC634E" w:rsidP="009A755E">
      <w:pPr>
        <w:rPr>
          <w:rFonts w:cs="Arial"/>
          <w:color w:val="000000" w:themeColor="text1"/>
          <w:szCs w:val="16"/>
        </w:rPr>
      </w:pPr>
      <w:r w:rsidRPr="005C29F8">
        <w:rPr>
          <w:rFonts w:cs="Arial"/>
          <w:b/>
          <w:color w:val="000000" w:themeColor="text1"/>
          <w:szCs w:val="16"/>
        </w:rPr>
        <w:t>Results indicator:</w:t>
      </w:r>
      <w:r w:rsidR="00131842" w:rsidRPr="005C29F8">
        <w:rPr>
          <w:rFonts w:cs="Arial"/>
          <w:color w:val="000000" w:themeColor="text1"/>
          <w:szCs w:val="16"/>
        </w:rPr>
        <w:t xml:space="preserve"> </w:t>
      </w:r>
      <w:r w:rsidRPr="005C29F8">
        <w:rPr>
          <w:rFonts w:cs="Arial"/>
          <w:color w:val="000000" w:themeColor="text1"/>
          <w:szCs w:val="16"/>
        </w:rPr>
        <w:t>Education environments (children 6-21):</w:t>
      </w:r>
      <w:r w:rsidR="00131842" w:rsidRPr="005C29F8">
        <w:rPr>
          <w:rFonts w:cs="Arial"/>
          <w:color w:val="000000" w:themeColor="text1"/>
          <w:szCs w:val="16"/>
        </w:rPr>
        <w:t xml:space="preserve"> </w:t>
      </w:r>
      <w:r w:rsidRPr="005C29F8">
        <w:rPr>
          <w:rFonts w:cs="Arial"/>
          <w:color w:val="000000" w:themeColor="text1"/>
          <w:szCs w:val="16"/>
        </w:rPr>
        <w:t>Percent of children with IEPs aged 6 through 21 served:</w:t>
      </w:r>
    </w:p>
    <w:p w14:paraId="7D5946B6" w14:textId="027B0899" w:rsidR="00CC634E" w:rsidRPr="005C29F8" w:rsidRDefault="00B9739D" w:rsidP="006A01BD">
      <w:pPr>
        <w:ind w:firstLine="720"/>
        <w:rPr>
          <w:rFonts w:cs="Arial"/>
          <w:color w:val="000000" w:themeColor="text1"/>
          <w:szCs w:val="16"/>
        </w:rPr>
      </w:pPr>
      <w:r w:rsidRPr="005C29F8">
        <w:rPr>
          <w:rFonts w:cs="Arial"/>
          <w:color w:val="000000" w:themeColor="text1"/>
          <w:szCs w:val="16"/>
        </w:rPr>
        <w:t>A. Inside the regular class 80% or more of the day;</w:t>
      </w:r>
    </w:p>
    <w:p w14:paraId="64FA9D2A" w14:textId="36742077" w:rsidR="00CC634E" w:rsidRPr="005C29F8" w:rsidRDefault="00B9739D" w:rsidP="006A01BD">
      <w:pPr>
        <w:ind w:firstLine="720"/>
        <w:rPr>
          <w:rFonts w:cs="Arial"/>
          <w:color w:val="000000" w:themeColor="text1"/>
          <w:szCs w:val="16"/>
        </w:rPr>
      </w:pPr>
      <w:r w:rsidRPr="005C29F8">
        <w:rPr>
          <w:rFonts w:cs="Arial"/>
          <w:color w:val="000000" w:themeColor="text1"/>
          <w:szCs w:val="16"/>
        </w:rPr>
        <w:t>B. Inside the regular class less than 40% of the day; and</w:t>
      </w:r>
    </w:p>
    <w:p w14:paraId="7D6C4792" w14:textId="4E458A42" w:rsidR="00CC634E" w:rsidRPr="005C29F8" w:rsidRDefault="00B9739D" w:rsidP="006A01BD">
      <w:pPr>
        <w:ind w:firstLine="720"/>
        <w:rPr>
          <w:rFonts w:cs="Arial"/>
          <w:color w:val="000000" w:themeColor="text1"/>
          <w:szCs w:val="16"/>
        </w:rPr>
      </w:pPr>
      <w:r w:rsidRPr="005C29F8">
        <w:rPr>
          <w:rFonts w:cs="Arial"/>
          <w:color w:val="000000" w:themeColor="text1"/>
          <w:szCs w:val="16"/>
        </w:rPr>
        <w:t>C. In separate schools, residential facilities, or homebound/hospital placements.</w:t>
      </w:r>
    </w:p>
    <w:p w14:paraId="7086FA15" w14:textId="47C5B9E3" w:rsidR="0011074D" w:rsidRPr="005C29F8" w:rsidRDefault="0011074D" w:rsidP="0011074D">
      <w:pPr>
        <w:rPr>
          <w:rFonts w:cs="Arial"/>
          <w:color w:val="000000" w:themeColor="text1"/>
          <w:szCs w:val="16"/>
        </w:rPr>
      </w:pPr>
      <w:r w:rsidRPr="005C29F8">
        <w:rPr>
          <w:rFonts w:cs="Arial"/>
          <w:color w:val="000000" w:themeColor="text1"/>
          <w:szCs w:val="16"/>
        </w:rPr>
        <w:t>(20 U.S.C. 1416(a)(3)(A))</w:t>
      </w:r>
    </w:p>
    <w:p w14:paraId="497EFC48" w14:textId="77777777" w:rsidR="001F6A28" w:rsidRPr="005C29F8" w:rsidRDefault="001F6A28" w:rsidP="004369B2">
      <w:pPr>
        <w:rPr>
          <w:color w:val="000000" w:themeColor="text1"/>
        </w:rPr>
      </w:pPr>
      <w:r w:rsidRPr="005C29F8">
        <w:rPr>
          <w:b/>
          <w:color w:val="000000" w:themeColor="text1"/>
        </w:rPr>
        <w:t>Data Source</w:t>
      </w:r>
    </w:p>
    <w:p w14:paraId="27A12343" w14:textId="1C2938A9" w:rsidR="001F6A28" w:rsidRPr="005C29F8" w:rsidRDefault="001F6A28" w:rsidP="00BB7BC9">
      <w:pPr>
        <w:rPr>
          <w:rFonts w:cs="Arial"/>
          <w:color w:val="000000" w:themeColor="text1"/>
          <w:szCs w:val="16"/>
        </w:rPr>
      </w:pPr>
      <w:r w:rsidRPr="005C29F8">
        <w:rPr>
          <w:rFonts w:cs="Arial"/>
          <w:color w:val="000000" w:themeColor="text1"/>
          <w:szCs w:val="16"/>
        </w:rPr>
        <w:t>S</w:t>
      </w:r>
      <w:r w:rsidRPr="005C29F8">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5C29F8">
        <w:rPr>
          <w:rFonts w:cs="Arial"/>
          <w:color w:val="000000" w:themeColor="text1"/>
          <w:szCs w:val="16"/>
          <w:shd w:val="clear" w:color="auto" w:fill="FFFFFF"/>
        </w:rPr>
        <w:t>FS</w:t>
      </w:r>
      <w:r w:rsidRPr="005C29F8">
        <w:rPr>
          <w:rFonts w:cs="Arial"/>
          <w:color w:val="000000" w:themeColor="text1"/>
          <w:szCs w:val="16"/>
          <w:shd w:val="clear" w:color="auto" w:fill="FFFFFF"/>
        </w:rPr>
        <w:t>002.</w:t>
      </w:r>
    </w:p>
    <w:p w14:paraId="6BD2884B" w14:textId="77777777" w:rsidR="001F6A28" w:rsidRPr="005C29F8" w:rsidRDefault="001F6A28" w:rsidP="004369B2">
      <w:pPr>
        <w:rPr>
          <w:color w:val="000000" w:themeColor="text1"/>
        </w:rPr>
      </w:pPr>
      <w:r w:rsidRPr="005C29F8">
        <w:rPr>
          <w:b/>
          <w:color w:val="000000" w:themeColor="text1"/>
        </w:rPr>
        <w:t>Measurement</w:t>
      </w:r>
    </w:p>
    <w:p w14:paraId="29361C11" w14:textId="4D7521C6" w:rsidR="001F6A28" w:rsidRPr="005C29F8" w:rsidRDefault="001F6A28" w:rsidP="00286BDF">
      <w:pPr>
        <w:rPr>
          <w:rFonts w:cs="Arial"/>
          <w:color w:val="000000" w:themeColor="text1"/>
          <w:szCs w:val="16"/>
        </w:rPr>
      </w:pPr>
      <w:r w:rsidRPr="005C29F8">
        <w:rPr>
          <w:rFonts w:cs="Arial"/>
          <w:color w:val="000000" w:themeColor="text1"/>
          <w:szCs w:val="16"/>
        </w:rPr>
        <w:t>Percent</w:t>
      </w:r>
      <w:r w:rsidRPr="005C29F8">
        <w:rPr>
          <w:rFonts w:cs="Arial"/>
          <w:color w:val="000000" w:themeColor="text1"/>
          <w:szCs w:val="16"/>
          <w:shd w:val="clear" w:color="auto" w:fill="FFFFFF"/>
        </w:rPr>
        <w:t xml:space="preserve"> = </w:t>
      </w:r>
      <w:r w:rsidR="00A33668" w:rsidRPr="005C29F8">
        <w:rPr>
          <w:rFonts w:cs="Arial"/>
          <w:color w:val="000000" w:themeColor="text1"/>
          <w:szCs w:val="16"/>
          <w:shd w:val="clear" w:color="auto" w:fill="FFFFFF"/>
        </w:rPr>
        <w:t xml:space="preserve">[(# </w:t>
      </w:r>
      <w:r w:rsidRPr="005C29F8">
        <w:rPr>
          <w:rFonts w:cs="Arial"/>
          <w:color w:val="000000" w:themeColor="text1"/>
          <w:szCs w:val="16"/>
          <w:shd w:val="clear" w:color="auto" w:fill="FFFFFF"/>
        </w:rPr>
        <w:t>of children with IEPs aged 6 through 21 served inside the regular class 80% or more of the day) divided by the (total # of students aged 6 through 21 with IEPs</w:t>
      </w:r>
      <w:r w:rsidR="00A33668" w:rsidRPr="005C29F8">
        <w:rPr>
          <w:rFonts w:cs="Arial"/>
          <w:color w:val="000000" w:themeColor="text1"/>
          <w:szCs w:val="16"/>
          <w:shd w:val="clear" w:color="auto" w:fill="FFFFFF"/>
        </w:rPr>
        <w:t xml:space="preserve">)] </w:t>
      </w:r>
      <w:r w:rsidRPr="005C29F8">
        <w:rPr>
          <w:rFonts w:cs="Arial"/>
          <w:color w:val="000000" w:themeColor="text1"/>
          <w:szCs w:val="16"/>
          <w:shd w:val="clear" w:color="auto" w:fill="FFFFFF"/>
        </w:rPr>
        <w:t>times 100.</w:t>
      </w:r>
    </w:p>
    <w:p w14:paraId="1AC31DB2" w14:textId="551F3C1A" w:rsidR="001F6A28" w:rsidRPr="005C29F8" w:rsidRDefault="00DB1150" w:rsidP="00286BDF">
      <w:pPr>
        <w:rPr>
          <w:rFonts w:cs="Arial"/>
          <w:color w:val="000000" w:themeColor="text1"/>
          <w:szCs w:val="16"/>
        </w:rPr>
      </w:pPr>
      <w:r w:rsidRPr="005C29F8">
        <w:rPr>
          <w:rFonts w:cs="Arial"/>
          <w:color w:val="000000" w:themeColor="text1"/>
          <w:szCs w:val="16"/>
        </w:rPr>
        <w:t xml:space="preserve">Percent </w:t>
      </w:r>
      <w:r w:rsidRPr="005C29F8">
        <w:rPr>
          <w:rFonts w:cs="Arial"/>
          <w:color w:val="000000" w:themeColor="text1"/>
          <w:szCs w:val="16"/>
          <w:shd w:val="clear" w:color="auto" w:fill="FFFFFF"/>
        </w:rPr>
        <w:t>=</w:t>
      </w:r>
      <w:r w:rsidR="001F6A28" w:rsidRPr="005C29F8">
        <w:rPr>
          <w:rFonts w:cs="Arial"/>
          <w:color w:val="000000" w:themeColor="text1"/>
          <w:szCs w:val="16"/>
          <w:shd w:val="clear" w:color="auto" w:fill="FFFFFF"/>
        </w:rPr>
        <w:t xml:space="preserve"> </w:t>
      </w:r>
      <w:r w:rsidR="00A33668" w:rsidRPr="005C29F8">
        <w:rPr>
          <w:rFonts w:cs="Arial"/>
          <w:color w:val="000000" w:themeColor="text1"/>
          <w:szCs w:val="16"/>
          <w:shd w:val="clear" w:color="auto" w:fill="FFFFFF"/>
        </w:rPr>
        <w:t xml:space="preserve">[(# </w:t>
      </w:r>
      <w:r w:rsidR="001F6A28" w:rsidRPr="005C29F8">
        <w:rPr>
          <w:rFonts w:cs="Arial"/>
          <w:color w:val="000000" w:themeColor="text1"/>
          <w:szCs w:val="16"/>
          <w:shd w:val="clear" w:color="auto" w:fill="FFFFFF"/>
        </w:rPr>
        <w:t>of children with IEPs aged 6 through 21 served inside the regular class less than 40% of the day) divided by the (total # of students aged 6 through 21 with IEPs</w:t>
      </w:r>
      <w:r w:rsidR="00A33668" w:rsidRPr="005C29F8">
        <w:rPr>
          <w:rFonts w:cs="Arial"/>
          <w:color w:val="000000" w:themeColor="text1"/>
          <w:szCs w:val="16"/>
          <w:shd w:val="clear" w:color="auto" w:fill="FFFFFF"/>
        </w:rPr>
        <w:t xml:space="preserve">)] </w:t>
      </w:r>
      <w:r w:rsidR="001F6A28" w:rsidRPr="005C29F8">
        <w:rPr>
          <w:rFonts w:cs="Arial"/>
          <w:color w:val="000000" w:themeColor="text1"/>
          <w:szCs w:val="16"/>
          <w:shd w:val="clear" w:color="auto" w:fill="FFFFFF"/>
        </w:rPr>
        <w:t>times 100.</w:t>
      </w:r>
    </w:p>
    <w:p w14:paraId="32E65458" w14:textId="7E959129" w:rsidR="001F6A28" w:rsidRPr="005C29F8" w:rsidRDefault="001F6A28" w:rsidP="00286BDF">
      <w:pPr>
        <w:rPr>
          <w:rFonts w:cs="Arial"/>
          <w:color w:val="000000" w:themeColor="text1"/>
          <w:szCs w:val="16"/>
        </w:rPr>
      </w:pPr>
      <w:r w:rsidRPr="005C29F8">
        <w:rPr>
          <w:rFonts w:cs="Arial"/>
          <w:color w:val="000000" w:themeColor="text1"/>
          <w:szCs w:val="16"/>
        </w:rPr>
        <w:t>P</w:t>
      </w:r>
      <w:r w:rsidRPr="005C29F8">
        <w:rPr>
          <w:rFonts w:cs="Arial"/>
          <w:color w:val="000000" w:themeColor="text1"/>
          <w:szCs w:val="16"/>
          <w:shd w:val="clear" w:color="auto" w:fill="FFFFFF"/>
        </w:rPr>
        <w:t xml:space="preserve">ercent = </w:t>
      </w:r>
      <w:r w:rsidR="00A33668" w:rsidRPr="005C29F8">
        <w:rPr>
          <w:rFonts w:cs="Arial"/>
          <w:color w:val="000000" w:themeColor="text1"/>
          <w:szCs w:val="16"/>
          <w:shd w:val="clear" w:color="auto" w:fill="FFFFFF"/>
        </w:rPr>
        <w:t xml:space="preserve">[(# </w:t>
      </w:r>
      <w:r w:rsidRPr="005C29F8">
        <w:rPr>
          <w:rFonts w:cs="Arial"/>
          <w:color w:val="000000" w:themeColor="text1"/>
          <w:szCs w:val="16"/>
          <w:shd w:val="clear" w:color="auto" w:fill="FFFFFF"/>
        </w:rPr>
        <w:t>of children with IEPs aged 6 through 21 served in separate schools, residential facilities, or homebound/hospital placements) divided by the (total # of students aged 6 through 21 with IEPs</w:t>
      </w:r>
      <w:r w:rsidR="00A33668" w:rsidRPr="005C29F8">
        <w:rPr>
          <w:rFonts w:cs="Arial"/>
          <w:color w:val="000000" w:themeColor="text1"/>
          <w:szCs w:val="16"/>
          <w:shd w:val="clear" w:color="auto" w:fill="FFFFFF"/>
        </w:rPr>
        <w:t>)]</w:t>
      </w:r>
      <w:r w:rsidRPr="005C29F8">
        <w:rPr>
          <w:rFonts w:cs="Arial"/>
          <w:color w:val="000000" w:themeColor="text1"/>
          <w:szCs w:val="16"/>
          <w:shd w:val="clear" w:color="auto" w:fill="FFFFFF"/>
        </w:rPr>
        <w:t>times 100.</w:t>
      </w:r>
    </w:p>
    <w:p w14:paraId="06AD540D" w14:textId="77777777" w:rsidR="001F6A28" w:rsidRPr="005C29F8" w:rsidRDefault="001F6A28" w:rsidP="004369B2">
      <w:pPr>
        <w:rPr>
          <w:color w:val="000000" w:themeColor="text1"/>
        </w:rPr>
      </w:pPr>
      <w:r w:rsidRPr="005C29F8">
        <w:rPr>
          <w:b/>
          <w:color w:val="000000" w:themeColor="text1"/>
        </w:rPr>
        <w:t>Instructions</w:t>
      </w:r>
    </w:p>
    <w:p w14:paraId="37FC98B2" w14:textId="6257AEA0" w:rsidR="001F6A28" w:rsidRPr="005C29F8" w:rsidRDefault="001F6A28" w:rsidP="00BB7BC9">
      <w:pPr>
        <w:rPr>
          <w:rFonts w:cs="Arial"/>
          <w:color w:val="000000" w:themeColor="text1"/>
          <w:szCs w:val="16"/>
        </w:rPr>
      </w:pPr>
      <w:r w:rsidRPr="005C29F8">
        <w:rPr>
          <w:rFonts w:cs="Arial"/>
          <w:color w:val="000000" w:themeColor="text1"/>
          <w:szCs w:val="16"/>
        </w:rPr>
        <w:t>Sampling from the State’s 618 data is not allowed.</w:t>
      </w:r>
    </w:p>
    <w:p w14:paraId="707ABAC1" w14:textId="77777777" w:rsidR="001F6A28" w:rsidRPr="005C29F8" w:rsidRDefault="001F6A28" w:rsidP="00BB7BC9">
      <w:pPr>
        <w:rPr>
          <w:rFonts w:cs="Arial"/>
          <w:color w:val="000000" w:themeColor="text1"/>
          <w:szCs w:val="16"/>
        </w:rPr>
      </w:pPr>
      <w:r w:rsidRPr="005C29F8">
        <w:rPr>
          <w:rFonts w:cs="Arial"/>
          <w:color w:val="000000" w:themeColor="text1"/>
          <w:szCs w:val="16"/>
        </w:rPr>
        <w:t>Describe the results of the calculations and compare the results to the target.</w:t>
      </w:r>
    </w:p>
    <w:p w14:paraId="2F5B7301" w14:textId="3493AFBE" w:rsidR="001F6A28" w:rsidRPr="005C29F8" w:rsidRDefault="001F6A28" w:rsidP="00BB7BC9">
      <w:pPr>
        <w:rPr>
          <w:rFonts w:cs="Arial"/>
          <w:color w:val="000000" w:themeColor="text1"/>
          <w:szCs w:val="16"/>
        </w:rPr>
      </w:pPr>
      <w:r w:rsidRPr="005C29F8">
        <w:rPr>
          <w:rFonts w:cs="Arial"/>
          <w:color w:val="000000" w:themeColor="text1"/>
          <w:szCs w:val="16"/>
        </w:rPr>
        <w:t>If the data reported in this indicator are not the same as the State’s data reported under section 618 of the IDEA, explain.</w:t>
      </w:r>
    </w:p>
    <w:p w14:paraId="782EB5F0" w14:textId="4775DE89" w:rsidR="00476EA2" w:rsidRPr="0033429D" w:rsidRDefault="007B5383" w:rsidP="008645AD">
      <w:pPr>
        <w:pStyle w:val="Heading2"/>
      </w:pPr>
      <w:r w:rsidRPr="0033429D">
        <w:t>5</w:t>
      </w:r>
      <w:r w:rsidR="002203FA" w:rsidRPr="0033429D">
        <w:t xml:space="preserve"> </w:t>
      </w:r>
      <w:r w:rsidRPr="0033429D">
        <w:t xml:space="preserve">- </w:t>
      </w:r>
      <w:r w:rsidR="00A44506" w:rsidRPr="0033429D">
        <w:t>Indicator Data</w:t>
      </w:r>
      <w:r w:rsidR="00476EA2" w:rsidRPr="0033429D">
        <w:t xml:space="preserve"> </w:t>
      </w:r>
    </w:p>
    <w:bookmarkEnd w:id="31"/>
    <w:p w14:paraId="5DFCDD59" w14:textId="5ABA842A" w:rsidR="00CC634E" w:rsidRPr="005C29F8" w:rsidRDefault="00CC634E" w:rsidP="004369B2">
      <w:pPr>
        <w:rPr>
          <w:color w:val="000000" w:themeColor="text1"/>
        </w:rPr>
      </w:pPr>
      <w:r w:rsidRPr="005C29F8">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5C29F8" w14:paraId="630BF46A" w14:textId="12CF291C" w:rsidTr="0033429D">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5C29F8" w:rsidRDefault="001F64DB" w:rsidP="00E4112E">
            <w:pPr>
              <w:spacing w:line="276" w:lineRule="auto"/>
              <w:jc w:val="center"/>
              <w:rPr>
                <w:rFonts w:cs="Arial"/>
                <w:b/>
                <w:color w:val="000000" w:themeColor="text1"/>
                <w:szCs w:val="16"/>
              </w:rPr>
            </w:pPr>
            <w:r>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5C29F8" w:rsidRDefault="00E4112E" w:rsidP="00E4112E">
            <w:pPr>
              <w:spacing w:line="276" w:lineRule="auto"/>
              <w:jc w:val="center"/>
              <w:rPr>
                <w:rFonts w:cs="Arial"/>
                <w:b/>
                <w:color w:val="000000" w:themeColor="text1"/>
                <w:szCs w:val="16"/>
              </w:rPr>
            </w:pPr>
            <w:r w:rsidRPr="005C29F8">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5C29F8" w:rsidRDefault="00E4112E" w:rsidP="00E4112E">
            <w:pPr>
              <w:spacing w:line="276" w:lineRule="auto"/>
              <w:jc w:val="center"/>
              <w:rPr>
                <w:rFonts w:cs="Arial"/>
                <w:b/>
                <w:color w:val="000000" w:themeColor="text1"/>
                <w:szCs w:val="16"/>
              </w:rPr>
            </w:pPr>
            <w:r w:rsidRPr="005C29F8">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5C29F8" w:rsidRDefault="002B7490">
            <w:pPr>
              <w:spacing w:line="276" w:lineRule="auto"/>
              <w:jc w:val="center"/>
              <w:rPr>
                <w:rFonts w:cs="Arial"/>
                <w:b/>
                <w:color w:val="000000" w:themeColor="text1"/>
                <w:szCs w:val="16"/>
              </w:rPr>
            </w:pPr>
            <w:r w:rsidRPr="005C29F8">
              <w:rPr>
                <w:rFonts w:cs="Arial"/>
                <w:b/>
                <w:color w:val="000000" w:themeColor="text1"/>
                <w:szCs w:val="16"/>
              </w:rPr>
              <w:t>2014</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5C29F8" w:rsidRDefault="002B7490">
            <w:pPr>
              <w:spacing w:line="276" w:lineRule="auto"/>
              <w:jc w:val="center"/>
              <w:rPr>
                <w:rFonts w:cs="Arial"/>
                <w:b/>
                <w:color w:val="000000" w:themeColor="text1"/>
                <w:szCs w:val="16"/>
              </w:rPr>
            </w:pPr>
            <w:r w:rsidRPr="005C29F8">
              <w:rPr>
                <w:rFonts w:cs="Arial"/>
                <w:b/>
                <w:color w:val="000000" w:themeColor="text1"/>
                <w:szCs w:val="16"/>
              </w:rPr>
              <w:t>2015</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5C29F8" w:rsidRDefault="002B7490">
            <w:pPr>
              <w:spacing w:line="276" w:lineRule="auto"/>
              <w:jc w:val="center"/>
              <w:rPr>
                <w:rFonts w:cs="Arial"/>
                <w:b/>
                <w:color w:val="000000" w:themeColor="text1"/>
                <w:szCs w:val="16"/>
              </w:rPr>
            </w:pPr>
            <w:r w:rsidRPr="005C29F8">
              <w:rPr>
                <w:rFonts w:cs="Arial"/>
                <w:b/>
                <w:color w:val="000000" w:themeColor="text1"/>
                <w:szCs w:val="16"/>
              </w:rPr>
              <w:t>2016</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5C29F8" w:rsidRDefault="002B7490">
            <w:pPr>
              <w:spacing w:line="276" w:lineRule="auto"/>
              <w:jc w:val="center"/>
              <w:rPr>
                <w:rFonts w:cs="Arial"/>
                <w:b/>
                <w:color w:val="000000" w:themeColor="text1"/>
                <w:szCs w:val="16"/>
              </w:rPr>
            </w:pPr>
            <w:r w:rsidRPr="005C29F8">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5C29F8" w:rsidRDefault="002B7490">
            <w:pPr>
              <w:spacing w:line="276" w:lineRule="auto"/>
              <w:jc w:val="center"/>
              <w:rPr>
                <w:rFonts w:cs="Arial"/>
                <w:b/>
                <w:color w:val="000000" w:themeColor="text1"/>
                <w:szCs w:val="16"/>
              </w:rPr>
            </w:pPr>
            <w:r w:rsidRPr="005C29F8">
              <w:rPr>
                <w:rFonts w:cs="Arial"/>
                <w:b/>
                <w:color w:val="000000" w:themeColor="text1"/>
                <w:szCs w:val="16"/>
              </w:rPr>
              <w:t>2018</w:t>
            </w:r>
          </w:p>
        </w:tc>
      </w:tr>
      <w:tr w:rsidR="005F0D3B" w:rsidRPr="005C29F8" w14:paraId="692E70F6" w14:textId="3E9D9AB4" w:rsidTr="0033429D">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5C29F8" w:rsidRDefault="00BB7BC9" w:rsidP="004B75EC">
            <w:pPr>
              <w:spacing w:line="276" w:lineRule="auto"/>
              <w:jc w:val="center"/>
              <w:rPr>
                <w:rFonts w:cs="Arial"/>
                <w:color w:val="000000" w:themeColor="text1"/>
                <w:szCs w:val="16"/>
              </w:rPr>
            </w:pPr>
            <w:r w:rsidRPr="005C29F8">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5C29F8" w:rsidRDefault="002B7490" w:rsidP="00A018D4">
            <w:pPr>
              <w:jc w:val="center"/>
              <w:rPr>
                <w:rFonts w:cs="Arial"/>
                <w:color w:val="000000" w:themeColor="text1"/>
                <w:szCs w:val="16"/>
              </w:rPr>
            </w:pPr>
            <w:r w:rsidRPr="005C29F8">
              <w:rPr>
                <w:rFonts w:cs="Arial"/>
                <w:color w:val="000000" w:themeColor="text1"/>
                <w:szCs w:val="16"/>
              </w:rPr>
              <w:t>2005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5C29F8" w:rsidRDefault="00BB7BC9" w:rsidP="00A018D4">
            <w:pPr>
              <w:spacing w:line="276" w:lineRule="auto"/>
              <w:rPr>
                <w:rFonts w:cs="Arial"/>
                <w:color w:val="000000" w:themeColor="text1"/>
                <w:szCs w:val="16"/>
              </w:rPr>
            </w:pPr>
            <w:r w:rsidRPr="005C29F8">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5C29F8" w:rsidRDefault="002B7490">
            <w:pPr>
              <w:jc w:val="center"/>
              <w:rPr>
                <w:rFonts w:cs="Arial"/>
                <w:color w:val="000000" w:themeColor="text1"/>
                <w:szCs w:val="16"/>
              </w:rPr>
            </w:pPr>
            <w:r w:rsidRPr="005C29F8">
              <w:rPr>
                <w:rFonts w:cs="Arial"/>
                <w:color w:val="000000" w:themeColor="text1"/>
                <w:szCs w:val="16"/>
              </w:rPr>
              <w:t>60.50%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5C29F8" w:rsidRDefault="002B7490">
            <w:pPr>
              <w:jc w:val="center"/>
              <w:rPr>
                <w:rFonts w:cs="Arial"/>
                <w:color w:val="000000" w:themeColor="text1"/>
                <w:szCs w:val="16"/>
              </w:rPr>
            </w:pPr>
            <w:r w:rsidRPr="005C29F8">
              <w:rPr>
                <w:rFonts w:cs="Arial"/>
                <w:color w:val="000000" w:themeColor="text1"/>
                <w:szCs w:val="16"/>
              </w:rPr>
              <w:t>61.00%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5C29F8" w:rsidRDefault="002B7490">
            <w:pPr>
              <w:jc w:val="center"/>
              <w:rPr>
                <w:rFonts w:cs="Arial"/>
                <w:color w:val="000000" w:themeColor="text1"/>
                <w:szCs w:val="16"/>
              </w:rPr>
            </w:pPr>
            <w:r w:rsidRPr="005C29F8">
              <w:rPr>
                <w:rFonts w:cs="Arial"/>
                <w:color w:val="000000" w:themeColor="text1"/>
                <w:szCs w:val="16"/>
              </w:rPr>
              <w:t>61.00%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5C29F8" w:rsidRDefault="002B7490">
            <w:pPr>
              <w:jc w:val="center"/>
              <w:rPr>
                <w:rFonts w:cs="Arial"/>
                <w:color w:val="000000" w:themeColor="text1"/>
                <w:szCs w:val="16"/>
              </w:rPr>
            </w:pPr>
            <w:r w:rsidRPr="005C29F8">
              <w:rPr>
                <w:rFonts w:cs="Arial"/>
                <w:color w:val="000000" w:themeColor="text1"/>
                <w:szCs w:val="16"/>
              </w:rPr>
              <w:t>61.50%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5C29F8" w:rsidRDefault="002B7490">
            <w:pPr>
              <w:jc w:val="center"/>
              <w:rPr>
                <w:rFonts w:cs="Arial"/>
                <w:color w:val="000000" w:themeColor="text1"/>
                <w:szCs w:val="16"/>
              </w:rPr>
            </w:pPr>
            <w:r w:rsidRPr="005C29F8">
              <w:rPr>
                <w:rFonts w:cs="Arial"/>
                <w:color w:val="000000" w:themeColor="text1"/>
                <w:szCs w:val="16"/>
              </w:rPr>
              <w:t>61.50%</w:t>
            </w:r>
          </w:p>
        </w:tc>
      </w:tr>
      <w:tr w:rsidR="005F0D3B" w:rsidRPr="005C29F8" w14:paraId="79D81D10" w14:textId="49DC964C" w:rsidTr="0033429D">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5C29F8" w:rsidRDefault="001474EC" w:rsidP="004369B2">
            <w:pPr>
              <w:spacing w:line="276" w:lineRule="auto"/>
              <w:jc w:val="center"/>
              <w:rPr>
                <w:rFonts w:cs="Arial"/>
                <w:color w:val="000000" w:themeColor="text1"/>
                <w:szCs w:val="16"/>
              </w:rPr>
            </w:pPr>
            <w:r w:rsidRPr="005C29F8">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5C29F8" w:rsidRDefault="002B7490" w:rsidP="00A018D4">
            <w:pPr>
              <w:jc w:val="center"/>
              <w:rPr>
                <w:rFonts w:cs="Arial"/>
                <w:color w:val="000000" w:themeColor="text1"/>
                <w:szCs w:val="16"/>
              </w:rPr>
            </w:pPr>
            <w:r w:rsidRPr="005C29F8">
              <w:rPr>
                <w:rFonts w:cs="Arial"/>
                <w:color w:val="000000" w:themeColor="text1"/>
                <w:szCs w:val="16"/>
              </w:rPr>
              <w:t>49.10%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5C29F8" w:rsidRDefault="00BB7BC9" w:rsidP="00A018D4">
            <w:pPr>
              <w:spacing w:line="276" w:lineRule="auto"/>
              <w:rPr>
                <w:rFonts w:cs="Arial"/>
                <w:color w:val="000000" w:themeColor="text1"/>
                <w:szCs w:val="16"/>
              </w:rPr>
            </w:pPr>
            <w:r w:rsidRPr="005C29F8">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5C29F8" w:rsidRDefault="002B7490">
            <w:pPr>
              <w:jc w:val="center"/>
              <w:rPr>
                <w:rFonts w:cs="Arial"/>
                <w:color w:val="000000" w:themeColor="text1"/>
                <w:szCs w:val="16"/>
              </w:rPr>
            </w:pPr>
            <w:r w:rsidRPr="005C29F8">
              <w:rPr>
                <w:rFonts w:cs="Arial"/>
                <w:color w:val="000000" w:themeColor="text1"/>
                <w:szCs w:val="16"/>
              </w:rPr>
              <w:t>61.86%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5C29F8" w:rsidRDefault="002B7490">
            <w:pPr>
              <w:jc w:val="center"/>
              <w:rPr>
                <w:rFonts w:cs="Arial"/>
                <w:color w:val="000000" w:themeColor="text1"/>
                <w:szCs w:val="16"/>
              </w:rPr>
            </w:pPr>
            <w:r w:rsidRPr="005C29F8">
              <w:rPr>
                <w:rFonts w:cs="Arial"/>
                <w:color w:val="000000" w:themeColor="text1"/>
                <w:szCs w:val="16"/>
              </w:rPr>
              <w:t>62.34%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5C29F8" w:rsidRDefault="002B7490">
            <w:pPr>
              <w:jc w:val="center"/>
              <w:rPr>
                <w:rFonts w:cs="Arial"/>
                <w:color w:val="000000" w:themeColor="text1"/>
                <w:szCs w:val="16"/>
              </w:rPr>
            </w:pPr>
            <w:r w:rsidRPr="005C29F8">
              <w:rPr>
                <w:rFonts w:cs="Arial"/>
                <w:color w:val="000000" w:themeColor="text1"/>
                <w:szCs w:val="16"/>
              </w:rPr>
              <w:t>62.82%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5C29F8" w:rsidRDefault="002B7490">
            <w:pPr>
              <w:jc w:val="center"/>
              <w:rPr>
                <w:rFonts w:cs="Arial"/>
                <w:color w:val="000000" w:themeColor="text1"/>
                <w:szCs w:val="16"/>
              </w:rPr>
            </w:pPr>
            <w:r w:rsidRPr="005C29F8">
              <w:rPr>
                <w:rFonts w:cs="Arial"/>
                <w:color w:val="000000" w:themeColor="text1"/>
                <w:szCs w:val="16"/>
              </w:rPr>
              <w:t>63.83%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5C29F8" w:rsidRDefault="002B7490">
            <w:pPr>
              <w:jc w:val="center"/>
              <w:rPr>
                <w:rFonts w:cs="Arial"/>
                <w:color w:val="000000" w:themeColor="text1"/>
                <w:szCs w:val="16"/>
              </w:rPr>
            </w:pPr>
            <w:r w:rsidRPr="005C29F8">
              <w:rPr>
                <w:rFonts w:cs="Arial"/>
                <w:color w:val="000000" w:themeColor="text1"/>
                <w:szCs w:val="16"/>
              </w:rPr>
              <w:t>65.02%</w:t>
            </w:r>
          </w:p>
        </w:tc>
      </w:tr>
      <w:tr w:rsidR="005F0D3B" w:rsidRPr="005C29F8" w14:paraId="7EE51EBD" w14:textId="513FE18C" w:rsidTr="0033429D">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5C29F8" w:rsidRDefault="00BB7BC9" w:rsidP="004B75EC">
            <w:pPr>
              <w:spacing w:line="276" w:lineRule="auto"/>
              <w:jc w:val="center"/>
              <w:rPr>
                <w:rFonts w:cs="Arial"/>
                <w:color w:val="000000" w:themeColor="text1"/>
                <w:szCs w:val="16"/>
              </w:rPr>
            </w:pPr>
            <w:r w:rsidRPr="005C29F8">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5C29F8" w:rsidRDefault="002B7490" w:rsidP="00A018D4">
            <w:pPr>
              <w:jc w:val="center"/>
              <w:rPr>
                <w:rFonts w:cs="Arial"/>
                <w:color w:val="000000" w:themeColor="text1"/>
                <w:szCs w:val="16"/>
              </w:rPr>
            </w:pPr>
            <w:r w:rsidRPr="005C29F8">
              <w:rPr>
                <w:rFonts w:cs="Arial"/>
                <w:color w:val="000000" w:themeColor="text1"/>
                <w:szCs w:val="16"/>
              </w:rPr>
              <w:t>2005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5C29F8" w:rsidRDefault="00BB7BC9" w:rsidP="00A018D4">
            <w:pPr>
              <w:spacing w:line="276" w:lineRule="auto"/>
              <w:rPr>
                <w:rFonts w:cs="Arial"/>
                <w:color w:val="000000" w:themeColor="text1"/>
                <w:szCs w:val="16"/>
              </w:rPr>
            </w:pPr>
            <w:r w:rsidRPr="005C29F8">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5C29F8" w:rsidRDefault="002B7490">
            <w:pPr>
              <w:jc w:val="center"/>
              <w:rPr>
                <w:rFonts w:cs="Arial"/>
                <w:color w:val="000000" w:themeColor="text1"/>
                <w:szCs w:val="16"/>
              </w:rPr>
            </w:pPr>
            <w:r w:rsidRPr="005C29F8">
              <w:rPr>
                <w:rFonts w:cs="Arial"/>
                <w:color w:val="000000" w:themeColor="text1"/>
                <w:szCs w:val="16"/>
              </w:rPr>
              <w:t>14.50%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5C29F8" w:rsidRDefault="002B7490">
            <w:pPr>
              <w:jc w:val="center"/>
              <w:rPr>
                <w:rFonts w:cs="Arial"/>
                <w:color w:val="000000" w:themeColor="text1"/>
                <w:szCs w:val="16"/>
              </w:rPr>
            </w:pPr>
            <w:r w:rsidRPr="005C29F8">
              <w:rPr>
                <w:rFonts w:cs="Arial"/>
                <w:color w:val="000000" w:themeColor="text1"/>
                <w:szCs w:val="16"/>
              </w:rPr>
              <w:t>14.50%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5C29F8" w:rsidRDefault="002B7490">
            <w:pPr>
              <w:jc w:val="center"/>
              <w:rPr>
                <w:rFonts w:cs="Arial"/>
                <w:color w:val="000000" w:themeColor="text1"/>
                <w:szCs w:val="16"/>
              </w:rPr>
            </w:pPr>
            <w:r w:rsidRPr="005C29F8">
              <w:rPr>
                <w:rFonts w:cs="Arial"/>
                <w:color w:val="000000" w:themeColor="text1"/>
                <w:szCs w:val="16"/>
              </w:rPr>
              <w:t>14.40%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5C29F8" w:rsidRDefault="002B7490">
            <w:pPr>
              <w:jc w:val="center"/>
              <w:rPr>
                <w:rFonts w:cs="Arial"/>
                <w:color w:val="000000" w:themeColor="text1"/>
                <w:szCs w:val="16"/>
              </w:rPr>
            </w:pPr>
            <w:r w:rsidRPr="005C29F8">
              <w:rPr>
                <w:rFonts w:cs="Arial"/>
                <w:color w:val="000000" w:themeColor="text1"/>
                <w:szCs w:val="16"/>
              </w:rPr>
              <w:t>14.40%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5C29F8" w:rsidRDefault="002B7490">
            <w:pPr>
              <w:jc w:val="center"/>
              <w:rPr>
                <w:rFonts w:cs="Arial"/>
                <w:color w:val="000000" w:themeColor="text1"/>
                <w:szCs w:val="16"/>
              </w:rPr>
            </w:pPr>
            <w:r w:rsidRPr="005C29F8">
              <w:rPr>
                <w:rFonts w:cs="Arial"/>
                <w:color w:val="000000" w:themeColor="text1"/>
                <w:szCs w:val="16"/>
              </w:rPr>
              <w:t>14.30%</w:t>
            </w:r>
          </w:p>
        </w:tc>
      </w:tr>
      <w:tr w:rsidR="005F0D3B" w:rsidRPr="005C29F8" w14:paraId="78E6E13B" w14:textId="52E2E705" w:rsidTr="0033429D">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5C29F8" w:rsidRDefault="001474EC" w:rsidP="004369B2">
            <w:pPr>
              <w:spacing w:line="276" w:lineRule="auto"/>
              <w:jc w:val="center"/>
              <w:rPr>
                <w:rFonts w:cs="Arial"/>
                <w:color w:val="000000" w:themeColor="text1"/>
                <w:szCs w:val="16"/>
              </w:rPr>
            </w:pPr>
            <w:r w:rsidRPr="005C29F8">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5C29F8" w:rsidRDefault="002B7490" w:rsidP="00A018D4">
            <w:pPr>
              <w:jc w:val="center"/>
              <w:rPr>
                <w:rFonts w:cs="Arial"/>
                <w:color w:val="000000" w:themeColor="text1"/>
                <w:szCs w:val="16"/>
              </w:rPr>
            </w:pPr>
            <w:r w:rsidRPr="005C29F8">
              <w:rPr>
                <w:rFonts w:cs="Arial"/>
                <w:color w:val="000000" w:themeColor="text1"/>
                <w:szCs w:val="16"/>
              </w:rPr>
              <w:t>15.70%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5C29F8" w:rsidRDefault="00BB7BC9" w:rsidP="00A018D4">
            <w:pPr>
              <w:spacing w:line="276" w:lineRule="auto"/>
              <w:rPr>
                <w:rFonts w:cs="Arial"/>
                <w:color w:val="000000" w:themeColor="text1"/>
                <w:szCs w:val="16"/>
              </w:rPr>
            </w:pPr>
            <w:r w:rsidRPr="005C29F8">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5C29F8" w:rsidRDefault="002B7490">
            <w:pPr>
              <w:jc w:val="center"/>
              <w:rPr>
                <w:rFonts w:cs="Arial"/>
                <w:color w:val="000000" w:themeColor="text1"/>
                <w:szCs w:val="16"/>
              </w:rPr>
            </w:pPr>
            <w:r w:rsidRPr="005C29F8">
              <w:rPr>
                <w:rFonts w:cs="Arial"/>
                <w:color w:val="000000" w:themeColor="text1"/>
                <w:szCs w:val="16"/>
              </w:rPr>
              <w:t>14.43%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5C29F8" w:rsidRDefault="002B7490">
            <w:pPr>
              <w:jc w:val="center"/>
              <w:rPr>
                <w:rFonts w:cs="Arial"/>
                <w:color w:val="000000" w:themeColor="text1"/>
                <w:szCs w:val="16"/>
              </w:rPr>
            </w:pPr>
            <w:r w:rsidRPr="005C29F8">
              <w:rPr>
                <w:rFonts w:cs="Arial"/>
                <w:color w:val="000000" w:themeColor="text1"/>
                <w:szCs w:val="16"/>
              </w:rPr>
              <w:t>14.05%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5C29F8" w:rsidRDefault="002B7490">
            <w:pPr>
              <w:jc w:val="center"/>
              <w:rPr>
                <w:rFonts w:cs="Arial"/>
                <w:color w:val="000000" w:themeColor="text1"/>
                <w:szCs w:val="16"/>
              </w:rPr>
            </w:pPr>
            <w:r w:rsidRPr="005C29F8">
              <w:rPr>
                <w:rFonts w:cs="Arial"/>
                <w:color w:val="000000" w:themeColor="text1"/>
                <w:szCs w:val="16"/>
              </w:rPr>
              <w:t>13.82%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5C29F8" w:rsidRDefault="002B7490">
            <w:pPr>
              <w:jc w:val="center"/>
              <w:rPr>
                <w:rFonts w:cs="Arial"/>
                <w:color w:val="000000" w:themeColor="text1"/>
                <w:szCs w:val="16"/>
              </w:rPr>
            </w:pPr>
            <w:r w:rsidRPr="005C29F8">
              <w:rPr>
                <w:rFonts w:cs="Arial"/>
                <w:color w:val="000000" w:themeColor="text1"/>
                <w:szCs w:val="16"/>
              </w:rPr>
              <w:t>13.40%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5C29F8" w:rsidRDefault="002B7490">
            <w:pPr>
              <w:jc w:val="center"/>
              <w:rPr>
                <w:rFonts w:cs="Arial"/>
                <w:color w:val="000000" w:themeColor="text1"/>
                <w:szCs w:val="16"/>
              </w:rPr>
            </w:pPr>
            <w:r w:rsidRPr="005C29F8">
              <w:rPr>
                <w:rFonts w:cs="Arial"/>
                <w:color w:val="000000" w:themeColor="text1"/>
                <w:szCs w:val="16"/>
              </w:rPr>
              <w:t>13.22%</w:t>
            </w:r>
          </w:p>
        </w:tc>
      </w:tr>
      <w:tr w:rsidR="005F0D3B" w:rsidRPr="005C29F8" w14:paraId="37C91828" w14:textId="68984F02" w:rsidTr="0033429D">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5C29F8" w:rsidRDefault="00BB7BC9" w:rsidP="004B75EC">
            <w:pPr>
              <w:spacing w:line="276" w:lineRule="auto"/>
              <w:jc w:val="center"/>
              <w:rPr>
                <w:rFonts w:cs="Arial"/>
                <w:color w:val="000000" w:themeColor="text1"/>
                <w:szCs w:val="16"/>
              </w:rPr>
            </w:pPr>
            <w:r w:rsidRPr="005C29F8">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5C29F8" w:rsidRDefault="002B7490" w:rsidP="00A018D4">
            <w:pPr>
              <w:jc w:val="center"/>
              <w:rPr>
                <w:rFonts w:cs="Arial"/>
                <w:color w:val="000000" w:themeColor="text1"/>
                <w:szCs w:val="16"/>
              </w:rPr>
            </w:pPr>
            <w:r w:rsidRPr="005C29F8">
              <w:rPr>
                <w:rFonts w:cs="Arial"/>
                <w:color w:val="000000" w:themeColor="text1"/>
                <w:szCs w:val="16"/>
              </w:rPr>
              <w:t>2005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5C29F8" w:rsidRDefault="00BB7BC9" w:rsidP="00A018D4">
            <w:pPr>
              <w:spacing w:line="276" w:lineRule="auto"/>
              <w:rPr>
                <w:rFonts w:cs="Arial"/>
                <w:color w:val="000000" w:themeColor="text1"/>
                <w:szCs w:val="16"/>
              </w:rPr>
            </w:pPr>
            <w:r w:rsidRPr="005C29F8">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5C29F8" w:rsidRDefault="002B7490">
            <w:pPr>
              <w:jc w:val="center"/>
              <w:rPr>
                <w:rFonts w:cs="Arial"/>
                <w:color w:val="000000" w:themeColor="text1"/>
                <w:szCs w:val="16"/>
              </w:rPr>
            </w:pPr>
            <w:r w:rsidRPr="005C29F8">
              <w:rPr>
                <w:rFonts w:cs="Arial"/>
                <w:color w:val="000000" w:themeColor="text1"/>
                <w:szCs w:val="16"/>
              </w:rPr>
              <w:t>5.50%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5C29F8" w:rsidRDefault="002B7490">
            <w:pPr>
              <w:jc w:val="center"/>
              <w:rPr>
                <w:rFonts w:cs="Arial"/>
                <w:color w:val="000000" w:themeColor="text1"/>
                <w:szCs w:val="16"/>
              </w:rPr>
            </w:pPr>
            <w:r w:rsidRPr="005C29F8">
              <w:rPr>
                <w:rFonts w:cs="Arial"/>
                <w:color w:val="000000" w:themeColor="text1"/>
                <w:szCs w:val="16"/>
              </w:rPr>
              <w:t>5.50%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5C29F8" w:rsidRDefault="002B7490">
            <w:pPr>
              <w:jc w:val="center"/>
              <w:rPr>
                <w:rFonts w:cs="Arial"/>
                <w:color w:val="000000" w:themeColor="text1"/>
                <w:szCs w:val="16"/>
              </w:rPr>
            </w:pPr>
            <w:r w:rsidRPr="005C29F8">
              <w:rPr>
                <w:rFonts w:cs="Arial"/>
                <w:color w:val="000000" w:themeColor="text1"/>
                <w:szCs w:val="16"/>
              </w:rPr>
              <w:t>5.50%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5C29F8" w:rsidRDefault="002B7490">
            <w:pPr>
              <w:jc w:val="center"/>
              <w:rPr>
                <w:rFonts w:cs="Arial"/>
                <w:color w:val="000000" w:themeColor="text1"/>
                <w:szCs w:val="16"/>
              </w:rPr>
            </w:pPr>
            <w:r w:rsidRPr="005C29F8">
              <w:rPr>
                <w:rFonts w:cs="Arial"/>
                <w:color w:val="000000" w:themeColor="text1"/>
                <w:szCs w:val="16"/>
              </w:rPr>
              <w:t>5.40%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5C29F8" w:rsidRDefault="002B7490">
            <w:pPr>
              <w:jc w:val="center"/>
              <w:rPr>
                <w:rFonts w:cs="Arial"/>
                <w:color w:val="000000" w:themeColor="text1"/>
                <w:szCs w:val="16"/>
              </w:rPr>
            </w:pPr>
            <w:r w:rsidRPr="005C29F8">
              <w:rPr>
                <w:rFonts w:cs="Arial"/>
                <w:color w:val="000000" w:themeColor="text1"/>
                <w:szCs w:val="16"/>
              </w:rPr>
              <w:t>5.40%</w:t>
            </w:r>
          </w:p>
        </w:tc>
      </w:tr>
      <w:tr w:rsidR="005F0D3B" w:rsidRPr="005C29F8" w14:paraId="64BAB70F" w14:textId="676A8AD8" w:rsidTr="0033429D">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5C29F8" w:rsidRDefault="001474EC" w:rsidP="004369B2">
            <w:pPr>
              <w:spacing w:line="276" w:lineRule="auto"/>
              <w:jc w:val="center"/>
              <w:rPr>
                <w:rFonts w:cs="Arial"/>
                <w:color w:val="000000" w:themeColor="text1"/>
                <w:szCs w:val="16"/>
              </w:rPr>
            </w:pPr>
            <w:r w:rsidRPr="005C29F8">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5C29F8" w:rsidRDefault="002B7490" w:rsidP="00A018D4">
            <w:pPr>
              <w:jc w:val="center"/>
              <w:rPr>
                <w:rFonts w:cs="Arial"/>
                <w:color w:val="000000" w:themeColor="text1"/>
                <w:szCs w:val="16"/>
              </w:rPr>
            </w:pPr>
            <w:r w:rsidRPr="005C29F8">
              <w:rPr>
                <w:rFonts w:cs="Arial"/>
                <w:color w:val="000000" w:themeColor="text1"/>
                <w:szCs w:val="16"/>
              </w:rPr>
              <w:t>6.70%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5C29F8" w:rsidRDefault="00BB7BC9" w:rsidP="00A018D4">
            <w:pPr>
              <w:spacing w:line="276" w:lineRule="auto"/>
              <w:rPr>
                <w:rFonts w:cs="Arial"/>
                <w:color w:val="000000" w:themeColor="text1"/>
                <w:szCs w:val="16"/>
              </w:rPr>
            </w:pPr>
            <w:r w:rsidRPr="005C29F8">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5C29F8" w:rsidRDefault="002B7490">
            <w:pPr>
              <w:jc w:val="center"/>
              <w:rPr>
                <w:rFonts w:cs="Arial"/>
                <w:color w:val="000000" w:themeColor="text1"/>
                <w:szCs w:val="16"/>
              </w:rPr>
            </w:pPr>
            <w:r w:rsidRPr="005C29F8">
              <w:rPr>
                <w:rFonts w:cs="Arial"/>
                <w:color w:val="000000" w:themeColor="text1"/>
                <w:szCs w:val="16"/>
              </w:rPr>
              <w:t>6.86%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5C29F8" w:rsidRDefault="002B7490">
            <w:pPr>
              <w:jc w:val="center"/>
              <w:rPr>
                <w:rFonts w:cs="Arial"/>
                <w:color w:val="000000" w:themeColor="text1"/>
                <w:szCs w:val="16"/>
              </w:rPr>
            </w:pPr>
            <w:r w:rsidRPr="005C29F8">
              <w:rPr>
                <w:rFonts w:cs="Arial"/>
                <w:color w:val="000000" w:themeColor="text1"/>
                <w:szCs w:val="16"/>
              </w:rPr>
              <w:t>6.81%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5C29F8" w:rsidRDefault="002B7490">
            <w:pPr>
              <w:jc w:val="center"/>
              <w:rPr>
                <w:rFonts w:cs="Arial"/>
                <w:color w:val="000000" w:themeColor="text1"/>
                <w:szCs w:val="16"/>
              </w:rPr>
            </w:pPr>
            <w:r w:rsidRPr="005C29F8">
              <w:rPr>
                <w:rFonts w:cs="Arial"/>
                <w:color w:val="000000" w:themeColor="text1"/>
                <w:szCs w:val="16"/>
              </w:rPr>
              <w:t>6.93%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5C29F8" w:rsidRDefault="002B7490">
            <w:pPr>
              <w:jc w:val="center"/>
              <w:rPr>
                <w:rFonts w:cs="Arial"/>
                <w:color w:val="000000" w:themeColor="text1"/>
                <w:szCs w:val="16"/>
              </w:rPr>
            </w:pPr>
            <w:r w:rsidRPr="005C29F8">
              <w:rPr>
                <w:rFonts w:cs="Arial"/>
                <w:color w:val="000000" w:themeColor="text1"/>
                <w:szCs w:val="16"/>
              </w:rPr>
              <w:t>6.86%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5C29F8" w:rsidRDefault="002B7490">
            <w:pPr>
              <w:jc w:val="center"/>
              <w:rPr>
                <w:rFonts w:cs="Arial"/>
                <w:color w:val="000000" w:themeColor="text1"/>
                <w:szCs w:val="16"/>
              </w:rPr>
            </w:pPr>
            <w:r w:rsidRPr="005C29F8">
              <w:rPr>
                <w:rFonts w:cs="Arial"/>
                <w:color w:val="000000" w:themeColor="text1"/>
                <w:szCs w:val="16"/>
              </w:rPr>
              <w:t>6.57%</w:t>
            </w:r>
          </w:p>
        </w:tc>
      </w:tr>
    </w:tbl>
    <w:p w14:paraId="4F18E18D" w14:textId="77777777" w:rsidR="004A4803" w:rsidRPr="005C29F8" w:rsidRDefault="004A4803" w:rsidP="004369B2">
      <w:pPr>
        <w:rPr>
          <w:color w:val="000000" w:themeColor="text1"/>
        </w:rPr>
      </w:pPr>
    </w:p>
    <w:p w14:paraId="4B421711" w14:textId="34B64243" w:rsidR="002C207A" w:rsidRPr="005C29F8" w:rsidRDefault="002C207A" w:rsidP="004369B2">
      <w:pPr>
        <w:rPr>
          <w:color w:val="000000" w:themeColor="text1"/>
        </w:rPr>
      </w:pPr>
      <w:r w:rsidRPr="005C29F8">
        <w:rPr>
          <w:b/>
          <w:color w:val="000000" w:themeColor="text1"/>
        </w:rPr>
        <w:t>Targets</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1075"/>
        <w:gridCol w:w="2699"/>
      </w:tblGrid>
      <w:tr w:rsidR="00360CD9" w:rsidRPr="005C29F8" w14:paraId="67121B7A" w14:textId="318EE9C4" w:rsidTr="0033429D">
        <w:trPr>
          <w:trHeight w:val="350"/>
        </w:trPr>
        <w:tc>
          <w:tcPr>
            <w:tcW w:w="1424" w:type="pct"/>
            <w:tcBorders>
              <w:bottom w:val="single" w:sz="4" w:space="0" w:color="auto"/>
            </w:tcBorders>
            <w:shd w:val="clear" w:color="auto" w:fill="auto"/>
          </w:tcPr>
          <w:p w14:paraId="417BC1C4" w14:textId="77777777" w:rsidR="00360CD9" w:rsidRPr="005C29F8" w:rsidRDefault="00360CD9" w:rsidP="004369B2">
            <w:pPr>
              <w:jc w:val="center"/>
              <w:rPr>
                <w:b/>
                <w:color w:val="000000" w:themeColor="text1"/>
              </w:rPr>
            </w:pPr>
            <w:r w:rsidRPr="005C29F8">
              <w:rPr>
                <w:b/>
                <w:color w:val="000000" w:themeColor="text1"/>
              </w:rPr>
              <w:t>FFY</w:t>
            </w:r>
          </w:p>
        </w:tc>
        <w:tc>
          <w:tcPr>
            <w:tcW w:w="3576" w:type="pct"/>
            <w:shd w:val="clear" w:color="auto" w:fill="auto"/>
          </w:tcPr>
          <w:p w14:paraId="43C546D5" w14:textId="7A1B1AB1" w:rsidR="00360CD9" w:rsidRPr="005C29F8" w:rsidRDefault="00360CD9" w:rsidP="004369B2">
            <w:pPr>
              <w:jc w:val="center"/>
              <w:rPr>
                <w:b/>
                <w:color w:val="000000" w:themeColor="text1"/>
              </w:rPr>
            </w:pPr>
            <w:r w:rsidRPr="005C29F8">
              <w:rPr>
                <w:b/>
                <w:color w:val="000000" w:themeColor="text1"/>
              </w:rPr>
              <w:t>2019</w:t>
            </w:r>
          </w:p>
        </w:tc>
      </w:tr>
      <w:tr w:rsidR="00360CD9" w:rsidRPr="005C29F8" w14:paraId="0E725BBE" w14:textId="009677DA" w:rsidTr="00043AAB">
        <w:trPr>
          <w:trHeight w:val="357"/>
        </w:trPr>
        <w:tc>
          <w:tcPr>
            <w:tcW w:w="1424" w:type="pct"/>
            <w:shd w:val="clear" w:color="auto" w:fill="auto"/>
            <w:vAlign w:val="center"/>
          </w:tcPr>
          <w:p w14:paraId="3CB4FC66" w14:textId="21A33A6B" w:rsidR="00360CD9" w:rsidRPr="005C29F8" w:rsidRDefault="00360CD9" w:rsidP="003C1852">
            <w:pPr>
              <w:rPr>
                <w:rFonts w:cs="Arial"/>
                <w:color w:val="000000" w:themeColor="text1"/>
                <w:szCs w:val="16"/>
              </w:rPr>
            </w:pPr>
            <w:r w:rsidRPr="005C29F8">
              <w:rPr>
                <w:rFonts w:cs="Arial"/>
                <w:color w:val="000000" w:themeColor="text1"/>
                <w:szCs w:val="16"/>
              </w:rPr>
              <w:t>Target A &gt;=</w:t>
            </w:r>
          </w:p>
        </w:tc>
        <w:tc>
          <w:tcPr>
            <w:tcW w:w="3576" w:type="pct"/>
            <w:shd w:val="clear" w:color="auto" w:fill="auto"/>
            <w:vAlign w:val="center"/>
          </w:tcPr>
          <w:p w14:paraId="0643B02C" w14:textId="7613B373" w:rsidR="00360CD9" w:rsidRPr="005C29F8" w:rsidRDefault="00360CD9" w:rsidP="00A018D4">
            <w:pPr>
              <w:jc w:val="center"/>
              <w:rPr>
                <w:rFonts w:cs="Arial"/>
                <w:color w:val="000000" w:themeColor="text1"/>
                <w:szCs w:val="16"/>
              </w:rPr>
            </w:pPr>
            <w:r w:rsidRPr="005C29F8">
              <w:rPr>
                <w:rFonts w:cs="Arial"/>
                <w:color w:val="000000" w:themeColor="text1"/>
                <w:szCs w:val="16"/>
              </w:rPr>
              <w:t>61.50%</w:t>
            </w:r>
          </w:p>
        </w:tc>
      </w:tr>
      <w:tr w:rsidR="00360CD9" w:rsidRPr="005C29F8" w14:paraId="17C12050" w14:textId="0C7742F2" w:rsidTr="00043AAB">
        <w:trPr>
          <w:trHeight w:val="357"/>
        </w:trPr>
        <w:tc>
          <w:tcPr>
            <w:tcW w:w="1424" w:type="pct"/>
            <w:shd w:val="clear" w:color="auto" w:fill="auto"/>
            <w:vAlign w:val="center"/>
          </w:tcPr>
          <w:p w14:paraId="5FF4BE45" w14:textId="3D057CF2" w:rsidR="00360CD9" w:rsidRPr="005C29F8" w:rsidRDefault="00360CD9" w:rsidP="003C1852">
            <w:pPr>
              <w:rPr>
                <w:rFonts w:cs="Arial"/>
                <w:color w:val="000000" w:themeColor="text1"/>
                <w:szCs w:val="16"/>
              </w:rPr>
            </w:pPr>
            <w:r w:rsidRPr="005C29F8">
              <w:rPr>
                <w:rFonts w:cs="Arial"/>
                <w:color w:val="000000" w:themeColor="text1"/>
                <w:szCs w:val="16"/>
              </w:rPr>
              <w:t>Target B &lt;=</w:t>
            </w:r>
          </w:p>
        </w:tc>
        <w:tc>
          <w:tcPr>
            <w:tcW w:w="3576" w:type="pct"/>
            <w:shd w:val="clear" w:color="auto" w:fill="auto"/>
            <w:vAlign w:val="center"/>
          </w:tcPr>
          <w:p w14:paraId="4B344C1C" w14:textId="2108066A" w:rsidR="00360CD9" w:rsidRPr="005C29F8" w:rsidRDefault="00360CD9" w:rsidP="00A018D4">
            <w:pPr>
              <w:jc w:val="center"/>
              <w:rPr>
                <w:rFonts w:cs="Arial"/>
                <w:color w:val="000000" w:themeColor="text1"/>
                <w:szCs w:val="16"/>
              </w:rPr>
            </w:pPr>
            <w:r w:rsidRPr="005C29F8">
              <w:rPr>
                <w:rFonts w:cs="Arial"/>
                <w:color w:val="000000" w:themeColor="text1"/>
                <w:szCs w:val="16"/>
              </w:rPr>
              <w:t>14.30%</w:t>
            </w:r>
          </w:p>
        </w:tc>
      </w:tr>
      <w:tr w:rsidR="00360CD9" w:rsidRPr="005C29F8" w14:paraId="1C671552" w14:textId="52C89820" w:rsidTr="00043AAB">
        <w:trPr>
          <w:trHeight w:val="357"/>
        </w:trPr>
        <w:tc>
          <w:tcPr>
            <w:tcW w:w="1424" w:type="pct"/>
            <w:shd w:val="clear" w:color="auto" w:fill="auto"/>
            <w:vAlign w:val="center"/>
          </w:tcPr>
          <w:p w14:paraId="5D979A7F" w14:textId="57DEB4C1" w:rsidR="00360CD9" w:rsidRPr="005C29F8" w:rsidRDefault="00360CD9" w:rsidP="003C1852">
            <w:pPr>
              <w:rPr>
                <w:rFonts w:cs="Arial"/>
                <w:color w:val="000000" w:themeColor="text1"/>
                <w:szCs w:val="16"/>
              </w:rPr>
            </w:pPr>
            <w:r w:rsidRPr="005C29F8">
              <w:rPr>
                <w:rFonts w:cs="Arial"/>
                <w:color w:val="000000" w:themeColor="text1"/>
                <w:szCs w:val="16"/>
              </w:rPr>
              <w:t>Target C &lt;=</w:t>
            </w:r>
          </w:p>
        </w:tc>
        <w:tc>
          <w:tcPr>
            <w:tcW w:w="3576" w:type="pct"/>
            <w:shd w:val="clear" w:color="auto" w:fill="auto"/>
            <w:vAlign w:val="center"/>
          </w:tcPr>
          <w:p w14:paraId="1C0EF441" w14:textId="373B29D8" w:rsidR="00360CD9" w:rsidRPr="005C29F8" w:rsidRDefault="00360CD9" w:rsidP="00A018D4">
            <w:pPr>
              <w:jc w:val="center"/>
              <w:rPr>
                <w:rFonts w:cs="Arial"/>
                <w:color w:val="000000" w:themeColor="text1"/>
                <w:szCs w:val="16"/>
              </w:rPr>
            </w:pPr>
            <w:r w:rsidRPr="005C29F8">
              <w:rPr>
                <w:rFonts w:cs="Arial"/>
                <w:color w:val="000000" w:themeColor="text1"/>
                <w:szCs w:val="16"/>
              </w:rPr>
              <w:t>5.40%</w:t>
            </w:r>
          </w:p>
        </w:tc>
      </w:tr>
    </w:tbl>
    <w:p w14:paraId="7C8EA9A0" w14:textId="74543D19" w:rsidR="002D145D" w:rsidRDefault="002D145D" w:rsidP="004369B2">
      <w:pPr>
        <w:rPr>
          <w:b/>
          <w:color w:val="000000" w:themeColor="text1"/>
        </w:rPr>
      </w:pPr>
      <w:r w:rsidRPr="005C29F8">
        <w:rPr>
          <w:b/>
          <w:color w:val="000000" w:themeColor="text1"/>
        </w:rPr>
        <w:t xml:space="preserve">Targets: Description of Stakeholder Input </w:t>
      </w:r>
    </w:p>
    <w:p w14:paraId="080E6720" w14:textId="1B438EC8" w:rsidR="002D145D" w:rsidRDefault="00D60B5F" w:rsidP="002D145D">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2B96DDD0" w14:textId="3E2ADE72" w:rsidR="002D145D" w:rsidRPr="005C29F8" w:rsidRDefault="00D60B5F" w:rsidP="002D145D">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w:t>
      </w:r>
      <w:r w:rsidRPr="005C29F8">
        <w:rPr>
          <w:rFonts w:cs="Arial"/>
          <w:color w:val="000000" w:themeColor="text1"/>
          <w:szCs w:val="16"/>
        </w:rPr>
        <w:lastRenderedPageBreak/>
        <w:t>schools, and educational collaboratives; representatives of higher education; and health care and related service providers.</w:t>
      </w:r>
      <w:r w:rsidRPr="005C29F8">
        <w:rPr>
          <w:rFonts w:cs="Arial"/>
          <w:color w:val="000000" w:themeColor="text1"/>
          <w:szCs w:val="16"/>
        </w:rPr>
        <w:br/>
      </w:r>
      <w:r w:rsidRPr="005C29F8">
        <w:rPr>
          <w:rFonts w:cs="Arial"/>
          <w:color w:val="000000" w:themeColor="text1"/>
          <w:szCs w:val="16"/>
        </w:rPr>
        <w:br/>
        <w:t>The SEAP met most recently in January 2021 to review current data and discuss future actions to improve the State’s performance.  As needed, MA DESE also convenes stakeholder working groups throughout the year to provide focused input on specific projects and policy priorities. MA DESE also consults with educators, parents, advocates, and other stakeholders on an ad hoc basis to inform policy and practice. Stakeholder engagement is an essential component of MA DESE’s special education agenda.</w:t>
      </w:r>
    </w:p>
    <w:p w14:paraId="5251E1B0" w14:textId="77777777" w:rsidR="004A4803" w:rsidRPr="005C29F8" w:rsidRDefault="004A4803" w:rsidP="004369B2">
      <w:pPr>
        <w:rPr>
          <w:color w:val="000000" w:themeColor="text1"/>
        </w:rPr>
      </w:pPr>
    </w:p>
    <w:p w14:paraId="4D7BF763" w14:textId="45C93061" w:rsidR="00931A25" w:rsidRPr="005C29F8" w:rsidRDefault="00931A25" w:rsidP="004369B2">
      <w:pPr>
        <w:rPr>
          <w:color w:val="000000" w:themeColor="text1"/>
        </w:rPr>
      </w:pPr>
      <w:r w:rsidRPr="005C29F8">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5C29F8" w14:paraId="7DC625CA" w14:textId="77777777" w:rsidTr="0033429D">
        <w:trPr>
          <w:trHeight w:val="372"/>
          <w:tblHeader/>
        </w:trPr>
        <w:tc>
          <w:tcPr>
            <w:tcW w:w="1207" w:type="pct"/>
            <w:shd w:val="clear" w:color="auto" w:fill="auto"/>
          </w:tcPr>
          <w:p w14:paraId="27CE7D2A" w14:textId="77777777" w:rsidR="001C6C30" w:rsidRPr="005C29F8" w:rsidRDefault="001C6C30">
            <w:pPr>
              <w:spacing w:after="0"/>
              <w:jc w:val="center"/>
              <w:rPr>
                <w:rFonts w:cs="Arial"/>
                <w:b/>
                <w:color w:val="000000" w:themeColor="text1"/>
                <w:szCs w:val="16"/>
              </w:rPr>
            </w:pPr>
            <w:r w:rsidRPr="005C29F8">
              <w:rPr>
                <w:rFonts w:cs="Arial"/>
                <w:b/>
                <w:color w:val="000000" w:themeColor="text1"/>
                <w:szCs w:val="16"/>
              </w:rPr>
              <w:t>Source</w:t>
            </w:r>
          </w:p>
        </w:tc>
        <w:tc>
          <w:tcPr>
            <w:tcW w:w="1376" w:type="pct"/>
            <w:shd w:val="clear" w:color="auto" w:fill="auto"/>
          </w:tcPr>
          <w:p w14:paraId="37A472D3" w14:textId="77777777" w:rsidR="001C6C30" w:rsidRPr="005C29F8" w:rsidRDefault="001C6C30">
            <w:pPr>
              <w:spacing w:after="0"/>
              <w:jc w:val="center"/>
              <w:rPr>
                <w:rFonts w:cs="Arial"/>
                <w:b/>
                <w:color w:val="000000" w:themeColor="text1"/>
                <w:szCs w:val="16"/>
              </w:rPr>
            </w:pPr>
            <w:r w:rsidRPr="005C29F8">
              <w:rPr>
                <w:rFonts w:cs="Arial"/>
                <w:b/>
                <w:color w:val="000000" w:themeColor="text1"/>
                <w:szCs w:val="16"/>
              </w:rPr>
              <w:t>Date</w:t>
            </w:r>
          </w:p>
        </w:tc>
        <w:tc>
          <w:tcPr>
            <w:tcW w:w="1544" w:type="pct"/>
            <w:shd w:val="clear" w:color="auto" w:fill="auto"/>
          </w:tcPr>
          <w:p w14:paraId="3AD5D5D4" w14:textId="77777777" w:rsidR="001C6C30" w:rsidRPr="005C29F8" w:rsidRDefault="001C6C30">
            <w:pPr>
              <w:spacing w:after="0"/>
              <w:jc w:val="center"/>
              <w:rPr>
                <w:rFonts w:cs="Arial"/>
                <w:b/>
                <w:color w:val="000000" w:themeColor="text1"/>
                <w:szCs w:val="16"/>
              </w:rPr>
            </w:pPr>
            <w:r w:rsidRPr="005C29F8">
              <w:rPr>
                <w:rFonts w:cs="Arial"/>
                <w:b/>
                <w:color w:val="000000" w:themeColor="text1"/>
                <w:szCs w:val="16"/>
              </w:rPr>
              <w:t>Description</w:t>
            </w:r>
          </w:p>
        </w:tc>
        <w:tc>
          <w:tcPr>
            <w:tcW w:w="873" w:type="pct"/>
            <w:shd w:val="clear" w:color="auto" w:fill="auto"/>
          </w:tcPr>
          <w:p w14:paraId="3879034D" w14:textId="77777777" w:rsidR="001C6C30" w:rsidRPr="005C29F8" w:rsidRDefault="001C6C30">
            <w:pPr>
              <w:spacing w:after="0"/>
              <w:jc w:val="center"/>
              <w:rPr>
                <w:rFonts w:cs="Arial"/>
                <w:b/>
                <w:color w:val="000000" w:themeColor="text1"/>
                <w:szCs w:val="16"/>
              </w:rPr>
            </w:pPr>
            <w:r w:rsidRPr="005C29F8">
              <w:rPr>
                <w:rFonts w:cs="Arial"/>
                <w:b/>
                <w:color w:val="000000" w:themeColor="text1"/>
                <w:szCs w:val="16"/>
              </w:rPr>
              <w:t>Data</w:t>
            </w:r>
          </w:p>
        </w:tc>
      </w:tr>
      <w:tr w:rsidR="005C29F8" w:rsidRPr="005C29F8" w14:paraId="701A6E97" w14:textId="77777777" w:rsidTr="00AB0D6A">
        <w:trPr>
          <w:trHeight w:val="380"/>
        </w:trPr>
        <w:tc>
          <w:tcPr>
            <w:tcW w:w="1207" w:type="pct"/>
            <w:shd w:val="clear" w:color="auto" w:fill="auto"/>
            <w:vAlign w:val="center"/>
          </w:tcPr>
          <w:p w14:paraId="35A4BC35" w14:textId="73E52F94" w:rsidR="003C1852" w:rsidRPr="005C29F8" w:rsidRDefault="002B7490">
            <w:pPr>
              <w:jc w:val="center"/>
              <w:rPr>
                <w:rFonts w:cs="Arial"/>
                <w:color w:val="000000" w:themeColor="text1"/>
                <w:szCs w:val="16"/>
              </w:rPr>
            </w:pPr>
            <w:r w:rsidRPr="005C29F8">
              <w:rPr>
                <w:rFonts w:cs="Arial"/>
                <w:color w:val="000000" w:themeColor="text1"/>
                <w:szCs w:val="16"/>
              </w:rPr>
              <w:t>SY 2019-20 Child Count/Educational Environment Data Groups (EDFacts file spec FS002; Data group 74)</w:t>
            </w:r>
          </w:p>
        </w:tc>
        <w:tc>
          <w:tcPr>
            <w:tcW w:w="1376" w:type="pct"/>
            <w:shd w:val="clear" w:color="auto" w:fill="auto"/>
            <w:vAlign w:val="center"/>
          </w:tcPr>
          <w:p w14:paraId="0BD5009E" w14:textId="3A5F2E3D" w:rsidR="003C1852" w:rsidRPr="005C29F8" w:rsidRDefault="00FB785D">
            <w:pPr>
              <w:jc w:val="center"/>
              <w:rPr>
                <w:rFonts w:cs="Arial"/>
                <w:color w:val="000000" w:themeColor="text1"/>
                <w:szCs w:val="16"/>
              </w:rPr>
            </w:pPr>
            <w:r w:rsidRPr="005C29F8">
              <w:rPr>
                <w:rFonts w:cs="Arial"/>
                <w:color w:val="000000" w:themeColor="text1"/>
                <w:szCs w:val="16"/>
              </w:rPr>
              <w:t>07/08/2020</w:t>
            </w:r>
          </w:p>
        </w:tc>
        <w:tc>
          <w:tcPr>
            <w:tcW w:w="1544" w:type="pct"/>
            <w:shd w:val="clear" w:color="auto" w:fill="auto"/>
            <w:vAlign w:val="center"/>
          </w:tcPr>
          <w:p w14:paraId="05856C31" w14:textId="2C569076" w:rsidR="003C1852" w:rsidRPr="005C29F8" w:rsidRDefault="003C1852" w:rsidP="00E0321D">
            <w:pPr>
              <w:jc w:val="center"/>
              <w:rPr>
                <w:rFonts w:cs="Arial"/>
                <w:color w:val="000000" w:themeColor="text1"/>
                <w:szCs w:val="16"/>
              </w:rPr>
            </w:pPr>
            <w:r w:rsidRPr="005C29F8">
              <w:rPr>
                <w:rFonts w:cs="Arial"/>
                <w:color w:val="000000" w:themeColor="text1"/>
                <w:szCs w:val="16"/>
              </w:rPr>
              <w:t>Total number of children with IEPs aged 6 through 21</w:t>
            </w:r>
          </w:p>
        </w:tc>
        <w:tc>
          <w:tcPr>
            <w:tcW w:w="873" w:type="pct"/>
            <w:shd w:val="clear" w:color="auto" w:fill="auto"/>
            <w:vAlign w:val="center"/>
          </w:tcPr>
          <w:p w14:paraId="6A944F84" w14:textId="31582347" w:rsidR="003C1852" w:rsidRPr="005C29F8" w:rsidRDefault="002B7490" w:rsidP="00E0321D">
            <w:pPr>
              <w:jc w:val="center"/>
              <w:rPr>
                <w:rFonts w:cs="Arial"/>
                <w:color w:val="000000" w:themeColor="text1"/>
                <w:szCs w:val="16"/>
              </w:rPr>
            </w:pPr>
            <w:r w:rsidRPr="005C29F8">
              <w:rPr>
                <w:rFonts w:cs="Arial"/>
                <w:color w:val="000000" w:themeColor="text1"/>
                <w:szCs w:val="16"/>
              </w:rPr>
              <w:t>160,728</w:t>
            </w:r>
          </w:p>
        </w:tc>
      </w:tr>
      <w:tr w:rsidR="005C29F8" w:rsidRPr="005C29F8" w14:paraId="774B0393" w14:textId="77777777" w:rsidTr="00AB0D6A">
        <w:trPr>
          <w:trHeight w:val="380"/>
        </w:trPr>
        <w:tc>
          <w:tcPr>
            <w:tcW w:w="1207" w:type="pct"/>
            <w:shd w:val="clear" w:color="auto" w:fill="auto"/>
            <w:vAlign w:val="center"/>
          </w:tcPr>
          <w:p w14:paraId="41118E4B" w14:textId="707D9C2B" w:rsidR="008A3DC6" w:rsidRPr="005C29F8" w:rsidRDefault="00FB785D">
            <w:pPr>
              <w:jc w:val="center"/>
              <w:rPr>
                <w:rFonts w:cs="Arial"/>
                <w:color w:val="000000" w:themeColor="text1"/>
                <w:szCs w:val="16"/>
              </w:rPr>
            </w:pPr>
            <w:r w:rsidRPr="005C29F8">
              <w:rPr>
                <w:rFonts w:cs="Arial"/>
                <w:color w:val="000000" w:themeColor="text1"/>
                <w:szCs w:val="16"/>
              </w:rPr>
              <w:t>SY 2019-20 Child Count/Educational Environment Data Groups (EDFacts file spec FS002; Data group 74)</w:t>
            </w:r>
          </w:p>
        </w:tc>
        <w:tc>
          <w:tcPr>
            <w:tcW w:w="1376" w:type="pct"/>
            <w:shd w:val="clear" w:color="auto" w:fill="auto"/>
            <w:vAlign w:val="center"/>
          </w:tcPr>
          <w:p w14:paraId="598C9B67" w14:textId="1DDD1ECD" w:rsidR="008A3DC6" w:rsidRPr="005C29F8" w:rsidRDefault="00FB785D">
            <w:pPr>
              <w:jc w:val="center"/>
              <w:rPr>
                <w:rFonts w:cs="Arial"/>
                <w:color w:val="000000" w:themeColor="text1"/>
                <w:szCs w:val="16"/>
              </w:rPr>
            </w:pPr>
            <w:r w:rsidRPr="005C29F8">
              <w:rPr>
                <w:rFonts w:cs="Arial"/>
                <w:color w:val="000000" w:themeColor="text1"/>
                <w:szCs w:val="16"/>
              </w:rPr>
              <w:t>07/08/2020</w:t>
            </w:r>
          </w:p>
        </w:tc>
        <w:tc>
          <w:tcPr>
            <w:tcW w:w="1544" w:type="pct"/>
            <w:shd w:val="clear" w:color="auto" w:fill="auto"/>
            <w:vAlign w:val="center"/>
          </w:tcPr>
          <w:p w14:paraId="02329530" w14:textId="70A5DC75" w:rsidR="008A3DC6" w:rsidRPr="005C29F8" w:rsidRDefault="008A3DC6" w:rsidP="00E0321D">
            <w:pPr>
              <w:jc w:val="center"/>
              <w:rPr>
                <w:rFonts w:cs="Arial"/>
                <w:color w:val="000000" w:themeColor="text1"/>
                <w:szCs w:val="16"/>
              </w:rPr>
            </w:pPr>
            <w:r w:rsidRPr="005C29F8">
              <w:rPr>
                <w:rFonts w:cs="Arial"/>
                <w:color w:val="000000" w:themeColor="text1"/>
                <w:szCs w:val="16"/>
              </w:rPr>
              <w:t>A. Number of children with IEPs aged 6 through 21 inside the regular class 80% or more of the day</w:t>
            </w:r>
          </w:p>
        </w:tc>
        <w:tc>
          <w:tcPr>
            <w:tcW w:w="873" w:type="pct"/>
            <w:shd w:val="clear" w:color="auto" w:fill="auto"/>
            <w:vAlign w:val="center"/>
          </w:tcPr>
          <w:p w14:paraId="699212F3" w14:textId="450EBDBF" w:rsidR="008A3DC6" w:rsidRPr="005C29F8" w:rsidRDefault="002B7490" w:rsidP="00E0321D">
            <w:pPr>
              <w:jc w:val="center"/>
              <w:rPr>
                <w:rFonts w:cs="Arial"/>
                <w:color w:val="000000" w:themeColor="text1"/>
                <w:szCs w:val="16"/>
              </w:rPr>
            </w:pPr>
            <w:r w:rsidRPr="005C29F8">
              <w:rPr>
                <w:rFonts w:cs="Arial"/>
                <w:color w:val="000000" w:themeColor="text1"/>
                <w:szCs w:val="16"/>
              </w:rPr>
              <w:t>105,365</w:t>
            </w:r>
          </w:p>
        </w:tc>
      </w:tr>
      <w:tr w:rsidR="005C29F8" w:rsidRPr="005C29F8" w14:paraId="1BE24412" w14:textId="77777777" w:rsidTr="00AB0D6A">
        <w:trPr>
          <w:trHeight w:val="380"/>
        </w:trPr>
        <w:tc>
          <w:tcPr>
            <w:tcW w:w="1207" w:type="pct"/>
            <w:shd w:val="clear" w:color="auto" w:fill="auto"/>
            <w:vAlign w:val="center"/>
          </w:tcPr>
          <w:p w14:paraId="13D524C0" w14:textId="46F357A5" w:rsidR="008A3DC6" w:rsidRPr="005C29F8" w:rsidRDefault="00FB785D">
            <w:pPr>
              <w:jc w:val="center"/>
              <w:rPr>
                <w:rFonts w:cs="Arial"/>
                <w:color w:val="000000" w:themeColor="text1"/>
                <w:szCs w:val="16"/>
              </w:rPr>
            </w:pPr>
            <w:r w:rsidRPr="005C29F8">
              <w:rPr>
                <w:rFonts w:cs="Arial"/>
                <w:color w:val="000000" w:themeColor="text1"/>
                <w:szCs w:val="16"/>
              </w:rPr>
              <w:t>SY 2019-20 Child Count/Educational Environment Data Groups (EDFacts file spec FS002; Data group 74)</w:t>
            </w:r>
          </w:p>
        </w:tc>
        <w:tc>
          <w:tcPr>
            <w:tcW w:w="1376" w:type="pct"/>
            <w:shd w:val="clear" w:color="auto" w:fill="auto"/>
            <w:vAlign w:val="center"/>
          </w:tcPr>
          <w:p w14:paraId="72EFA773" w14:textId="00761F20" w:rsidR="008A3DC6" w:rsidRPr="005C29F8" w:rsidRDefault="00FB785D">
            <w:pPr>
              <w:jc w:val="center"/>
              <w:rPr>
                <w:rFonts w:cs="Arial"/>
                <w:color w:val="000000" w:themeColor="text1"/>
                <w:szCs w:val="16"/>
              </w:rPr>
            </w:pPr>
            <w:r w:rsidRPr="005C29F8">
              <w:rPr>
                <w:rFonts w:cs="Arial"/>
                <w:color w:val="000000" w:themeColor="text1"/>
                <w:szCs w:val="16"/>
              </w:rPr>
              <w:t>07/08/2020</w:t>
            </w:r>
          </w:p>
        </w:tc>
        <w:tc>
          <w:tcPr>
            <w:tcW w:w="1544" w:type="pct"/>
            <w:shd w:val="clear" w:color="auto" w:fill="auto"/>
            <w:vAlign w:val="center"/>
          </w:tcPr>
          <w:p w14:paraId="6EF7CE7A" w14:textId="44AA3625" w:rsidR="008A3DC6" w:rsidRPr="005C29F8" w:rsidRDefault="008A3DC6" w:rsidP="00E0321D">
            <w:pPr>
              <w:jc w:val="center"/>
              <w:rPr>
                <w:rFonts w:cs="Arial"/>
                <w:color w:val="000000" w:themeColor="text1"/>
                <w:szCs w:val="16"/>
              </w:rPr>
            </w:pPr>
            <w:r w:rsidRPr="005C29F8">
              <w:rPr>
                <w:rFonts w:cs="Arial"/>
                <w:color w:val="000000" w:themeColor="text1"/>
                <w:szCs w:val="16"/>
              </w:rPr>
              <w:t>B. Number of children with IEPs aged 6 through 21 inside the regular class less than 40% of the day</w:t>
            </w:r>
          </w:p>
        </w:tc>
        <w:tc>
          <w:tcPr>
            <w:tcW w:w="873" w:type="pct"/>
            <w:shd w:val="clear" w:color="auto" w:fill="auto"/>
            <w:vAlign w:val="center"/>
          </w:tcPr>
          <w:p w14:paraId="33B90725" w14:textId="1FBE54FE" w:rsidR="008A3DC6" w:rsidRPr="005C29F8" w:rsidRDefault="002B7490" w:rsidP="00E0321D">
            <w:pPr>
              <w:jc w:val="center"/>
              <w:rPr>
                <w:rFonts w:cs="Arial"/>
                <w:color w:val="000000" w:themeColor="text1"/>
                <w:szCs w:val="16"/>
              </w:rPr>
            </w:pPr>
            <w:r w:rsidRPr="005C29F8">
              <w:rPr>
                <w:rFonts w:cs="Arial"/>
                <w:color w:val="000000" w:themeColor="text1"/>
                <w:szCs w:val="16"/>
              </w:rPr>
              <w:t>21,264</w:t>
            </w:r>
          </w:p>
        </w:tc>
      </w:tr>
      <w:tr w:rsidR="005C29F8" w:rsidRPr="005C29F8" w14:paraId="17A5A2B3" w14:textId="77777777" w:rsidTr="00AB0D6A">
        <w:trPr>
          <w:trHeight w:val="380"/>
        </w:trPr>
        <w:tc>
          <w:tcPr>
            <w:tcW w:w="1207" w:type="pct"/>
            <w:shd w:val="clear" w:color="auto" w:fill="auto"/>
            <w:vAlign w:val="center"/>
          </w:tcPr>
          <w:p w14:paraId="525A2ED8" w14:textId="4E94BB5B" w:rsidR="008A3DC6" w:rsidRPr="005C29F8" w:rsidRDefault="00FB785D">
            <w:pPr>
              <w:jc w:val="center"/>
              <w:rPr>
                <w:rFonts w:cs="Arial"/>
                <w:color w:val="000000" w:themeColor="text1"/>
                <w:szCs w:val="16"/>
              </w:rPr>
            </w:pPr>
            <w:r w:rsidRPr="005C29F8">
              <w:rPr>
                <w:rFonts w:cs="Arial"/>
                <w:color w:val="000000" w:themeColor="text1"/>
                <w:szCs w:val="16"/>
              </w:rPr>
              <w:t>SY 2019-20 Child Count/Educational Environment Data Groups (EDFacts file spec FS002; Data group 74)</w:t>
            </w:r>
          </w:p>
        </w:tc>
        <w:tc>
          <w:tcPr>
            <w:tcW w:w="1376" w:type="pct"/>
            <w:shd w:val="clear" w:color="auto" w:fill="auto"/>
            <w:vAlign w:val="center"/>
          </w:tcPr>
          <w:p w14:paraId="68C3F92C" w14:textId="3AE47CC2" w:rsidR="008A3DC6" w:rsidRPr="005C29F8" w:rsidRDefault="00FB785D">
            <w:pPr>
              <w:jc w:val="center"/>
              <w:rPr>
                <w:rFonts w:cs="Arial"/>
                <w:color w:val="000000" w:themeColor="text1"/>
                <w:szCs w:val="16"/>
              </w:rPr>
            </w:pPr>
            <w:r w:rsidRPr="005C29F8">
              <w:rPr>
                <w:rFonts w:cs="Arial"/>
                <w:color w:val="000000" w:themeColor="text1"/>
                <w:szCs w:val="16"/>
              </w:rPr>
              <w:t>07/08/2020</w:t>
            </w:r>
          </w:p>
        </w:tc>
        <w:tc>
          <w:tcPr>
            <w:tcW w:w="1544" w:type="pct"/>
            <w:shd w:val="clear" w:color="auto" w:fill="auto"/>
            <w:vAlign w:val="center"/>
          </w:tcPr>
          <w:p w14:paraId="413AEB9E" w14:textId="44E9386E" w:rsidR="008A3DC6" w:rsidRPr="005C29F8" w:rsidRDefault="008A3DC6" w:rsidP="00E0321D">
            <w:pPr>
              <w:jc w:val="center"/>
              <w:rPr>
                <w:rFonts w:cs="Arial"/>
                <w:color w:val="000000" w:themeColor="text1"/>
                <w:szCs w:val="16"/>
              </w:rPr>
            </w:pPr>
            <w:r w:rsidRPr="005C29F8">
              <w:rPr>
                <w:rFonts w:cs="Arial"/>
                <w:color w:val="000000" w:themeColor="text1"/>
                <w:szCs w:val="16"/>
              </w:rPr>
              <w:t>c1. Number of children with IEPs aged 6 through 21 in separate schools</w:t>
            </w:r>
          </w:p>
        </w:tc>
        <w:tc>
          <w:tcPr>
            <w:tcW w:w="873" w:type="pct"/>
            <w:shd w:val="clear" w:color="auto" w:fill="auto"/>
            <w:vAlign w:val="center"/>
          </w:tcPr>
          <w:p w14:paraId="0C6DF60D" w14:textId="1A57B1C5" w:rsidR="008A3DC6" w:rsidRPr="005C29F8" w:rsidRDefault="002B7490" w:rsidP="00E0321D">
            <w:pPr>
              <w:jc w:val="center"/>
              <w:rPr>
                <w:rFonts w:cs="Arial"/>
                <w:color w:val="000000" w:themeColor="text1"/>
                <w:szCs w:val="16"/>
              </w:rPr>
            </w:pPr>
            <w:r w:rsidRPr="005C29F8">
              <w:rPr>
                <w:rFonts w:cs="Arial"/>
                <w:color w:val="000000" w:themeColor="text1"/>
                <w:szCs w:val="16"/>
              </w:rPr>
              <w:t>9,205</w:t>
            </w:r>
          </w:p>
        </w:tc>
      </w:tr>
      <w:tr w:rsidR="005C29F8" w:rsidRPr="005C29F8" w14:paraId="7C327020" w14:textId="77777777" w:rsidTr="00AB0D6A">
        <w:trPr>
          <w:trHeight w:val="380"/>
        </w:trPr>
        <w:tc>
          <w:tcPr>
            <w:tcW w:w="1207" w:type="pct"/>
            <w:shd w:val="clear" w:color="auto" w:fill="auto"/>
            <w:vAlign w:val="center"/>
          </w:tcPr>
          <w:p w14:paraId="485F7D93" w14:textId="6A92F697" w:rsidR="008A3DC6" w:rsidRPr="005C29F8" w:rsidRDefault="00FB785D">
            <w:pPr>
              <w:jc w:val="center"/>
              <w:rPr>
                <w:rFonts w:cs="Arial"/>
                <w:color w:val="000000" w:themeColor="text1"/>
                <w:szCs w:val="16"/>
              </w:rPr>
            </w:pPr>
            <w:r w:rsidRPr="005C29F8">
              <w:rPr>
                <w:rFonts w:cs="Arial"/>
                <w:color w:val="000000" w:themeColor="text1"/>
                <w:szCs w:val="16"/>
              </w:rPr>
              <w:t>SY 2019-20 Child Count/Educational Environment Data Groups (EDFacts file spec FS002; Data group 74)</w:t>
            </w:r>
          </w:p>
        </w:tc>
        <w:tc>
          <w:tcPr>
            <w:tcW w:w="1376" w:type="pct"/>
            <w:shd w:val="clear" w:color="auto" w:fill="auto"/>
            <w:vAlign w:val="center"/>
          </w:tcPr>
          <w:p w14:paraId="1261545C" w14:textId="230AF013" w:rsidR="008A3DC6" w:rsidRPr="005C29F8" w:rsidRDefault="00FB785D">
            <w:pPr>
              <w:jc w:val="center"/>
              <w:rPr>
                <w:rFonts w:cs="Arial"/>
                <w:color w:val="000000" w:themeColor="text1"/>
                <w:szCs w:val="16"/>
              </w:rPr>
            </w:pPr>
            <w:r w:rsidRPr="005C29F8">
              <w:rPr>
                <w:rFonts w:cs="Arial"/>
                <w:color w:val="000000" w:themeColor="text1"/>
                <w:szCs w:val="16"/>
              </w:rPr>
              <w:t>07/08/2020</w:t>
            </w:r>
          </w:p>
        </w:tc>
        <w:tc>
          <w:tcPr>
            <w:tcW w:w="1544" w:type="pct"/>
            <w:shd w:val="clear" w:color="auto" w:fill="auto"/>
            <w:vAlign w:val="center"/>
          </w:tcPr>
          <w:p w14:paraId="3AEE0CBD" w14:textId="4226B285" w:rsidR="008A3DC6" w:rsidRPr="005C29F8" w:rsidRDefault="008A3DC6" w:rsidP="00E0321D">
            <w:pPr>
              <w:jc w:val="center"/>
              <w:rPr>
                <w:rFonts w:cs="Arial"/>
                <w:color w:val="000000" w:themeColor="text1"/>
                <w:szCs w:val="16"/>
              </w:rPr>
            </w:pPr>
            <w:r w:rsidRPr="005C29F8">
              <w:rPr>
                <w:rFonts w:cs="Arial"/>
                <w:color w:val="000000" w:themeColor="text1"/>
                <w:szCs w:val="16"/>
              </w:rPr>
              <w:t>c2. Number of children with IEPs aged 6 through 21 in residential facilities</w:t>
            </w:r>
          </w:p>
        </w:tc>
        <w:tc>
          <w:tcPr>
            <w:tcW w:w="873" w:type="pct"/>
            <w:shd w:val="clear" w:color="auto" w:fill="auto"/>
            <w:vAlign w:val="center"/>
          </w:tcPr>
          <w:p w14:paraId="596B74CB" w14:textId="6136D9E8" w:rsidR="008A3DC6" w:rsidRPr="005C29F8" w:rsidRDefault="002B7490" w:rsidP="00E0321D">
            <w:pPr>
              <w:jc w:val="center"/>
              <w:rPr>
                <w:rFonts w:cs="Arial"/>
                <w:color w:val="000000" w:themeColor="text1"/>
                <w:szCs w:val="16"/>
              </w:rPr>
            </w:pPr>
            <w:r w:rsidRPr="005C29F8">
              <w:rPr>
                <w:rFonts w:cs="Arial"/>
                <w:color w:val="000000" w:themeColor="text1"/>
                <w:szCs w:val="16"/>
              </w:rPr>
              <w:t>979</w:t>
            </w:r>
          </w:p>
        </w:tc>
      </w:tr>
      <w:tr w:rsidR="005C29F8" w:rsidRPr="005C29F8" w14:paraId="16FD0FC0" w14:textId="77777777" w:rsidTr="00AB0D6A">
        <w:trPr>
          <w:trHeight w:val="380"/>
        </w:trPr>
        <w:tc>
          <w:tcPr>
            <w:tcW w:w="1207" w:type="pct"/>
            <w:shd w:val="clear" w:color="auto" w:fill="auto"/>
            <w:vAlign w:val="center"/>
          </w:tcPr>
          <w:p w14:paraId="59885F77" w14:textId="75A8CDFC" w:rsidR="008A3DC6" w:rsidRPr="005C29F8" w:rsidRDefault="00FB785D">
            <w:pPr>
              <w:jc w:val="center"/>
              <w:rPr>
                <w:rFonts w:cs="Arial"/>
                <w:color w:val="000000" w:themeColor="text1"/>
                <w:szCs w:val="16"/>
              </w:rPr>
            </w:pPr>
            <w:r w:rsidRPr="005C29F8">
              <w:rPr>
                <w:rFonts w:cs="Arial"/>
                <w:color w:val="000000" w:themeColor="text1"/>
                <w:szCs w:val="16"/>
              </w:rPr>
              <w:t>SY 2019-20 Child Count/Educational Environment Data Groups (EDFacts file spec FS002; Data group 74)</w:t>
            </w:r>
          </w:p>
        </w:tc>
        <w:tc>
          <w:tcPr>
            <w:tcW w:w="1376" w:type="pct"/>
            <w:shd w:val="clear" w:color="auto" w:fill="auto"/>
            <w:vAlign w:val="center"/>
          </w:tcPr>
          <w:p w14:paraId="5FC32D0C" w14:textId="67F32884" w:rsidR="008A3DC6" w:rsidRPr="005C29F8" w:rsidRDefault="00FB785D">
            <w:pPr>
              <w:jc w:val="center"/>
              <w:rPr>
                <w:rFonts w:cs="Arial"/>
                <w:color w:val="000000" w:themeColor="text1"/>
                <w:szCs w:val="16"/>
              </w:rPr>
            </w:pPr>
            <w:r w:rsidRPr="005C29F8">
              <w:rPr>
                <w:rFonts w:cs="Arial"/>
                <w:color w:val="000000" w:themeColor="text1"/>
                <w:szCs w:val="16"/>
              </w:rPr>
              <w:t>07/08/2020</w:t>
            </w:r>
          </w:p>
        </w:tc>
        <w:tc>
          <w:tcPr>
            <w:tcW w:w="1544" w:type="pct"/>
            <w:shd w:val="clear" w:color="auto" w:fill="auto"/>
            <w:vAlign w:val="center"/>
          </w:tcPr>
          <w:p w14:paraId="5DA416E0" w14:textId="37D59773" w:rsidR="008A3DC6" w:rsidRPr="005C29F8" w:rsidRDefault="008A3DC6" w:rsidP="00E0321D">
            <w:pPr>
              <w:jc w:val="center"/>
              <w:rPr>
                <w:rFonts w:cs="Arial"/>
                <w:color w:val="000000" w:themeColor="text1"/>
                <w:szCs w:val="16"/>
              </w:rPr>
            </w:pPr>
            <w:r w:rsidRPr="005C29F8">
              <w:rPr>
                <w:rFonts w:cs="Arial"/>
                <w:color w:val="000000" w:themeColor="text1"/>
                <w:szCs w:val="16"/>
              </w:rPr>
              <w:t>c3. Number of children with IEPs aged 6 through 21 in homebound/hospital placements</w:t>
            </w:r>
          </w:p>
        </w:tc>
        <w:tc>
          <w:tcPr>
            <w:tcW w:w="873" w:type="pct"/>
            <w:shd w:val="clear" w:color="auto" w:fill="auto"/>
            <w:vAlign w:val="center"/>
          </w:tcPr>
          <w:p w14:paraId="7B0E7054" w14:textId="49D56445" w:rsidR="008A3DC6" w:rsidRPr="005C29F8" w:rsidRDefault="002B7490" w:rsidP="00E0321D">
            <w:pPr>
              <w:jc w:val="center"/>
              <w:rPr>
                <w:rFonts w:cs="Arial"/>
                <w:color w:val="000000" w:themeColor="text1"/>
                <w:szCs w:val="16"/>
              </w:rPr>
            </w:pPr>
            <w:r w:rsidRPr="005C29F8">
              <w:rPr>
                <w:rFonts w:cs="Arial"/>
                <w:color w:val="000000" w:themeColor="text1"/>
                <w:szCs w:val="16"/>
              </w:rPr>
              <w:t>162</w:t>
            </w:r>
          </w:p>
        </w:tc>
      </w:tr>
    </w:tbl>
    <w:p w14:paraId="5475FEBE" w14:textId="3E3663D3" w:rsidR="004A4803" w:rsidRPr="005C29F8" w:rsidRDefault="004A4803">
      <w:pPr>
        <w:rPr>
          <w:color w:val="000000" w:themeColor="text1"/>
        </w:rPr>
      </w:pPr>
    </w:p>
    <w:p w14:paraId="47A0647A" w14:textId="20BD9700" w:rsidR="00D60B5F" w:rsidRPr="005C29F8" w:rsidRDefault="00055C7A">
      <w:pPr>
        <w:rPr>
          <w:b/>
          <w:color w:val="000000" w:themeColor="text1"/>
        </w:rPr>
      </w:pPr>
      <w:r w:rsidRPr="005C29F8">
        <w:rPr>
          <w:b/>
          <w:color w:val="000000" w:themeColor="text1"/>
        </w:rPr>
        <w:t>Select yes if the data reported in this indicator are not the same as the State’s data reported under section 618 of the IDEA.</w:t>
      </w:r>
    </w:p>
    <w:p w14:paraId="7B71CB67" w14:textId="6BBC3C80" w:rsidR="00D60B5F" w:rsidRDefault="00D60B5F">
      <w:pPr>
        <w:rPr>
          <w:color w:val="000000" w:themeColor="text1"/>
        </w:rPr>
      </w:pPr>
      <w:r w:rsidRPr="005C29F8">
        <w:rPr>
          <w:color w:val="000000" w:themeColor="text1"/>
        </w:rPr>
        <w:t>NO</w:t>
      </w:r>
    </w:p>
    <w:p w14:paraId="14F4B2C8" w14:textId="77777777" w:rsidR="0037431B" w:rsidRPr="005C29F8" w:rsidRDefault="0037431B" w:rsidP="004369B2">
      <w:pPr>
        <w:rPr>
          <w:color w:val="000000" w:themeColor="text1"/>
        </w:rPr>
      </w:pPr>
    </w:p>
    <w:p w14:paraId="7EFB6535" w14:textId="1DB30066" w:rsidR="00805DD3" w:rsidRPr="005C29F8" w:rsidRDefault="00EC46E4">
      <w:pPr>
        <w:rPr>
          <w:b/>
          <w:color w:val="000000" w:themeColor="text1"/>
        </w:rPr>
      </w:pPr>
      <w:r w:rsidRPr="005C29F8">
        <w:rPr>
          <w:b/>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220"/>
        <w:gridCol w:w="1222"/>
        <w:gridCol w:w="1221"/>
        <w:gridCol w:w="1219"/>
        <w:gridCol w:w="1221"/>
        <w:gridCol w:w="1221"/>
        <w:gridCol w:w="1221"/>
      </w:tblGrid>
      <w:tr w:rsidR="005C29F8" w:rsidRPr="005C29F8" w14:paraId="0324DF77" w14:textId="01438934" w:rsidTr="00AB0D6A">
        <w:trPr>
          <w:trHeight w:val="440"/>
          <w:tblHeader/>
        </w:trPr>
        <w:tc>
          <w:tcPr>
            <w:tcW w:w="1040" w:type="pct"/>
            <w:shd w:val="clear" w:color="auto" w:fill="auto"/>
            <w:vAlign w:val="bottom"/>
          </w:tcPr>
          <w:p w14:paraId="0D668D1B" w14:textId="6BB38C6B" w:rsidR="00931A25" w:rsidRPr="005C29F8" w:rsidRDefault="001F64DB" w:rsidP="004369B2">
            <w:pPr>
              <w:jc w:val="center"/>
              <w:rPr>
                <w:b/>
                <w:color w:val="000000" w:themeColor="text1"/>
              </w:rPr>
            </w:pPr>
            <w:r>
              <w:rPr>
                <w:b/>
                <w:color w:val="000000" w:themeColor="text1"/>
              </w:rPr>
              <w:t>Education Environments</w:t>
            </w:r>
          </w:p>
        </w:tc>
        <w:tc>
          <w:tcPr>
            <w:tcW w:w="565" w:type="pct"/>
            <w:shd w:val="clear" w:color="auto" w:fill="auto"/>
            <w:vAlign w:val="bottom"/>
          </w:tcPr>
          <w:p w14:paraId="323FF92F" w14:textId="77777777" w:rsidR="00931A25" w:rsidRPr="005C29F8" w:rsidRDefault="00931A25" w:rsidP="004369B2">
            <w:pPr>
              <w:jc w:val="center"/>
              <w:rPr>
                <w:b/>
                <w:color w:val="000000" w:themeColor="text1"/>
              </w:rPr>
            </w:pPr>
            <w:r w:rsidRPr="005C29F8">
              <w:rPr>
                <w:b/>
                <w:color w:val="000000" w:themeColor="text1"/>
              </w:rPr>
              <w:t>Number of children with IEPs aged 6 through 21 served</w:t>
            </w:r>
          </w:p>
        </w:tc>
        <w:tc>
          <w:tcPr>
            <w:tcW w:w="566" w:type="pct"/>
            <w:shd w:val="clear" w:color="auto" w:fill="auto"/>
            <w:vAlign w:val="bottom"/>
          </w:tcPr>
          <w:p w14:paraId="5B4758A3" w14:textId="77777777" w:rsidR="00931A25" w:rsidRPr="005C29F8" w:rsidRDefault="00931A25" w:rsidP="004369B2">
            <w:pPr>
              <w:jc w:val="center"/>
              <w:rPr>
                <w:b/>
                <w:color w:val="000000" w:themeColor="text1"/>
              </w:rPr>
            </w:pPr>
            <w:r w:rsidRPr="005C29F8">
              <w:rPr>
                <w:b/>
                <w:color w:val="000000" w:themeColor="text1"/>
              </w:rPr>
              <w:t>Total number of children with IEPs aged 6 through 21</w:t>
            </w:r>
          </w:p>
        </w:tc>
        <w:tc>
          <w:tcPr>
            <w:tcW w:w="566" w:type="pct"/>
            <w:shd w:val="clear" w:color="auto" w:fill="auto"/>
            <w:vAlign w:val="bottom"/>
          </w:tcPr>
          <w:p w14:paraId="5B2059E0" w14:textId="7722F9FB" w:rsidR="00931A25" w:rsidRPr="005C29F8" w:rsidRDefault="00B954DC" w:rsidP="004369B2">
            <w:pPr>
              <w:jc w:val="center"/>
              <w:rPr>
                <w:b/>
                <w:color w:val="000000" w:themeColor="text1"/>
              </w:rPr>
            </w:pPr>
            <w:r w:rsidRPr="005C29F8">
              <w:rPr>
                <w:b/>
                <w:color w:val="000000" w:themeColor="text1"/>
              </w:rPr>
              <w:t>FFY 2018 Data</w:t>
            </w:r>
          </w:p>
        </w:tc>
        <w:tc>
          <w:tcPr>
            <w:tcW w:w="565" w:type="pct"/>
            <w:shd w:val="clear" w:color="auto" w:fill="auto"/>
            <w:vAlign w:val="bottom"/>
          </w:tcPr>
          <w:p w14:paraId="320127EA" w14:textId="13DD037A" w:rsidR="00931A25" w:rsidRPr="005C29F8" w:rsidRDefault="00B954DC" w:rsidP="004369B2">
            <w:pPr>
              <w:jc w:val="center"/>
              <w:rPr>
                <w:b/>
                <w:color w:val="000000" w:themeColor="text1"/>
              </w:rPr>
            </w:pPr>
            <w:r w:rsidRPr="005C29F8">
              <w:rPr>
                <w:b/>
                <w:color w:val="000000" w:themeColor="text1"/>
              </w:rPr>
              <w:t>FFY 2019 Target</w:t>
            </w:r>
          </w:p>
        </w:tc>
        <w:tc>
          <w:tcPr>
            <w:tcW w:w="566" w:type="pct"/>
            <w:shd w:val="clear" w:color="auto" w:fill="auto"/>
            <w:vAlign w:val="bottom"/>
          </w:tcPr>
          <w:p w14:paraId="150C2675" w14:textId="20DB2B60" w:rsidR="00931A25" w:rsidRPr="005C29F8" w:rsidRDefault="00B954DC" w:rsidP="004369B2">
            <w:pPr>
              <w:jc w:val="center"/>
              <w:rPr>
                <w:b/>
                <w:color w:val="000000" w:themeColor="text1"/>
              </w:rPr>
            </w:pPr>
            <w:r w:rsidRPr="005C29F8">
              <w:rPr>
                <w:b/>
                <w:color w:val="000000" w:themeColor="text1"/>
              </w:rPr>
              <w:t>FFY 2019 Data</w:t>
            </w:r>
          </w:p>
        </w:tc>
        <w:tc>
          <w:tcPr>
            <w:tcW w:w="566" w:type="pct"/>
            <w:shd w:val="clear" w:color="auto" w:fill="auto"/>
            <w:vAlign w:val="bottom"/>
          </w:tcPr>
          <w:p w14:paraId="08F715E4" w14:textId="7BB096AF" w:rsidR="00931A25" w:rsidRPr="005C29F8" w:rsidRDefault="00931A25" w:rsidP="004369B2">
            <w:pPr>
              <w:jc w:val="center"/>
              <w:rPr>
                <w:b/>
                <w:color w:val="000000" w:themeColor="text1"/>
              </w:rPr>
            </w:pPr>
            <w:r w:rsidRPr="005C29F8">
              <w:rPr>
                <w:b/>
                <w:color w:val="000000" w:themeColor="text1"/>
              </w:rPr>
              <w:t>Status</w:t>
            </w:r>
          </w:p>
        </w:tc>
        <w:tc>
          <w:tcPr>
            <w:tcW w:w="566" w:type="pct"/>
            <w:shd w:val="clear" w:color="auto" w:fill="auto"/>
            <w:vAlign w:val="bottom"/>
          </w:tcPr>
          <w:p w14:paraId="16F336C8" w14:textId="693FB9B1" w:rsidR="00931A25" w:rsidRPr="005C29F8" w:rsidRDefault="00931A25" w:rsidP="004369B2">
            <w:pPr>
              <w:jc w:val="center"/>
              <w:rPr>
                <w:b/>
                <w:color w:val="000000" w:themeColor="text1"/>
              </w:rPr>
            </w:pPr>
            <w:r w:rsidRPr="005C29F8">
              <w:rPr>
                <w:b/>
                <w:color w:val="000000" w:themeColor="text1"/>
              </w:rPr>
              <w:t>Slippage</w:t>
            </w:r>
          </w:p>
        </w:tc>
      </w:tr>
      <w:tr w:rsidR="005C29F8" w:rsidRPr="005C29F8" w14:paraId="0CF0446C" w14:textId="0B89548D" w:rsidTr="00AB0D6A">
        <w:trPr>
          <w:trHeight w:val="361"/>
        </w:trPr>
        <w:tc>
          <w:tcPr>
            <w:tcW w:w="1040" w:type="pct"/>
            <w:shd w:val="clear" w:color="auto" w:fill="auto"/>
            <w:vAlign w:val="center"/>
          </w:tcPr>
          <w:p w14:paraId="389D79B9" w14:textId="6D3AD667" w:rsidR="00631963" w:rsidRPr="005C29F8" w:rsidRDefault="00631963" w:rsidP="00631963">
            <w:pPr>
              <w:rPr>
                <w:rFonts w:cs="Arial"/>
                <w:color w:val="000000" w:themeColor="text1"/>
                <w:szCs w:val="16"/>
              </w:rPr>
            </w:pPr>
            <w:r w:rsidRPr="005C29F8">
              <w:rPr>
                <w:rFonts w:cs="Arial"/>
                <w:color w:val="000000" w:themeColor="text1"/>
                <w:szCs w:val="16"/>
              </w:rPr>
              <w:t>A.</w:t>
            </w:r>
            <w:r w:rsidRPr="005C29F8">
              <w:rPr>
                <w:rFonts w:cs="Arial"/>
                <w:color w:val="000000" w:themeColor="text1"/>
                <w:szCs w:val="16"/>
                <w:shd w:val="clear" w:color="auto" w:fill="FFFFFF"/>
              </w:rPr>
              <w:t xml:space="preserve"> Number of children with IEPs aged 6 through 21 inside the regular class 80% or more of the day</w:t>
            </w:r>
          </w:p>
        </w:tc>
        <w:tc>
          <w:tcPr>
            <w:tcW w:w="565" w:type="pct"/>
            <w:shd w:val="clear" w:color="auto" w:fill="auto"/>
            <w:vAlign w:val="center"/>
          </w:tcPr>
          <w:p w14:paraId="0C538F78" w14:textId="211A39AD" w:rsidR="00631963" w:rsidRPr="005C29F8" w:rsidRDefault="002B7490" w:rsidP="00A018D4">
            <w:pPr>
              <w:jc w:val="center"/>
              <w:rPr>
                <w:rFonts w:cs="Arial"/>
                <w:color w:val="000000" w:themeColor="text1"/>
                <w:szCs w:val="16"/>
              </w:rPr>
            </w:pPr>
            <w:r w:rsidRPr="005C29F8">
              <w:rPr>
                <w:rFonts w:cs="Arial"/>
                <w:color w:val="000000" w:themeColor="text1"/>
                <w:szCs w:val="16"/>
              </w:rPr>
              <w:t>105,365</w:t>
            </w:r>
          </w:p>
        </w:tc>
        <w:tc>
          <w:tcPr>
            <w:tcW w:w="566" w:type="pct"/>
            <w:shd w:val="clear" w:color="auto" w:fill="auto"/>
            <w:vAlign w:val="center"/>
          </w:tcPr>
          <w:p w14:paraId="7CB3B03A" w14:textId="4A5E294F" w:rsidR="00631963" w:rsidRPr="005C29F8" w:rsidRDefault="002B7490" w:rsidP="00A018D4">
            <w:pPr>
              <w:jc w:val="center"/>
              <w:rPr>
                <w:rFonts w:cs="Arial"/>
                <w:color w:val="000000" w:themeColor="text1"/>
                <w:szCs w:val="16"/>
              </w:rPr>
            </w:pPr>
            <w:r w:rsidRPr="005C29F8">
              <w:rPr>
                <w:rFonts w:cs="Arial"/>
                <w:color w:val="000000" w:themeColor="text1"/>
                <w:szCs w:val="16"/>
              </w:rPr>
              <w:t>160,728</w:t>
            </w:r>
          </w:p>
        </w:tc>
        <w:tc>
          <w:tcPr>
            <w:tcW w:w="566" w:type="pct"/>
            <w:shd w:val="clear" w:color="auto" w:fill="auto"/>
            <w:vAlign w:val="center"/>
          </w:tcPr>
          <w:p w14:paraId="147CA5C5" w14:textId="139C91CB" w:rsidR="00631963" w:rsidRPr="005C29F8" w:rsidRDefault="002B7490" w:rsidP="00A018D4">
            <w:pPr>
              <w:jc w:val="center"/>
              <w:rPr>
                <w:rFonts w:cs="Arial"/>
                <w:color w:val="000000" w:themeColor="text1"/>
                <w:szCs w:val="16"/>
              </w:rPr>
            </w:pPr>
            <w:r w:rsidRPr="005C29F8">
              <w:rPr>
                <w:rFonts w:cs="Arial"/>
                <w:color w:val="000000" w:themeColor="text1"/>
                <w:szCs w:val="16"/>
              </w:rPr>
              <w:t>65.02%</w:t>
            </w:r>
          </w:p>
        </w:tc>
        <w:tc>
          <w:tcPr>
            <w:tcW w:w="565" w:type="pct"/>
            <w:shd w:val="clear" w:color="auto" w:fill="auto"/>
            <w:vAlign w:val="center"/>
          </w:tcPr>
          <w:p w14:paraId="497D8B9F" w14:textId="585C0A39" w:rsidR="00631963" w:rsidRPr="005C29F8" w:rsidRDefault="002B7490" w:rsidP="00A018D4">
            <w:pPr>
              <w:jc w:val="center"/>
              <w:rPr>
                <w:rFonts w:cs="Arial"/>
                <w:color w:val="000000" w:themeColor="text1"/>
                <w:szCs w:val="16"/>
              </w:rPr>
            </w:pPr>
            <w:r w:rsidRPr="005C29F8">
              <w:rPr>
                <w:rFonts w:cs="Arial"/>
                <w:color w:val="000000" w:themeColor="text1"/>
                <w:szCs w:val="16"/>
              </w:rPr>
              <w:t>61.50%</w:t>
            </w:r>
          </w:p>
        </w:tc>
        <w:tc>
          <w:tcPr>
            <w:tcW w:w="566" w:type="pct"/>
            <w:shd w:val="clear" w:color="auto" w:fill="auto"/>
            <w:vAlign w:val="center"/>
          </w:tcPr>
          <w:p w14:paraId="4B6AC9A3" w14:textId="0D7F6AEF" w:rsidR="00631963" w:rsidRPr="005C29F8" w:rsidRDefault="002B7490" w:rsidP="00A018D4">
            <w:pPr>
              <w:jc w:val="center"/>
              <w:rPr>
                <w:rFonts w:cs="Arial"/>
                <w:color w:val="000000" w:themeColor="text1"/>
                <w:szCs w:val="16"/>
              </w:rPr>
            </w:pPr>
            <w:r w:rsidRPr="005C29F8">
              <w:rPr>
                <w:rFonts w:cs="Arial"/>
                <w:color w:val="000000" w:themeColor="text1"/>
                <w:szCs w:val="16"/>
              </w:rPr>
              <w:t>65.55%</w:t>
            </w:r>
          </w:p>
        </w:tc>
        <w:tc>
          <w:tcPr>
            <w:tcW w:w="566" w:type="pct"/>
            <w:shd w:val="clear" w:color="auto" w:fill="auto"/>
            <w:vAlign w:val="center"/>
          </w:tcPr>
          <w:p w14:paraId="0D12A1DA" w14:textId="6C35FF67" w:rsidR="00631963" w:rsidRPr="005C29F8" w:rsidRDefault="002B7490" w:rsidP="00A018D4">
            <w:pPr>
              <w:jc w:val="center"/>
              <w:rPr>
                <w:rFonts w:cs="Arial"/>
                <w:color w:val="000000" w:themeColor="text1"/>
                <w:szCs w:val="16"/>
              </w:rPr>
            </w:pPr>
            <w:r w:rsidRPr="005C29F8">
              <w:rPr>
                <w:rFonts w:cs="Arial"/>
                <w:color w:val="000000" w:themeColor="text1"/>
                <w:szCs w:val="16"/>
              </w:rPr>
              <w:t>Met Target</w:t>
            </w:r>
          </w:p>
        </w:tc>
        <w:tc>
          <w:tcPr>
            <w:tcW w:w="566" w:type="pct"/>
            <w:shd w:val="clear" w:color="auto" w:fill="auto"/>
            <w:vAlign w:val="center"/>
          </w:tcPr>
          <w:p w14:paraId="2E7D658D" w14:textId="6E94158A" w:rsidR="00631963"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r w:rsidR="005C29F8" w:rsidRPr="005C29F8" w14:paraId="0FEF5E26" w14:textId="1BAD9686" w:rsidTr="00AB0D6A">
        <w:trPr>
          <w:trHeight w:val="361"/>
        </w:trPr>
        <w:tc>
          <w:tcPr>
            <w:tcW w:w="1040" w:type="pct"/>
            <w:shd w:val="clear" w:color="auto" w:fill="auto"/>
            <w:vAlign w:val="center"/>
          </w:tcPr>
          <w:p w14:paraId="787D8C24" w14:textId="4D83CB85" w:rsidR="00631963" w:rsidRPr="005C29F8" w:rsidRDefault="00631963" w:rsidP="00631963">
            <w:pPr>
              <w:rPr>
                <w:rFonts w:cs="Arial"/>
                <w:color w:val="000000" w:themeColor="text1"/>
                <w:szCs w:val="16"/>
              </w:rPr>
            </w:pPr>
            <w:r w:rsidRPr="005C29F8">
              <w:rPr>
                <w:rFonts w:cs="Arial"/>
                <w:color w:val="000000" w:themeColor="text1"/>
                <w:szCs w:val="16"/>
                <w:shd w:val="clear" w:color="auto" w:fill="FFFFFF"/>
              </w:rPr>
              <w:t>B. Number of children with IEPs aged 6 through 21 inside the regular class less than 40% of the day</w:t>
            </w:r>
          </w:p>
        </w:tc>
        <w:tc>
          <w:tcPr>
            <w:tcW w:w="565" w:type="pct"/>
            <w:shd w:val="clear" w:color="auto" w:fill="auto"/>
            <w:vAlign w:val="center"/>
          </w:tcPr>
          <w:p w14:paraId="03764807" w14:textId="322EE6A5" w:rsidR="00631963" w:rsidRPr="005C29F8" w:rsidRDefault="002B7490" w:rsidP="00A018D4">
            <w:pPr>
              <w:jc w:val="center"/>
              <w:rPr>
                <w:rFonts w:cs="Arial"/>
                <w:color w:val="000000" w:themeColor="text1"/>
                <w:szCs w:val="16"/>
              </w:rPr>
            </w:pPr>
            <w:r w:rsidRPr="005C29F8">
              <w:rPr>
                <w:rFonts w:cs="Arial"/>
                <w:color w:val="000000" w:themeColor="text1"/>
                <w:szCs w:val="16"/>
              </w:rPr>
              <w:t>21,264</w:t>
            </w:r>
          </w:p>
        </w:tc>
        <w:tc>
          <w:tcPr>
            <w:tcW w:w="566" w:type="pct"/>
            <w:shd w:val="clear" w:color="auto" w:fill="auto"/>
            <w:vAlign w:val="center"/>
          </w:tcPr>
          <w:p w14:paraId="6BB5ED43" w14:textId="72BAFF29" w:rsidR="00631963" w:rsidRPr="005C29F8" w:rsidRDefault="002B7490" w:rsidP="00A018D4">
            <w:pPr>
              <w:jc w:val="center"/>
              <w:rPr>
                <w:rFonts w:cs="Arial"/>
                <w:color w:val="000000" w:themeColor="text1"/>
                <w:szCs w:val="16"/>
              </w:rPr>
            </w:pPr>
            <w:r w:rsidRPr="005C29F8">
              <w:rPr>
                <w:rFonts w:cs="Arial"/>
                <w:color w:val="000000" w:themeColor="text1"/>
                <w:szCs w:val="16"/>
              </w:rPr>
              <w:t>160,728</w:t>
            </w:r>
          </w:p>
        </w:tc>
        <w:tc>
          <w:tcPr>
            <w:tcW w:w="566" w:type="pct"/>
            <w:shd w:val="clear" w:color="auto" w:fill="auto"/>
            <w:vAlign w:val="center"/>
          </w:tcPr>
          <w:p w14:paraId="3D5C1070" w14:textId="57DABC44" w:rsidR="00631963" w:rsidRPr="005C29F8" w:rsidRDefault="002B7490" w:rsidP="00A018D4">
            <w:pPr>
              <w:jc w:val="center"/>
              <w:rPr>
                <w:rFonts w:cs="Arial"/>
                <w:color w:val="000000" w:themeColor="text1"/>
                <w:szCs w:val="16"/>
              </w:rPr>
            </w:pPr>
            <w:r w:rsidRPr="005C29F8">
              <w:rPr>
                <w:rFonts w:cs="Arial"/>
                <w:color w:val="000000" w:themeColor="text1"/>
                <w:szCs w:val="16"/>
              </w:rPr>
              <w:t>13.22%</w:t>
            </w:r>
          </w:p>
        </w:tc>
        <w:tc>
          <w:tcPr>
            <w:tcW w:w="565" w:type="pct"/>
            <w:shd w:val="clear" w:color="auto" w:fill="auto"/>
            <w:vAlign w:val="center"/>
          </w:tcPr>
          <w:p w14:paraId="02F3CF00" w14:textId="6A81B00C" w:rsidR="00631963" w:rsidRPr="005C29F8" w:rsidRDefault="002B7490" w:rsidP="00A018D4">
            <w:pPr>
              <w:jc w:val="center"/>
              <w:rPr>
                <w:rFonts w:cs="Arial"/>
                <w:color w:val="000000" w:themeColor="text1"/>
                <w:szCs w:val="16"/>
              </w:rPr>
            </w:pPr>
            <w:r w:rsidRPr="005C29F8">
              <w:rPr>
                <w:rFonts w:cs="Arial"/>
                <w:color w:val="000000" w:themeColor="text1"/>
                <w:szCs w:val="16"/>
              </w:rPr>
              <w:t>14.30%</w:t>
            </w:r>
          </w:p>
        </w:tc>
        <w:tc>
          <w:tcPr>
            <w:tcW w:w="566" w:type="pct"/>
            <w:shd w:val="clear" w:color="auto" w:fill="auto"/>
            <w:vAlign w:val="center"/>
          </w:tcPr>
          <w:p w14:paraId="07434586" w14:textId="19522680" w:rsidR="00631963" w:rsidRPr="005C29F8" w:rsidRDefault="002B7490" w:rsidP="00A018D4">
            <w:pPr>
              <w:jc w:val="center"/>
              <w:rPr>
                <w:rFonts w:cs="Arial"/>
                <w:color w:val="000000" w:themeColor="text1"/>
                <w:szCs w:val="16"/>
              </w:rPr>
            </w:pPr>
            <w:r w:rsidRPr="005C29F8">
              <w:rPr>
                <w:rFonts w:cs="Arial"/>
                <w:color w:val="000000" w:themeColor="text1"/>
                <w:szCs w:val="16"/>
              </w:rPr>
              <w:t>13.23%</w:t>
            </w:r>
          </w:p>
        </w:tc>
        <w:tc>
          <w:tcPr>
            <w:tcW w:w="566" w:type="pct"/>
            <w:shd w:val="clear" w:color="auto" w:fill="auto"/>
            <w:vAlign w:val="center"/>
          </w:tcPr>
          <w:p w14:paraId="59BFCAE8" w14:textId="7F9BACFA" w:rsidR="00631963" w:rsidRPr="005C29F8" w:rsidRDefault="002B7490" w:rsidP="00A018D4">
            <w:pPr>
              <w:jc w:val="center"/>
              <w:rPr>
                <w:rFonts w:cs="Arial"/>
                <w:color w:val="000000" w:themeColor="text1"/>
                <w:szCs w:val="16"/>
              </w:rPr>
            </w:pPr>
            <w:r w:rsidRPr="005C29F8">
              <w:rPr>
                <w:rFonts w:cs="Arial"/>
                <w:color w:val="000000" w:themeColor="text1"/>
                <w:szCs w:val="16"/>
              </w:rPr>
              <w:t>Met Target</w:t>
            </w:r>
          </w:p>
        </w:tc>
        <w:tc>
          <w:tcPr>
            <w:tcW w:w="566" w:type="pct"/>
            <w:shd w:val="clear" w:color="auto" w:fill="auto"/>
            <w:vAlign w:val="center"/>
          </w:tcPr>
          <w:p w14:paraId="6D7448AA" w14:textId="1247E0AB" w:rsidR="00631963"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r w:rsidR="005C29F8" w:rsidRPr="005C29F8" w14:paraId="18A60D9F" w14:textId="211489DF" w:rsidTr="00AB0D6A">
        <w:trPr>
          <w:trHeight w:val="361"/>
        </w:trPr>
        <w:tc>
          <w:tcPr>
            <w:tcW w:w="1040" w:type="pct"/>
            <w:shd w:val="clear" w:color="auto" w:fill="auto"/>
            <w:vAlign w:val="center"/>
          </w:tcPr>
          <w:p w14:paraId="0B4BA19D" w14:textId="6DBF7328" w:rsidR="00631963" w:rsidRPr="005C29F8" w:rsidRDefault="00631963" w:rsidP="00631963">
            <w:pPr>
              <w:pStyle w:val="Explanation"/>
              <w:rPr>
                <w:rFonts w:cs="Arial"/>
                <w:color w:val="000000" w:themeColor="text1"/>
                <w:szCs w:val="16"/>
              </w:rPr>
            </w:pPr>
            <w:r w:rsidRPr="005C29F8">
              <w:rPr>
                <w:rFonts w:cs="Arial"/>
                <w:i w:val="0"/>
                <w:color w:val="000000" w:themeColor="text1"/>
                <w:szCs w:val="16"/>
                <w:shd w:val="clear" w:color="auto" w:fill="FFFFFF"/>
              </w:rPr>
              <w:t xml:space="preserve">C. Number of children with IEPs aged 6 through 21 inside separate schools, residential facilities, or homebound/hospital placements </w:t>
            </w:r>
            <w:r w:rsidR="00163FA7" w:rsidRPr="005C29F8">
              <w:rPr>
                <w:rFonts w:cs="Arial"/>
                <w:color w:val="000000" w:themeColor="text1"/>
                <w:szCs w:val="16"/>
              </w:rPr>
              <w:t>[</w:t>
            </w:r>
            <w:r w:rsidRPr="005C29F8">
              <w:rPr>
                <w:rFonts w:cs="Arial"/>
                <w:color w:val="000000" w:themeColor="text1"/>
                <w:szCs w:val="16"/>
              </w:rPr>
              <w:t>c1+c2+c3</w:t>
            </w:r>
            <w:r w:rsidR="00163FA7" w:rsidRPr="005C29F8">
              <w:rPr>
                <w:rFonts w:cs="Arial"/>
                <w:color w:val="000000" w:themeColor="text1"/>
                <w:szCs w:val="16"/>
              </w:rPr>
              <w:t>]</w:t>
            </w:r>
          </w:p>
        </w:tc>
        <w:tc>
          <w:tcPr>
            <w:tcW w:w="565" w:type="pct"/>
            <w:shd w:val="clear" w:color="auto" w:fill="auto"/>
            <w:vAlign w:val="center"/>
          </w:tcPr>
          <w:p w14:paraId="6F83B928" w14:textId="3C12179B" w:rsidR="00631963" w:rsidRPr="005C29F8" w:rsidRDefault="002B7490" w:rsidP="00A018D4">
            <w:pPr>
              <w:jc w:val="center"/>
              <w:rPr>
                <w:rFonts w:cs="Arial"/>
                <w:color w:val="000000" w:themeColor="text1"/>
                <w:szCs w:val="16"/>
              </w:rPr>
            </w:pPr>
            <w:r w:rsidRPr="005C29F8">
              <w:rPr>
                <w:rFonts w:cs="Arial"/>
                <w:color w:val="000000" w:themeColor="text1"/>
                <w:szCs w:val="16"/>
              </w:rPr>
              <w:t>10,346</w:t>
            </w:r>
          </w:p>
        </w:tc>
        <w:tc>
          <w:tcPr>
            <w:tcW w:w="566" w:type="pct"/>
            <w:shd w:val="clear" w:color="auto" w:fill="auto"/>
            <w:vAlign w:val="center"/>
          </w:tcPr>
          <w:p w14:paraId="2B632B6B" w14:textId="0ADBABA1" w:rsidR="00631963" w:rsidRPr="005C29F8" w:rsidRDefault="002B7490" w:rsidP="00A018D4">
            <w:pPr>
              <w:jc w:val="center"/>
              <w:rPr>
                <w:rFonts w:cs="Arial"/>
                <w:color w:val="000000" w:themeColor="text1"/>
                <w:szCs w:val="16"/>
              </w:rPr>
            </w:pPr>
            <w:r w:rsidRPr="005C29F8">
              <w:rPr>
                <w:rFonts w:cs="Arial"/>
                <w:color w:val="000000" w:themeColor="text1"/>
                <w:szCs w:val="16"/>
              </w:rPr>
              <w:t>160,728</w:t>
            </w:r>
          </w:p>
        </w:tc>
        <w:tc>
          <w:tcPr>
            <w:tcW w:w="566" w:type="pct"/>
            <w:shd w:val="clear" w:color="auto" w:fill="auto"/>
            <w:vAlign w:val="center"/>
          </w:tcPr>
          <w:p w14:paraId="16857354" w14:textId="17E80039" w:rsidR="00631963" w:rsidRPr="005C29F8" w:rsidRDefault="002B7490" w:rsidP="00A018D4">
            <w:pPr>
              <w:jc w:val="center"/>
              <w:rPr>
                <w:rFonts w:cs="Arial"/>
                <w:color w:val="000000" w:themeColor="text1"/>
                <w:szCs w:val="16"/>
              </w:rPr>
            </w:pPr>
            <w:r w:rsidRPr="005C29F8">
              <w:rPr>
                <w:rFonts w:cs="Arial"/>
                <w:color w:val="000000" w:themeColor="text1"/>
                <w:szCs w:val="16"/>
              </w:rPr>
              <w:t>6.57%</w:t>
            </w:r>
          </w:p>
        </w:tc>
        <w:tc>
          <w:tcPr>
            <w:tcW w:w="565" w:type="pct"/>
            <w:shd w:val="clear" w:color="auto" w:fill="auto"/>
            <w:vAlign w:val="center"/>
          </w:tcPr>
          <w:p w14:paraId="10D1478E" w14:textId="0F36466F" w:rsidR="00631963" w:rsidRPr="005C29F8" w:rsidRDefault="002B7490" w:rsidP="00A018D4">
            <w:pPr>
              <w:jc w:val="center"/>
              <w:rPr>
                <w:rFonts w:cs="Arial"/>
                <w:color w:val="000000" w:themeColor="text1"/>
                <w:szCs w:val="16"/>
              </w:rPr>
            </w:pPr>
            <w:r w:rsidRPr="005C29F8">
              <w:rPr>
                <w:rFonts w:cs="Arial"/>
                <w:color w:val="000000" w:themeColor="text1"/>
                <w:szCs w:val="16"/>
              </w:rPr>
              <w:t>5.40%</w:t>
            </w:r>
          </w:p>
        </w:tc>
        <w:tc>
          <w:tcPr>
            <w:tcW w:w="566" w:type="pct"/>
            <w:shd w:val="clear" w:color="auto" w:fill="auto"/>
            <w:vAlign w:val="center"/>
          </w:tcPr>
          <w:p w14:paraId="2E9E2BFC" w14:textId="26FEF90C" w:rsidR="00631963" w:rsidRPr="005C29F8" w:rsidRDefault="002B7490" w:rsidP="00A018D4">
            <w:pPr>
              <w:jc w:val="center"/>
              <w:rPr>
                <w:rFonts w:cs="Arial"/>
                <w:color w:val="000000" w:themeColor="text1"/>
                <w:szCs w:val="16"/>
              </w:rPr>
            </w:pPr>
            <w:r w:rsidRPr="005C29F8">
              <w:rPr>
                <w:rFonts w:cs="Arial"/>
                <w:color w:val="000000" w:themeColor="text1"/>
                <w:szCs w:val="16"/>
              </w:rPr>
              <w:t>6.44%</w:t>
            </w:r>
          </w:p>
        </w:tc>
        <w:tc>
          <w:tcPr>
            <w:tcW w:w="566" w:type="pct"/>
            <w:shd w:val="clear" w:color="auto" w:fill="auto"/>
            <w:vAlign w:val="center"/>
          </w:tcPr>
          <w:p w14:paraId="5321D014" w14:textId="1EA51894" w:rsidR="00631963"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566" w:type="pct"/>
            <w:shd w:val="clear" w:color="auto" w:fill="auto"/>
            <w:vAlign w:val="center"/>
          </w:tcPr>
          <w:p w14:paraId="2BFA05A8" w14:textId="3EACA9BA" w:rsidR="00631963"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bl>
    <w:p w14:paraId="2426FC6F" w14:textId="7DE53785" w:rsidR="00D00A45" w:rsidRPr="005C29F8" w:rsidRDefault="00163FA7" w:rsidP="001011BB">
      <w:pPr>
        <w:tabs>
          <w:tab w:val="left" w:pos="2088"/>
        </w:tabs>
        <w:rPr>
          <w:rFonts w:cs="Arial"/>
          <w:b/>
          <w:color w:val="000000" w:themeColor="text1"/>
          <w:szCs w:val="16"/>
        </w:rPr>
      </w:pPr>
      <w:r w:rsidRPr="005C29F8">
        <w:rPr>
          <w:rFonts w:cs="Arial"/>
          <w:b/>
          <w:color w:val="000000" w:themeColor="text1"/>
          <w:szCs w:val="16"/>
        </w:rPr>
        <w:t>Use a different calculation methodology (yes/no)</w:t>
      </w:r>
    </w:p>
    <w:p w14:paraId="4EAB8A34" w14:textId="5701FFD5" w:rsidR="00163FA7" w:rsidRPr="005C29F8" w:rsidRDefault="00163FA7" w:rsidP="001011BB">
      <w:pPr>
        <w:tabs>
          <w:tab w:val="left" w:pos="2088"/>
        </w:tabs>
        <w:rPr>
          <w:rFonts w:cs="Arial"/>
          <w:color w:val="000000" w:themeColor="text1"/>
          <w:szCs w:val="16"/>
        </w:rPr>
      </w:pPr>
      <w:r w:rsidRPr="005C29F8">
        <w:rPr>
          <w:rFonts w:cs="Arial"/>
          <w:color w:val="000000" w:themeColor="text1"/>
          <w:szCs w:val="16"/>
        </w:rPr>
        <w:t>NO</w:t>
      </w:r>
    </w:p>
    <w:p w14:paraId="073B208C" w14:textId="4B79EDF3" w:rsidR="006C575D" w:rsidRPr="005C29F8" w:rsidRDefault="006C575D" w:rsidP="004369B2">
      <w:pPr>
        <w:rPr>
          <w:b/>
          <w:color w:val="000000" w:themeColor="text1"/>
        </w:rPr>
      </w:pPr>
      <w:r w:rsidRPr="005C29F8">
        <w:rPr>
          <w:b/>
          <w:color w:val="000000" w:themeColor="text1"/>
        </w:rPr>
        <w:t>Provide additional information about this indicator (optional)</w:t>
      </w:r>
    </w:p>
    <w:p w14:paraId="2F810D98" w14:textId="08328771" w:rsidR="003C308E" w:rsidRPr="005C29F8" w:rsidRDefault="002B7490" w:rsidP="007D435F">
      <w:pPr>
        <w:rPr>
          <w:rFonts w:cs="Arial"/>
          <w:color w:val="000000" w:themeColor="text1"/>
          <w:szCs w:val="16"/>
        </w:rPr>
      </w:pPr>
      <w:r w:rsidRPr="005C29F8">
        <w:rPr>
          <w:rFonts w:cs="Arial"/>
          <w:color w:val="000000" w:themeColor="text1"/>
          <w:szCs w:val="16"/>
        </w:rPr>
        <w:t xml:space="preserve">MA DESE continues to work with LEAs to analyze evaluation and placement data, review local policies, procedures, and practices, and assess the appropriateness of placement decisions for the student population. MA DESE and partner educational collaboratives are identifying successful practices and augmenting school and district systems to better support inclusive activity. A cadre of trainers are available statewide from sixteen educational collaboratives to support all LEAS in the content area of inclusive education environments. In addition, MA DESE offers resources and coursework in inclusive practices to Massachusetts educators, https://www.doe.mass.edu/edeval/guidebook/. This coursework is one option for Massachusetts </w:t>
      </w:r>
      <w:r w:rsidRPr="005C29F8">
        <w:rPr>
          <w:rFonts w:cs="Arial"/>
          <w:color w:val="000000" w:themeColor="text1"/>
          <w:szCs w:val="16"/>
        </w:rPr>
        <w:lastRenderedPageBreak/>
        <w:t xml:space="preserve">educators to meet the 15 PDPs license renewal requirement related to training in strategies for effective schooling for students with disabilities and instruction for students with diverse learning styles at no cost. </w:t>
      </w:r>
    </w:p>
    <w:p w14:paraId="0B7E5CD7" w14:textId="77777777" w:rsidR="004A4803" w:rsidRPr="005C29F8" w:rsidRDefault="004A4803" w:rsidP="004369B2">
      <w:pPr>
        <w:rPr>
          <w:color w:val="000000" w:themeColor="text1"/>
        </w:rPr>
      </w:pPr>
    </w:p>
    <w:p w14:paraId="68DA7415" w14:textId="0FE711BA" w:rsidR="000A2C83" w:rsidRPr="0033429D" w:rsidRDefault="007B5383" w:rsidP="008645AD">
      <w:pPr>
        <w:pStyle w:val="Heading2"/>
      </w:pPr>
      <w:r w:rsidRPr="0033429D">
        <w:t>5</w:t>
      </w:r>
      <w:r w:rsidR="002203FA" w:rsidRPr="0033429D">
        <w:t xml:space="preserve"> </w:t>
      </w:r>
      <w:r w:rsidRPr="0033429D">
        <w:t xml:space="preserve">- </w:t>
      </w:r>
      <w:r w:rsidR="000A2C83" w:rsidRPr="0033429D">
        <w:t>Prior FFY Required Actions</w:t>
      </w:r>
    </w:p>
    <w:p w14:paraId="2C73DADD" w14:textId="6039179B" w:rsidR="00163FA7" w:rsidRPr="005C29F8" w:rsidRDefault="002B7490" w:rsidP="000A2C83">
      <w:pPr>
        <w:rPr>
          <w:rFonts w:cs="Arial"/>
          <w:color w:val="000000" w:themeColor="text1"/>
          <w:szCs w:val="16"/>
        </w:rPr>
      </w:pPr>
      <w:r w:rsidRPr="005C29F8">
        <w:rPr>
          <w:rFonts w:cs="Arial"/>
          <w:color w:val="000000" w:themeColor="text1"/>
          <w:szCs w:val="16"/>
        </w:rPr>
        <w:t>None</w:t>
      </w:r>
    </w:p>
    <w:p w14:paraId="30448C87" w14:textId="2E9FCBE3" w:rsidR="006C575D" w:rsidRPr="0033429D" w:rsidRDefault="007B5383" w:rsidP="008645AD">
      <w:pPr>
        <w:pStyle w:val="Heading2"/>
      </w:pPr>
      <w:r w:rsidRPr="0033429D">
        <w:t>5 - OSEP Response</w:t>
      </w:r>
    </w:p>
    <w:p w14:paraId="63E8B575" w14:textId="0FE467D2" w:rsidR="003C308E" w:rsidRPr="005C29F8" w:rsidRDefault="003C308E" w:rsidP="001F692C">
      <w:pPr>
        <w:rPr>
          <w:rFonts w:cs="Arial"/>
          <w:color w:val="000000" w:themeColor="text1"/>
          <w:szCs w:val="16"/>
        </w:rPr>
      </w:pPr>
    </w:p>
    <w:p w14:paraId="66CCD9C9" w14:textId="435D8999" w:rsidR="006C575D" w:rsidRPr="0033429D" w:rsidRDefault="007B5383" w:rsidP="008645AD">
      <w:pPr>
        <w:pStyle w:val="Heading2"/>
      </w:pPr>
      <w:r w:rsidRPr="0033429D">
        <w:t>5 - Required Actions</w:t>
      </w:r>
    </w:p>
    <w:p w14:paraId="140EB887" w14:textId="21164854" w:rsidR="003C308E" w:rsidRPr="005C29F8" w:rsidRDefault="003C308E" w:rsidP="001F692C">
      <w:pPr>
        <w:rPr>
          <w:rFonts w:cs="Arial"/>
          <w:color w:val="000000" w:themeColor="text1"/>
          <w:szCs w:val="16"/>
        </w:rPr>
      </w:pPr>
    </w:p>
    <w:p w14:paraId="0AFF9CFF" w14:textId="77777777" w:rsidR="00600E15" w:rsidRPr="005C29F8" w:rsidRDefault="00600E15">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35527AAE" w14:textId="2D7C47BF" w:rsidR="00D21EAA" w:rsidRPr="005C29F8" w:rsidRDefault="00D21EAA" w:rsidP="000444E2">
      <w:pPr>
        <w:pStyle w:val="Heading1"/>
        <w:rPr>
          <w:color w:val="000000" w:themeColor="text1"/>
          <w:sz w:val="22"/>
        </w:rPr>
      </w:pPr>
      <w:r w:rsidRPr="005C29F8">
        <w:rPr>
          <w:color w:val="000000" w:themeColor="text1"/>
          <w:sz w:val="22"/>
        </w:rPr>
        <w:lastRenderedPageBreak/>
        <w:t>Indicator 6: Preschool Environments</w:t>
      </w:r>
    </w:p>
    <w:p w14:paraId="0EEB38B7" w14:textId="59C9FCA0" w:rsidR="00897094" w:rsidRPr="005C29F8" w:rsidRDefault="00897094" w:rsidP="00A018D4">
      <w:pPr>
        <w:rPr>
          <w:color w:val="000000" w:themeColor="text1"/>
          <w:szCs w:val="20"/>
        </w:rPr>
      </w:pPr>
      <w:bookmarkStart w:id="32" w:name="_Toc392159299"/>
      <w:r w:rsidRPr="005C29F8">
        <w:rPr>
          <w:b/>
          <w:color w:val="000000" w:themeColor="text1"/>
          <w:sz w:val="20"/>
          <w:szCs w:val="20"/>
        </w:rPr>
        <w:t>Instructions and Measurement</w:t>
      </w:r>
    </w:p>
    <w:p w14:paraId="38394246" w14:textId="27FF79AA" w:rsidR="00CC634E" w:rsidRPr="005C29F8" w:rsidRDefault="00CC634E" w:rsidP="004369B2">
      <w:pPr>
        <w:rPr>
          <w:color w:val="000000" w:themeColor="text1"/>
        </w:rPr>
      </w:pPr>
      <w:r w:rsidRPr="005C29F8">
        <w:rPr>
          <w:b/>
          <w:color w:val="000000" w:themeColor="text1"/>
        </w:rPr>
        <w:t xml:space="preserve">Monitoring Priority: </w:t>
      </w:r>
      <w:r w:rsidRPr="005C29F8">
        <w:rPr>
          <w:color w:val="000000" w:themeColor="text1"/>
        </w:rPr>
        <w:t>FAPE in the LRE</w:t>
      </w:r>
    </w:p>
    <w:p w14:paraId="07B041D6" w14:textId="66B7E832" w:rsidR="00CC634E" w:rsidRPr="005C29F8" w:rsidRDefault="00CC634E" w:rsidP="0011074D">
      <w:pPr>
        <w:rPr>
          <w:rFonts w:cs="Arial"/>
          <w:color w:val="000000" w:themeColor="text1"/>
          <w:szCs w:val="16"/>
        </w:rPr>
      </w:pPr>
      <w:r w:rsidRPr="005C29F8">
        <w:rPr>
          <w:rFonts w:cs="Arial"/>
          <w:b/>
          <w:color w:val="000000" w:themeColor="text1"/>
          <w:szCs w:val="16"/>
        </w:rPr>
        <w:t>Results indicator:</w:t>
      </w:r>
      <w:r w:rsidR="00131842" w:rsidRPr="005C29F8">
        <w:rPr>
          <w:rFonts w:cs="Arial"/>
          <w:color w:val="000000" w:themeColor="text1"/>
          <w:szCs w:val="16"/>
        </w:rPr>
        <w:t xml:space="preserve"> </w:t>
      </w:r>
      <w:r w:rsidRPr="005C29F8">
        <w:rPr>
          <w:rFonts w:cs="Arial"/>
          <w:color w:val="000000" w:themeColor="text1"/>
          <w:szCs w:val="16"/>
        </w:rPr>
        <w:t>Preschool environments:</w:t>
      </w:r>
      <w:r w:rsidR="00131842" w:rsidRPr="005C29F8">
        <w:rPr>
          <w:rFonts w:cs="Arial"/>
          <w:color w:val="000000" w:themeColor="text1"/>
          <w:szCs w:val="16"/>
        </w:rPr>
        <w:t xml:space="preserve"> </w:t>
      </w:r>
      <w:r w:rsidRPr="005C29F8">
        <w:rPr>
          <w:rFonts w:cs="Arial"/>
          <w:color w:val="000000" w:themeColor="text1"/>
          <w:szCs w:val="16"/>
        </w:rPr>
        <w:t>Percent of children aged 3 through 5 with IEPs attending a:</w:t>
      </w:r>
    </w:p>
    <w:p w14:paraId="0FDA7062" w14:textId="4CA83104" w:rsidR="00CC634E" w:rsidRPr="005C29F8" w:rsidRDefault="005F3399" w:rsidP="006A01BD">
      <w:pPr>
        <w:ind w:left="720"/>
        <w:rPr>
          <w:rFonts w:cs="Arial"/>
          <w:color w:val="000000" w:themeColor="text1"/>
          <w:szCs w:val="16"/>
        </w:rPr>
      </w:pPr>
      <w:r w:rsidRPr="005C29F8">
        <w:rPr>
          <w:rFonts w:cs="Arial"/>
          <w:color w:val="000000" w:themeColor="text1"/>
          <w:szCs w:val="16"/>
        </w:rPr>
        <w:t xml:space="preserve">A. Regular early childhood program and receiving </w:t>
      </w:r>
      <w:r w:rsidR="00CC634E" w:rsidRPr="005C29F8">
        <w:rPr>
          <w:rFonts w:cs="Arial"/>
          <w:color w:val="000000" w:themeColor="text1"/>
          <w:szCs w:val="16"/>
        </w:rPr>
        <w:t>the majority of special education and related services in the regular early childhood program;</w:t>
      </w:r>
      <w:r w:rsidRPr="005C29F8">
        <w:rPr>
          <w:rFonts w:cs="Arial"/>
          <w:color w:val="000000" w:themeColor="text1"/>
          <w:szCs w:val="16"/>
        </w:rPr>
        <w:t xml:space="preserve"> </w:t>
      </w:r>
      <w:r w:rsidR="00CC634E" w:rsidRPr="005C29F8">
        <w:rPr>
          <w:rFonts w:cs="Arial"/>
          <w:color w:val="000000" w:themeColor="text1"/>
          <w:szCs w:val="16"/>
        </w:rPr>
        <w:t>and</w:t>
      </w:r>
    </w:p>
    <w:p w14:paraId="4A161793" w14:textId="02FB2154" w:rsidR="00CC634E" w:rsidRPr="005C29F8" w:rsidRDefault="005F3399" w:rsidP="006A01BD">
      <w:pPr>
        <w:ind w:firstLine="720"/>
        <w:rPr>
          <w:rFonts w:cs="Arial"/>
          <w:color w:val="000000" w:themeColor="text1"/>
          <w:szCs w:val="16"/>
        </w:rPr>
      </w:pPr>
      <w:r w:rsidRPr="005C29F8">
        <w:rPr>
          <w:rFonts w:cs="Arial"/>
          <w:color w:val="000000" w:themeColor="text1"/>
          <w:szCs w:val="16"/>
        </w:rPr>
        <w:t>B. Separate special education class, separate school or residential facility.</w:t>
      </w:r>
    </w:p>
    <w:p w14:paraId="1AC955CF" w14:textId="38EDB6BF" w:rsidR="0011074D" w:rsidRPr="005C29F8" w:rsidRDefault="0011074D" w:rsidP="0011074D">
      <w:pPr>
        <w:rPr>
          <w:rFonts w:cs="Arial"/>
          <w:color w:val="000000" w:themeColor="text1"/>
          <w:szCs w:val="16"/>
        </w:rPr>
      </w:pPr>
      <w:r w:rsidRPr="005C29F8">
        <w:rPr>
          <w:rFonts w:cs="Arial"/>
          <w:color w:val="000000" w:themeColor="text1"/>
          <w:szCs w:val="16"/>
        </w:rPr>
        <w:t>(20 U.S.C. 1416(a)(3)(A))</w:t>
      </w:r>
    </w:p>
    <w:p w14:paraId="47FA9AD7" w14:textId="77777777" w:rsidR="005322B8" w:rsidRPr="005C29F8" w:rsidRDefault="005322B8" w:rsidP="004369B2">
      <w:pPr>
        <w:rPr>
          <w:color w:val="000000" w:themeColor="text1"/>
        </w:rPr>
      </w:pPr>
      <w:r w:rsidRPr="005C29F8">
        <w:rPr>
          <w:b/>
          <w:color w:val="000000" w:themeColor="text1"/>
        </w:rPr>
        <w:t>Data Source</w:t>
      </w:r>
    </w:p>
    <w:p w14:paraId="7412FE19" w14:textId="736BCFC9" w:rsidR="005322B8" w:rsidRPr="005C29F8" w:rsidRDefault="005322B8" w:rsidP="00BB7BC9">
      <w:pPr>
        <w:rPr>
          <w:rFonts w:cs="Arial"/>
          <w:color w:val="000000" w:themeColor="text1"/>
          <w:szCs w:val="16"/>
        </w:rPr>
      </w:pPr>
      <w:r w:rsidRPr="005C29F8">
        <w:rPr>
          <w:rFonts w:cs="Arial"/>
          <w:color w:val="000000" w:themeColor="text1"/>
          <w:szCs w:val="16"/>
        </w:rPr>
        <w:t>S</w:t>
      </w:r>
      <w:r w:rsidRPr="005C29F8">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5C29F8">
        <w:rPr>
          <w:rFonts w:cs="Arial"/>
          <w:color w:val="000000" w:themeColor="text1"/>
          <w:szCs w:val="16"/>
          <w:shd w:val="clear" w:color="auto" w:fill="FFFFFF"/>
        </w:rPr>
        <w:t>FS</w:t>
      </w:r>
      <w:r w:rsidRPr="005C29F8">
        <w:rPr>
          <w:rFonts w:cs="Arial"/>
          <w:color w:val="000000" w:themeColor="text1"/>
          <w:szCs w:val="16"/>
          <w:shd w:val="clear" w:color="auto" w:fill="FFFFFF"/>
        </w:rPr>
        <w:t>089.</w:t>
      </w:r>
    </w:p>
    <w:p w14:paraId="17AAF6AD" w14:textId="77777777" w:rsidR="005322B8" w:rsidRPr="005C29F8" w:rsidRDefault="005322B8" w:rsidP="004369B2">
      <w:pPr>
        <w:rPr>
          <w:color w:val="000000" w:themeColor="text1"/>
        </w:rPr>
      </w:pPr>
      <w:r w:rsidRPr="005C29F8">
        <w:rPr>
          <w:b/>
          <w:color w:val="000000" w:themeColor="text1"/>
        </w:rPr>
        <w:t>Measurement</w:t>
      </w:r>
    </w:p>
    <w:p w14:paraId="14C60C6A" w14:textId="40FB0254" w:rsidR="005322B8" w:rsidRPr="005C29F8" w:rsidRDefault="005322B8" w:rsidP="00286BDF">
      <w:pPr>
        <w:rPr>
          <w:rFonts w:cs="Arial"/>
          <w:color w:val="000000" w:themeColor="text1"/>
          <w:szCs w:val="16"/>
        </w:rPr>
      </w:pPr>
      <w:r w:rsidRPr="005C29F8">
        <w:rPr>
          <w:rFonts w:cs="Arial"/>
          <w:color w:val="000000" w:themeColor="text1"/>
          <w:szCs w:val="16"/>
        </w:rPr>
        <w:t>Percent</w:t>
      </w:r>
      <w:r w:rsidRPr="005C29F8">
        <w:rPr>
          <w:rFonts w:cs="Arial"/>
          <w:color w:val="000000" w:themeColor="text1"/>
          <w:szCs w:val="16"/>
          <w:shd w:val="clear" w:color="auto" w:fill="FFFFFF"/>
        </w:rPr>
        <w:t xml:space="preserve"> = </w:t>
      </w:r>
      <w:r w:rsidR="00B2497F" w:rsidRPr="005C29F8">
        <w:rPr>
          <w:rFonts w:cs="Arial"/>
          <w:color w:val="000000" w:themeColor="text1"/>
          <w:szCs w:val="16"/>
          <w:shd w:val="clear" w:color="auto" w:fill="FFFFFF"/>
        </w:rPr>
        <w:t xml:space="preserve">[(# </w:t>
      </w:r>
      <w:r w:rsidRPr="005C29F8">
        <w:rPr>
          <w:rFonts w:cs="Arial"/>
          <w:color w:val="000000" w:themeColor="text1"/>
          <w:szCs w:val="16"/>
          <w:shd w:val="clear" w:color="auto" w:fill="FFFFFF"/>
        </w:rPr>
        <w:t>of children aged 3 through 5 with IEPs attending a regular early childhood program and receiving the majority of special education and related services in the regular early childhood program) divided by the (total # of children aged 3 through 5 with IEPs)</w:t>
      </w:r>
      <w:r w:rsidR="00B2497F" w:rsidRPr="005C29F8">
        <w:rPr>
          <w:rFonts w:cs="Arial"/>
          <w:color w:val="000000" w:themeColor="text1"/>
          <w:szCs w:val="16"/>
          <w:shd w:val="clear" w:color="auto" w:fill="FFFFFF"/>
        </w:rPr>
        <w:t>]</w:t>
      </w:r>
      <w:r w:rsidRPr="005C29F8">
        <w:rPr>
          <w:rFonts w:cs="Arial"/>
          <w:color w:val="000000" w:themeColor="text1"/>
          <w:szCs w:val="16"/>
          <w:shd w:val="clear" w:color="auto" w:fill="FFFFFF"/>
        </w:rPr>
        <w:t xml:space="preserve"> times 100.</w:t>
      </w:r>
    </w:p>
    <w:p w14:paraId="0CD6EF84" w14:textId="0C6D0368" w:rsidR="005322B8" w:rsidRPr="005C29F8" w:rsidRDefault="00DB1150" w:rsidP="00286BDF">
      <w:pPr>
        <w:rPr>
          <w:rFonts w:cs="Arial"/>
          <w:color w:val="000000" w:themeColor="text1"/>
          <w:szCs w:val="16"/>
        </w:rPr>
      </w:pPr>
      <w:r w:rsidRPr="005C29F8">
        <w:rPr>
          <w:rFonts w:cs="Arial"/>
          <w:color w:val="000000" w:themeColor="text1"/>
          <w:szCs w:val="16"/>
        </w:rPr>
        <w:t xml:space="preserve">Percent </w:t>
      </w:r>
      <w:r w:rsidRPr="005C29F8">
        <w:rPr>
          <w:rFonts w:cs="Arial"/>
          <w:color w:val="000000" w:themeColor="text1"/>
          <w:szCs w:val="16"/>
          <w:shd w:val="clear" w:color="auto" w:fill="FFFFFF"/>
        </w:rPr>
        <w:t>=</w:t>
      </w:r>
      <w:r w:rsidR="005322B8" w:rsidRPr="005C29F8">
        <w:rPr>
          <w:rFonts w:cs="Arial"/>
          <w:color w:val="000000" w:themeColor="text1"/>
          <w:szCs w:val="16"/>
          <w:shd w:val="clear" w:color="auto" w:fill="FFFFFF"/>
        </w:rPr>
        <w:t xml:space="preserve"> </w:t>
      </w:r>
      <w:r w:rsidR="00B2497F" w:rsidRPr="005C29F8">
        <w:rPr>
          <w:rFonts w:cs="Arial"/>
          <w:color w:val="000000" w:themeColor="text1"/>
          <w:szCs w:val="16"/>
          <w:shd w:val="clear" w:color="auto" w:fill="FFFFFF"/>
        </w:rPr>
        <w:t>[</w:t>
      </w:r>
      <w:r w:rsidR="005322B8" w:rsidRPr="005C29F8">
        <w:rPr>
          <w:rFonts w:cs="Arial"/>
          <w:color w:val="000000" w:themeColor="text1"/>
          <w:szCs w:val="16"/>
          <w:shd w:val="clear" w:color="auto" w:fill="FFFFFF"/>
        </w:rPr>
        <w:t>(# of children aged 3 through 5 with IEPs attending a separate special education class, separate school or residential facility) divided by the (total # of children aged 3 through 5 with IEPs)</w:t>
      </w:r>
      <w:r w:rsidR="00B2497F" w:rsidRPr="005C29F8">
        <w:rPr>
          <w:rFonts w:cs="Arial"/>
          <w:color w:val="000000" w:themeColor="text1"/>
          <w:szCs w:val="16"/>
          <w:shd w:val="clear" w:color="auto" w:fill="FFFFFF"/>
        </w:rPr>
        <w:t>]</w:t>
      </w:r>
      <w:r w:rsidR="005322B8" w:rsidRPr="005C29F8">
        <w:rPr>
          <w:rFonts w:cs="Arial"/>
          <w:color w:val="000000" w:themeColor="text1"/>
          <w:szCs w:val="16"/>
          <w:shd w:val="clear" w:color="auto" w:fill="FFFFFF"/>
        </w:rPr>
        <w:t xml:space="preserve"> times 100.</w:t>
      </w:r>
    </w:p>
    <w:p w14:paraId="2CAF467D" w14:textId="77777777" w:rsidR="005322B8" w:rsidRPr="005C29F8" w:rsidRDefault="005322B8" w:rsidP="004369B2">
      <w:pPr>
        <w:rPr>
          <w:color w:val="000000" w:themeColor="text1"/>
        </w:rPr>
      </w:pPr>
      <w:r w:rsidRPr="005C29F8">
        <w:rPr>
          <w:b/>
          <w:color w:val="000000" w:themeColor="text1"/>
        </w:rPr>
        <w:t>Instructions</w:t>
      </w:r>
    </w:p>
    <w:p w14:paraId="5B2FF157" w14:textId="77777777" w:rsidR="005322B8" w:rsidRPr="005C29F8" w:rsidRDefault="005322B8" w:rsidP="00BB7BC9">
      <w:pPr>
        <w:rPr>
          <w:rFonts w:cs="Arial"/>
          <w:color w:val="000000" w:themeColor="text1"/>
          <w:szCs w:val="16"/>
        </w:rPr>
      </w:pPr>
      <w:r w:rsidRPr="005C29F8">
        <w:rPr>
          <w:rFonts w:cs="Arial"/>
          <w:color w:val="000000" w:themeColor="text1"/>
          <w:szCs w:val="16"/>
        </w:rPr>
        <w:t>Sampling from the State’s 618 data is not allowed.</w:t>
      </w:r>
    </w:p>
    <w:p w14:paraId="594A7ED4" w14:textId="77777777" w:rsidR="005322B8" w:rsidRPr="005C29F8" w:rsidRDefault="005322B8" w:rsidP="00BB7BC9">
      <w:pPr>
        <w:rPr>
          <w:rFonts w:cs="Arial"/>
          <w:color w:val="000000" w:themeColor="text1"/>
          <w:szCs w:val="16"/>
        </w:rPr>
      </w:pPr>
      <w:r w:rsidRPr="005C29F8">
        <w:rPr>
          <w:rFonts w:cs="Arial"/>
          <w:color w:val="000000" w:themeColor="text1"/>
          <w:szCs w:val="16"/>
        </w:rPr>
        <w:t>Describe the results of the calculations and compare the results to the target.</w:t>
      </w:r>
    </w:p>
    <w:p w14:paraId="19F07E42" w14:textId="77777777" w:rsidR="005322B8" w:rsidRPr="005C29F8" w:rsidRDefault="005322B8" w:rsidP="00BB7BC9">
      <w:pPr>
        <w:rPr>
          <w:rFonts w:cs="Arial"/>
          <w:color w:val="000000" w:themeColor="text1"/>
          <w:szCs w:val="16"/>
        </w:rPr>
      </w:pPr>
      <w:r w:rsidRPr="005C29F8">
        <w:rPr>
          <w:rFonts w:cs="Arial"/>
          <w:color w:val="000000" w:themeColor="text1"/>
          <w:szCs w:val="16"/>
        </w:rPr>
        <w:t>If the data reported in this indicator are not the same as the State’s data reported under section 618 of the IDEA, explain.</w:t>
      </w:r>
    </w:p>
    <w:bookmarkEnd w:id="32"/>
    <w:p w14:paraId="1489816D" w14:textId="2F10D57A" w:rsidR="008D3484" w:rsidRPr="0033429D" w:rsidRDefault="00C96236" w:rsidP="008645AD">
      <w:pPr>
        <w:pStyle w:val="Heading2"/>
      </w:pPr>
      <w:r w:rsidRPr="0033429D">
        <w:t>6</w:t>
      </w:r>
      <w:r w:rsidR="00C91B94" w:rsidRPr="0033429D">
        <w:t xml:space="preserve"> </w:t>
      </w:r>
      <w:r w:rsidRPr="0033429D">
        <w:t xml:space="preserve">- </w:t>
      </w:r>
      <w:r w:rsidR="008D3484" w:rsidRPr="0033429D">
        <w:t>Indicator Data</w:t>
      </w:r>
    </w:p>
    <w:p w14:paraId="625E607A" w14:textId="77777777" w:rsidR="0091098C" w:rsidRPr="005C29F8" w:rsidRDefault="0091098C" w:rsidP="004369B2">
      <w:pPr>
        <w:rPr>
          <w:color w:val="000000" w:themeColor="text1"/>
        </w:rPr>
      </w:pPr>
      <w:r w:rsidRPr="005C29F8">
        <w:rPr>
          <w:b/>
          <w:color w:val="000000" w:themeColor="text1"/>
        </w:rPr>
        <w:t>Not Applicable</w:t>
      </w:r>
    </w:p>
    <w:p w14:paraId="5333465D" w14:textId="3F1EC485" w:rsidR="004B75EC" w:rsidRPr="005C29F8" w:rsidRDefault="003229FA">
      <w:pPr>
        <w:rPr>
          <w:b/>
          <w:color w:val="000000" w:themeColor="text1"/>
        </w:rPr>
      </w:pPr>
      <w:r w:rsidRPr="005C29F8">
        <w:rPr>
          <w:b/>
          <w:color w:val="000000" w:themeColor="text1"/>
        </w:rPr>
        <w:t xml:space="preserve">Select yes if this indicator is not applicable. </w:t>
      </w:r>
    </w:p>
    <w:p w14:paraId="2FEE6491" w14:textId="58E763AD" w:rsidR="00043AC9" w:rsidRDefault="00043AC9" w:rsidP="004369B2">
      <w:pPr>
        <w:rPr>
          <w:rFonts w:cs="Arial"/>
          <w:color w:val="000000" w:themeColor="text1"/>
          <w:szCs w:val="16"/>
        </w:rPr>
      </w:pPr>
      <w:r w:rsidRPr="005C29F8">
        <w:rPr>
          <w:rFonts w:cs="Arial"/>
          <w:color w:val="000000" w:themeColor="text1"/>
          <w:szCs w:val="16"/>
        </w:rPr>
        <w:t>NO</w:t>
      </w:r>
    </w:p>
    <w:p w14:paraId="6D4C5D02" w14:textId="77777777" w:rsidR="002441FF" w:rsidRPr="005C29F8" w:rsidRDefault="002441FF" w:rsidP="002441FF">
      <w:pPr>
        <w:rPr>
          <w:color w:val="000000" w:themeColor="text1"/>
        </w:rPr>
      </w:pPr>
    </w:p>
    <w:p w14:paraId="5839682A" w14:textId="3F09131C" w:rsidR="00CC634E" w:rsidRPr="005C29F8" w:rsidRDefault="00CC634E" w:rsidP="004369B2">
      <w:pPr>
        <w:rPr>
          <w:color w:val="000000" w:themeColor="text1"/>
        </w:rPr>
      </w:pPr>
      <w:r w:rsidRPr="005C29F8">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036"/>
        <w:gridCol w:w="1618"/>
        <w:gridCol w:w="1619"/>
        <w:gridCol w:w="1618"/>
        <w:gridCol w:w="1619"/>
        <w:gridCol w:w="1619"/>
      </w:tblGrid>
      <w:tr w:rsidR="005C29F8" w:rsidRPr="005C29F8" w14:paraId="10B8D4E0" w14:textId="65C4ABC5" w:rsidTr="0033429D">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CF6742" w:rsidRPr="005C29F8" w:rsidRDefault="00856344" w:rsidP="0011074D">
            <w:pPr>
              <w:spacing w:line="276" w:lineRule="auto"/>
              <w:jc w:val="center"/>
              <w:rPr>
                <w:rFonts w:cs="Arial"/>
                <w:b/>
                <w:color w:val="000000" w:themeColor="text1"/>
                <w:szCs w:val="16"/>
              </w:rPr>
            </w:pPr>
            <w:r>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9BF0E57" w14:textId="3C6A1EAA" w:rsidR="00CF6742" w:rsidRPr="005C29F8" w:rsidRDefault="00CF6742" w:rsidP="0011074D">
            <w:pPr>
              <w:spacing w:line="276" w:lineRule="auto"/>
              <w:jc w:val="center"/>
              <w:rPr>
                <w:rFonts w:cs="Arial"/>
                <w:b/>
                <w:color w:val="000000" w:themeColor="text1"/>
                <w:szCs w:val="16"/>
              </w:rPr>
            </w:pPr>
            <w:r w:rsidRPr="005C29F8">
              <w:rPr>
                <w:rFonts w:cs="Arial"/>
                <w:b/>
                <w:color w:val="000000" w:themeColor="text1"/>
                <w:szCs w:val="16"/>
              </w:rPr>
              <w:t xml:space="preserve">Baseline </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CF6742" w:rsidRPr="005C29F8" w:rsidRDefault="00CF6742" w:rsidP="0011074D">
            <w:pPr>
              <w:spacing w:line="276" w:lineRule="auto"/>
              <w:jc w:val="center"/>
              <w:rPr>
                <w:rFonts w:cs="Arial"/>
                <w:b/>
                <w:color w:val="000000" w:themeColor="text1"/>
                <w:szCs w:val="16"/>
              </w:rPr>
            </w:pPr>
            <w:r w:rsidRPr="005C29F8">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CF6742" w:rsidRPr="005C29F8" w:rsidRDefault="002B7490" w:rsidP="0011074D">
            <w:pPr>
              <w:spacing w:line="276" w:lineRule="auto"/>
              <w:jc w:val="center"/>
              <w:rPr>
                <w:rFonts w:cs="Arial"/>
                <w:b/>
                <w:color w:val="000000" w:themeColor="text1"/>
                <w:szCs w:val="16"/>
              </w:rPr>
            </w:pPr>
            <w:r w:rsidRPr="005C29F8">
              <w:rPr>
                <w:rFonts w:cs="Arial"/>
                <w:b/>
                <w:color w:val="000000" w:themeColor="text1"/>
                <w:szCs w:val="16"/>
              </w:rPr>
              <w:t>2014</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CF6742" w:rsidRPr="005C29F8" w:rsidRDefault="002B7490" w:rsidP="0011074D">
            <w:pPr>
              <w:spacing w:line="276" w:lineRule="auto"/>
              <w:jc w:val="center"/>
              <w:rPr>
                <w:rFonts w:cs="Arial"/>
                <w:b/>
                <w:color w:val="000000" w:themeColor="text1"/>
                <w:szCs w:val="16"/>
              </w:rPr>
            </w:pPr>
            <w:r w:rsidRPr="005C29F8">
              <w:rPr>
                <w:rFonts w:cs="Arial"/>
                <w:b/>
                <w:color w:val="000000" w:themeColor="text1"/>
                <w:szCs w:val="16"/>
              </w:rPr>
              <w:t>2015</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CF6742" w:rsidRPr="005C29F8" w:rsidRDefault="002B7490" w:rsidP="0011074D">
            <w:pPr>
              <w:spacing w:line="276" w:lineRule="auto"/>
              <w:jc w:val="center"/>
              <w:rPr>
                <w:rFonts w:cs="Arial"/>
                <w:b/>
                <w:color w:val="000000" w:themeColor="text1"/>
                <w:szCs w:val="16"/>
              </w:rPr>
            </w:pPr>
            <w:r w:rsidRPr="005C29F8">
              <w:rPr>
                <w:rFonts w:cs="Arial"/>
                <w:b/>
                <w:color w:val="000000" w:themeColor="text1"/>
                <w:szCs w:val="16"/>
              </w:rPr>
              <w:t>2016</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CF6742" w:rsidRPr="005C29F8" w:rsidRDefault="002B7490" w:rsidP="0011074D">
            <w:pPr>
              <w:spacing w:line="276" w:lineRule="auto"/>
              <w:jc w:val="center"/>
              <w:rPr>
                <w:rFonts w:cs="Arial"/>
                <w:b/>
                <w:color w:val="000000" w:themeColor="text1"/>
                <w:szCs w:val="16"/>
              </w:rPr>
            </w:pPr>
            <w:r w:rsidRPr="005C29F8">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CF6742" w:rsidRPr="005C29F8" w:rsidRDefault="002B7490" w:rsidP="0011074D">
            <w:pPr>
              <w:spacing w:line="276" w:lineRule="auto"/>
              <w:jc w:val="center"/>
              <w:rPr>
                <w:rFonts w:cs="Arial"/>
                <w:b/>
                <w:color w:val="000000" w:themeColor="text1"/>
                <w:szCs w:val="16"/>
              </w:rPr>
            </w:pPr>
            <w:r w:rsidRPr="005C29F8">
              <w:rPr>
                <w:rFonts w:cs="Arial"/>
                <w:b/>
                <w:color w:val="000000" w:themeColor="text1"/>
                <w:szCs w:val="16"/>
              </w:rPr>
              <w:t>2018</w:t>
            </w:r>
          </w:p>
        </w:tc>
      </w:tr>
      <w:tr w:rsidR="005C29F8" w:rsidRPr="005C29F8" w14:paraId="12643853" w14:textId="714409A9" w:rsidTr="0033429D">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BC2850" w:rsidRPr="005C29F8" w:rsidRDefault="00BC2850">
            <w:pPr>
              <w:spacing w:line="276" w:lineRule="auto"/>
              <w:jc w:val="center"/>
              <w:rPr>
                <w:rFonts w:cs="Arial"/>
                <w:color w:val="000000" w:themeColor="text1"/>
                <w:szCs w:val="16"/>
              </w:rPr>
            </w:pPr>
            <w:r w:rsidRPr="005C29F8">
              <w:rPr>
                <w:rFonts w:cs="Arial"/>
                <w:color w:val="000000" w:themeColor="text1"/>
                <w:szCs w:val="16"/>
              </w:rPr>
              <w:t>A</w:t>
            </w:r>
          </w:p>
        </w:tc>
        <w:tc>
          <w:tcPr>
            <w:tcW w:w="1036" w:type="dxa"/>
            <w:tcBorders>
              <w:top w:val="single" w:sz="4" w:space="0" w:color="auto"/>
              <w:left w:val="single" w:sz="4" w:space="0" w:color="auto"/>
              <w:right w:val="single" w:sz="4" w:space="0" w:color="auto"/>
            </w:tcBorders>
            <w:shd w:val="clear" w:color="auto" w:fill="auto"/>
          </w:tcPr>
          <w:p w14:paraId="1BE75729" w14:textId="2F4381FF" w:rsidR="00BC2850" w:rsidRPr="005C29F8" w:rsidRDefault="00BC2850" w:rsidP="00A018D4">
            <w:pPr>
              <w:jc w:val="center"/>
              <w:rPr>
                <w:rFonts w:cs="Arial"/>
                <w:color w:val="000000" w:themeColor="text1"/>
                <w:szCs w:val="16"/>
              </w:rPr>
            </w:pPr>
            <w:r w:rsidRPr="005C29F8">
              <w:rPr>
                <w:rFonts w:cs="Arial"/>
                <w:color w:val="000000" w:themeColor="text1"/>
                <w:szCs w:val="16"/>
              </w:rPr>
              <w:t>2011</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14:paraId="15078A73" w14:textId="4E273194" w:rsidR="00BC2850" w:rsidRPr="005C29F8" w:rsidRDefault="00BC2850">
            <w:pPr>
              <w:spacing w:line="276" w:lineRule="auto"/>
              <w:rPr>
                <w:rFonts w:cs="Arial"/>
                <w:color w:val="000000" w:themeColor="text1"/>
                <w:szCs w:val="16"/>
              </w:rPr>
            </w:pPr>
            <w:r w:rsidRPr="005C29F8">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572D5A" w14:textId="187A2156" w:rsidR="00BC2850" w:rsidRPr="005C29F8" w:rsidRDefault="00BC2850" w:rsidP="00A018D4">
            <w:pPr>
              <w:jc w:val="center"/>
              <w:rPr>
                <w:rFonts w:cs="Arial"/>
                <w:color w:val="000000" w:themeColor="text1"/>
                <w:szCs w:val="16"/>
              </w:rPr>
            </w:pPr>
            <w:r w:rsidRPr="005C29F8">
              <w:rPr>
                <w:rFonts w:cs="Arial"/>
                <w:color w:val="000000" w:themeColor="text1"/>
                <w:szCs w:val="16"/>
              </w:rPr>
              <w:t>41.00%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7473ABC9" w14:textId="69DF669C" w:rsidR="00BC2850" w:rsidRPr="005C29F8" w:rsidRDefault="00BC2850" w:rsidP="00A018D4">
            <w:pPr>
              <w:jc w:val="center"/>
              <w:rPr>
                <w:rFonts w:cs="Arial"/>
                <w:color w:val="000000" w:themeColor="text1"/>
                <w:szCs w:val="16"/>
              </w:rPr>
            </w:pPr>
            <w:r w:rsidRPr="005C29F8">
              <w:rPr>
                <w:rFonts w:cs="Arial"/>
                <w:color w:val="000000" w:themeColor="text1"/>
                <w:szCs w:val="16"/>
              </w:rPr>
              <w:t>43.00%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BC2850" w:rsidRPr="005C29F8" w:rsidRDefault="00BC2850" w:rsidP="00A018D4">
            <w:pPr>
              <w:jc w:val="center"/>
              <w:rPr>
                <w:rFonts w:cs="Arial"/>
                <w:color w:val="000000" w:themeColor="text1"/>
                <w:szCs w:val="16"/>
              </w:rPr>
            </w:pPr>
            <w:r w:rsidRPr="005C29F8">
              <w:rPr>
                <w:rFonts w:cs="Arial"/>
                <w:color w:val="000000" w:themeColor="text1"/>
                <w:szCs w:val="16"/>
              </w:rPr>
              <w:t>45.00%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BC2850" w:rsidRPr="005C29F8" w:rsidRDefault="00BC2850" w:rsidP="00A018D4">
            <w:pPr>
              <w:jc w:val="center"/>
              <w:rPr>
                <w:rFonts w:cs="Arial"/>
                <w:color w:val="000000" w:themeColor="text1"/>
                <w:szCs w:val="16"/>
              </w:rPr>
            </w:pPr>
            <w:r w:rsidRPr="005C29F8">
              <w:rPr>
                <w:rFonts w:cs="Arial"/>
                <w:color w:val="000000" w:themeColor="text1"/>
                <w:szCs w:val="16"/>
              </w:rPr>
              <w:t>47.00%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BC2850" w:rsidRPr="005C29F8" w:rsidRDefault="00BC2850" w:rsidP="00A018D4">
            <w:pPr>
              <w:jc w:val="center"/>
              <w:rPr>
                <w:rFonts w:cs="Arial"/>
                <w:color w:val="000000" w:themeColor="text1"/>
                <w:szCs w:val="16"/>
              </w:rPr>
            </w:pPr>
            <w:r w:rsidRPr="005C29F8">
              <w:rPr>
                <w:rFonts w:cs="Arial"/>
                <w:color w:val="000000" w:themeColor="text1"/>
                <w:szCs w:val="16"/>
              </w:rPr>
              <w:t>50.00%</w:t>
            </w:r>
          </w:p>
        </w:tc>
      </w:tr>
      <w:tr w:rsidR="005C29F8" w:rsidRPr="005C29F8" w14:paraId="24AB409F" w14:textId="3963C8DA" w:rsidTr="0033429D">
        <w:trPr>
          <w:trHeight w:val="85"/>
        </w:trPr>
        <w:tc>
          <w:tcPr>
            <w:tcW w:w="625" w:type="dxa"/>
            <w:tcBorders>
              <w:left w:val="single" w:sz="4" w:space="0" w:color="auto"/>
              <w:right w:val="single" w:sz="4" w:space="0" w:color="auto"/>
            </w:tcBorders>
            <w:shd w:val="clear" w:color="auto" w:fill="auto"/>
            <w:vAlign w:val="center"/>
          </w:tcPr>
          <w:p w14:paraId="29D181B3" w14:textId="5F8E2E42" w:rsidR="00BC2850" w:rsidRPr="005C29F8" w:rsidRDefault="00BC2850" w:rsidP="004369B2">
            <w:pPr>
              <w:spacing w:line="276" w:lineRule="auto"/>
              <w:jc w:val="center"/>
              <w:rPr>
                <w:rFonts w:cs="Arial"/>
                <w:color w:val="000000" w:themeColor="text1"/>
                <w:szCs w:val="16"/>
              </w:rPr>
            </w:pPr>
            <w:r w:rsidRPr="005C29F8">
              <w:rPr>
                <w:rFonts w:cs="Arial"/>
                <w:color w:val="000000" w:themeColor="text1"/>
                <w:szCs w:val="16"/>
              </w:rPr>
              <w:t>A</w:t>
            </w:r>
          </w:p>
        </w:tc>
        <w:tc>
          <w:tcPr>
            <w:tcW w:w="1036" w:type="dxa"/>
            <w:tcBorders>
              <w:left w:val="single" w:sz="4" w:space="0" w:color="auto"/>
              <w:right w:val="single" w:sz="4" w:space="0" w:color="auto"/>
            </w:tcBorders>
            <w:shd w:val="clear" w:color="auto" w:fill="auto"/>
          </w:tcPr>
          <w:p w14:paraId="656976AF" w14:textId="5C9394AE" w:rsidR="00BC2850" w:rsidRPr="005C29F8" w:rsidRDefault="00BC2850" w:rsidP="00A018D4">
            <w:pPr>
              <w:jc w:val="center"/>
              <w:rPr>
                <w:rFonts w:cs="Arial"/>
                <w:color w:val="000000" w:themeColor="text1"/>
                <w:szCs w:val="16"/>
              </w:rPr>
            </w:pPr>
            <w:r w:rsidRPr="005C29F8">
              <w:rPr>
                <w:rFonts w:cs="Arial"/>
                <w:color w:val="000000" w:themeColor="text1"/>
                <w:szCs w:val="16"/>
              </w:rPr>
              <w:t>23.90%</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14:paraId="19FAFC6E" w14:textId="77777777" w:rsidR="00BC2850" w:rsidRPr="005C29F8" w:rsidRDefault="00BC2850">
            <w:pPr>
              <w:spacing w:line="276" w:lineRule="auto"/>
              <w:rPr>
                <w:rFonts w:cs="Arial"/>
                <w:color w:val="000000" w:themeColor="text1"/>
                <w:szCs w:val="16"/>
              </w:rPr>
            </w:pPr>
            <w:r w:rsidRPr="005C29F8">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B2CE2B" w14:textId="24BBB7A6" w:rsidR="00BC2850" w:rsidRPr="005C29F8" w:rsidRDefault="00BC2850" w:rsidP="00A018D4">
            <w:pPr>
              <w:jc w:val="center"/>
              <w:rPr>
                <w:rFonts w:cs="Arial"/>
                <w:color w:val="000000" w:themeColor="text1"/>
                <w:szCs w:val="16"/>
              </w:rPr>
            </w:pPr>
            <w:r w:rsidRPr="005C29F8">
              <w:rPr>
                <w:rFonts w:cs="Arial"/>
                <w:color w:val="000000" w:themeColor="text1"/>
                <w:szCs w:val="16"/>
              </w:rPr>
              <w:t>48.94%</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029C2908" w14:textId="5081117A" w:rsidR="00BC2850" w:rsidRPr="005C29F8" w:rsidRDefault="00BC2850" w:rsidP="00A018D4">
            <w:pPr>
              <w:jc w:val="center"/>
              <w:rPr>
                <w:rFonts w:cs="Arial"/>
                <w:color w:val="000000" w:themeColor="text1"/>
                <w:szCs w:val="16"/>
              </w:rPr>
            </w:pPr>
            <w:r w:rsidRPr="005C29F8">
              <w:rPr>
                <w:rFonts w:cs="Arial"/>
                <w:color w:val="000000" w:themeColor="text1"/>
                <w:szCs w:val="16"/>
              </w:rPr>
              <w:t>53.05%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BC2850" w:rsidRPr="005C29F8" w:rsidRDefault="00BC2850" w:rsidP="00A018D4">
            <w:pPr>
              <w:jc w:val="center"/>
              <w:rPr>
                <w:rFonts w:cs="Arial"/>
                <w:color w:val="000000" w:themeColor="text1"/>
                <w:szCs w:val="16"/>
              </w:rPr>
            </w:pPr>
            <w:r w:rsidRPr="005C29F8">
              <w:rPr>
                <w:rFonts w:cs="Arial"/>
                <w:color w:val="000000" w:themeColor="text1"/>
                <w:szCs w:val="16"/>
              </w:rPr>
              <w:t>53.68%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BC2850" w:rsidRPr="005C29F8" w:rsidRDefault="00BC2850" w:rsidP="00A018D4">
            <w:pPr>
              <w:jc w:val="center"/>
              <w:rPr>
                <w:rFonts w:cs="Arial"/>
                <w:color w:val="000000" w:themeColor="text1"/>
                <w:szCs w:val="16"/>
              </w:rPr>
            </w:pPr>
            <w:r w:rsidRPr="005C29F8">
              <w:rPr>
                <w:rFonts w:cs="Arial"/>
                <w:color w:val="000000" w:themeColor="text1"/>
                <w:szCs w:val="16"/>
              </w:rPr>
              <w:t>54.41%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BC2850" w:rsidRPr="005C29F8" w:rsidRDefault="00BC2850" w:rsidP="00A018D4">
            <w:pPr>
              <w:jc w:val="center"/>
              <w:rPr>
                <w:rFonts w:cs="Arial"/>
                <w:color w:val="000000" w:themeColor="text1"/>
                <w:szCs w:val="16"/>
              </w:rPr>
            </w:pPr>
            <w:r w:rsidRPr="005C29F8">
              <w:rPr>
                <w:rFonts w:cs="Arial"/>
                <w:color w:val="000000" w:themeColor="text1"/>
                <w:szCs w:val="16"/>
              </w:rPr>
              <w:t>54.76%</w:t>
            </w:r>
          </w:p>
        </w:tc>
      </w:tr>
      <w:tr w:rsidR="005C29F8" w:rsidRPr="005C29F8" w14:paraId="734556E7" w14:textId="7880148D" w:rsidTr="0033429D">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CF6742" w:rsidRPr="005C29F8" w:rsidRDefault="00CF6742">
            <w:pPr>
              <w:spacing w:line="276" w:lineRule="auto"/>
              <w:jc w:val="center"/>
              <w:rPr>
                <w:rFonts w:cs="Arial"/>
                <w:color w:val="000000" w:themeColor="text1"/>
                <w:szCs w:val="16"/>
              </w:rPr>
            </w:pPr>
            <w:r w:rsidRPr="005C29F8">
              <w:rPr>
                <w:rFonts w:cs="Arial"/>
                <w:color w:val="000000" w:themeColor="text1"/>
                <w:szCs w:val="16"/>
              </w:rPr>
              <w:t>B</w:t>
            </w:r>
          </w:p>
        </w:tc>
        <w:tc>
          <w:tcPr>
            <w:tcW w:w="1036" w:type="dxa"/>
            <w:tcBorders>
              <w:top w:val="single" w:sz="4" w:space="0" w:color="auto"/>
              <w:left w:val="single" w:sz="4" w:space="0" w:color="auto"/>
              <w:right w:val="single" w:sz="4" w:space="0" w:color="auto"/>
            </w:tcBorders>
            <w:shd w:val="clear" w:color="auto" w:fill="auto"/>
          </w:tcPr>
          <w:p w14:paraId="5DEECBC0" w14:textId="31756517" w:rsidR="00CF6742" w:rsidRPr="005C29F8" w:rsidRDefault="002B7490" w:rsidP="00A018D4">
            <w:pPr>
              <w:jc w:val="center"/>
              <w:rPr>
                <w:rFonts w:cs="Arial"/>
                <w:color w:val="000000" w:themeColor="text1"/>
                <w:szCs w:val="16"/>
              </w:rPr>
            </w:pPr>
            <w:r w:rsidRPr="005C29F8">
              <w:rPr>
                <w:rFonts w:cs="Arial"/>
                <w:color w:val="000000" w:themeColor="text1"/>
                <w:szCs w:val="16"/>
              </w:rPr>
              <w:t>2011</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14:paraId="2D0B70F3" w14:textId="4BE0D72F" w:rsidR="00CF6742" w:rsidRPr="005C29F8" w:rsidRDefault="00CF6742">
            <w:pPr>
              <w:spacing w:line="276" w:lineRule="auto"/>
              <w:rPr>
                <w:rFonts w:cs="Arial"/>
                <w:color w:val="000000" w:themeColor="text1"/>
                <w:szCs w:val="16"/>
              </w:rPr>
            </w:pPr>
            <w:r w:rsidRPr="005C29F8">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AF8D8D8" w14:textId="73E1A0AF" w:rsidR="00CF6742" w:rsidRPr="005C29F8" w:rsidRDefault="002B7490" w:rsidP="00A018D4">
            <w:pPr>
              <w:jc w:val="center"/>
              <w:rPr>
                <w:rFonts w:cs="Arial"/>
                <w:color w:val="000000" w:themeColor="text1"/>
                <w:szCs w:val="16"/>
              </w:rPr>
            </w:pPr>
            <w:r w:rsidRPr="005C29F8">
              <w:rPr>
                <w:rFonts w:cs="Arial"/>
                <w:color w:val="000000" w:themeColor="text1"/>
                <w:szCs w:val="16"/>
              </w:rPr>
              <w:t>13.50%</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27A3A3A6" w14:textId="38FA47E9" w:rsidR="00CF6742" w:rsidRPr="005C29F8" w:rsidRDefault="002B7490" w:rsidP="00A018D4">
            <w:pPr>
              <w:jc w:val="center"/>
              <w:rPr>
                <w:rFonts w:cs="Arial"/>
                <w:color w:val="000000" w:themeColor="text1"/>
                <w:szCs w:val="16"/>
              </w:rPr>
            </w:pPr>
            <w:r w:rsidRPr="005C29F8">
              <w:rPr>
                <w:rFonts w:cs="Arial"/>
                <w:color w:val="000000" w:themeColor="text1"/>
                <w:szCs w:val="16"/>
              </w:rPr>
              <w:t>13.20%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CF6742" w:rsidRPr="005C29F8" w:rsidRDefault="002B7490" w:rsidP="00A018D4">
            <w:pPr>
              <w:jc w:val="center"/>
              <w:rPr>
                <w:rFonts w:cs="Arial"/>
                <w:color w:val="000000" w:themeColor="text1"/>
                <w:szCs w:val="16"/>
              </w:rPr>
            </w:pPr>
            <w:r w:rsidRPr="005C29F8">
              <w:rPr>
                <w:rFonts w:cs="Arial"/>
                <w:color w:val="000000" w:themeColor="text1"/>
                <w:szCs w:val="16"/>
              </w:rPr>
              <w:t>12.80%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CF6742" w:rsidRPr="005C29F8" w:rsidRDefault="003D7F56">
            <w:pPr>
              <w:jc w:val="center"/>
              <w:rPr>
                <w:color w:val="000000" w:themeColor="text1"/>
              </w:rPr>
            </w:pPr>
            <w:r w:rsidRPr="005C29F8">
              <w:rPr>
                <w:color w:val="000000" w:themeColor="text1"/>
              </w:rPr>
              <w:t>12.40%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CF6742" w:rsidRPr="005C29F8" w:rsidRDefault="002B7490" w:rsidP="00A018D4">
            <w:pPr>
              <w:jc w:val="center"/>
              <w:rPr>
                <w:rFonts w:cs="Arial"/>
                <w:color w:val="000000" w:themeColor="text1"/>
                <w:szCs w:val="16"/>
              </w:rPr>
            </w:pPr>
            <w:r w:rsidRPr="005C29F8">
              <w:rPr>
                <w:rFonts w:cs="Arial"/>
                <w:color w:val="000000" w:themeColor="text1"/>
                <w:szCs w:val="16"/>
              </w:rPr>
              <w:t>12.40%</w:t>
            </w:r>
          </w:p>
        </w:tc>
      </w:tr>
      <w:tr w:rsidR="005C29F8" w:rsidRPr="005C29F8" w14:paraId="3B42BE2A" w14:textId="601B062F" w:rsidTr="0033429D">
        <w:trPr>
          <w:trHeight w:val="85"/>
        </w:trPr>
        <w:tc>
          <w:tcPr>
            <w:tcW w:w="625" w:type="dxa"/>
            <w:tcBorders>
              <w:left w:val="single" w:sz="4" w:space="0" w:color="auto"/>
              <w:right w:val="single" w:sz="4" w:space="0" w:color="auto"/>
            </w:tcBorders>
            <w:shd w:val="clear" w:color="auto" w:fill="auto"/>
            <w:vAlign w:val="center"/>
          </w:tcPr>
          <w:p w14:paraId="4623D633" w14:textId="276C317C" w:rsidR="00CF6742" w:rsidRPr="005C29F8" w:rsidRDefault="00BC2850" w:rsidP="004369B2">
            <w:pPr>
              <w:spacing w:line="276" w:lineRule="auto"/>
              <w:jc w:val="center"/>
              <w:rPr>
                <w:rFonts w:cs="Arial"/>
                <w:bCs/>
                <w:color w:val="000000" w:themeColor="text1"/>
                <w:szCs w:val="16"/>
              </w:rPr>
            </w:pPr>
            <w:r w:rsidRPr="005C29F8">
              <w:rPr>
                <w:rFonts w:cs="Arial"/>
                <w:bCs/>
                <w:color w:val="000000" w:themeColor="text1"/>
                <w:szCs w:val="16"/>
              </w:rPr>
              <w:t>B</w:t>
            </w:r>
          </w:p>
        </w:tc>
        <w:tc>
          <w:tcPr>
            <w:tcW w:w="1036" w:type="dxa"/>
            <w:tcBorders>
              <w:left w:val="single" w:sz="4" w:space="0" w:color="auto"/>
              <w:right w:val="single" w:sz="4" w:space="0" w:color="auto"/>
            </w:tcBorders>
            <w:shd w:val="clear" w:color="auto" w:fill="auto"/>
            <w:vAlign w:val="center"/>
          </w:tcPr>
          <w:p w14:paraId="67DD4D26" w14:textId="292FF690" w:rsidR="00CF6742" w:rsidRPr="005C29F8" w:rsidRDefault="002B7490" w:rsidP="00A018D4">
            <w:pPr>
              <w:jc w:val="center"/>
              <w:rPr>
                <w:rFonts w:cs="Arial"/>
                <w:color w:val="000000" w:themeColor="text1"/>
                <w:szCs w:val="16"/>
              </w:rPr>
            </w:pPr>
            <w:r w:rsidRPr="005C29F8">
              <w:rPr>
                <w:rFonts w:cs="Arial"/>
                <w:color w:val="000000" w:themeColor="text1"/>
                <w:szCs w:val="16"/>
              </w:rPr>
              <w:t>14.00%</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14:paraId="2FE596DA" w14:textId="77777777" w:rsidR="00CF6742" w:rsidRPr="005C29F8" w:rsidRDefault="00CF6742">
            <w:pPr>
              <w:spacing w:line="276" w:lineRule="auto"/>
              <w:rPr>
                <w:rFonts w:cs="Arial"/>
                <w:color w:val="000000" w:themeColor="text1"/>
                <w:szCs w:val="16"/>
              </w:rPr>
            </w:pPr>
            <w:r w:rsidRPr="005C29F8">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90031" w14:textId="3012CDE0" w:rsidR="00CF6742" w:rsidRPr="005C29F8" w:rsidRDefault="002B7490" w:rsidP="00A018D4">
            <w:pPr>
              <w:jc w:val="center"/>
              <w:rPr>
                <w:rFonts w:cs="Arial"/>
                <w:color w:val="000000" w:themeColor="text1"/>
                <w:szCs w:val="16"/>
              </w:rPr>
            </w:pPr>
            <w:r w:rsidRPr="005C29F8">
              <w:rPr>
                <w:rFonts w:cs="Arial"/>
                <w:color w:val="000000" w:themeColor="text1"/>
                <w:szCs w:val="16"/>
              </w:rPr>
              <w:t>15.34%</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40E906DB" w14:textId="5C70E2DD" w:rsidR="00CF6742" w:rsidRPr="005C29F8" w:rsidRDefault="002B7490" w:rsidP="00A018D4">
            <w:pPr>
              <w:jc w:val="center"/>
              <w:rPr>
                <w:rFonts w:cs="Arial"/>
                <w:color w:val="000000" w:themeColor="text1"/>
                <w:szCs w:val="16"/>
              </w:rPr>
            </w:pPr>
            <w:r w:rsidRPr="005C29F8">
              <w:rPr>
                <w:rFonts w:cs="Arial"/>
                <w:color w:val="000000" w:themeColor="text1"/>
                <w:szCs w:val="16"/>
              </w:rPr>
              <w:t>15.44%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CF6742" w:rsidRPr="005C29F8" w:rsidRDefault="002B7490" w:rsidP="00A018D4">
            <w:pPr>
              <w:jc w:val="center"/>
              <w:rPr>
                <w:rFonts w:cs="Arial"/>
                <w:color w:val="000000" w:themeColor="text1"/>
                <w:szCs w:val="16"/>
              </w:rPr>
            </w:pPr>
            <w:r w:rsidRPr="005C29F8">
              <w:rPr>
                <w:rFonts w:cs="Arial"/>
                <w:color w:val="000000" w:themeColor="text1"/>
                <w:szCs w:val="16"/>
              </w:rPr>
              <w:t>16.74%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CF6742" w:rsidRPr="005C29F8" w:rsidRDefault="002B7490" w:rsidP="00A018D4">
            <w:pPr>
              <w:jc w:val="center"/>
              <w:rPr>
                <w:rFonts w:cs="Arial"/>
                <w:color w:val="000000" w:themeColor="text1"/>
                <w:szCs w:val="16"/>
              </w:rPr>
            </w:pPr>
            <w:r w:rsidRPr="005C29F8">
              <w:rPr>
                <w:rFonts w:cs="Arial"/>
                <w:color w:val="000000" w:themeColor="text1"/>
                <w:szCs w:val="16"/>
              </w:rPr>
              <w:t>16.80%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CF6742" w:rsidRPr="005C29F8" w:rsidRDefault="002B7490" w:rsidP="00A018D4">
            <w:pPr>
              <w:jc w:val="center"/>
              <w:rPr>
                <w:rFonts w:cs="Arial"/>
                <w:color w:val="000000" w:themeColor="text1"/>
                <w:szCs w:val="16"/>
              </w:rPr>
            </w:pPr>
            <w:r w:rsidRPr="005C29F8">
              <w:rPr>
                <w:rFonts w:cs="Arial"/>
                <w:color w:val="000000" w:themeColor="text1"/>
                <w:szCs w:val="16"/>
              </w:rPr>
              <w:t>16.19%</w:t>
            </w:r>
          </w:p>
        </w:tc>
      </w:tr>
    </w:tbl>
    <w:p w14:paraId="718B9259" w14:textId="77777777" w:rsidR="005430ED" w:rsidRPr="005C29F8" w:rsidRDefault="005430ED" w:rsidP="004369B2">
      <w:pPr>
        <w:rPr>
          <w:color w:val="000000" w:themeColor="text1"/>
        </w:rPr>
      </w:pPr>
    </w:p>
    <w:p w14:paraId="5CC249BC" w14:textId="0BD1252B" w:rsidR="00AA04BD" w:rsidRPr="005C29F8" w:rsidRDefault="00AA04BD" w:rsidP="004369B2">
      <w:pPr>
        <w:rPr>
          <w:color w:val="000000" w:themeColor="text1"/>
        </w:rPr>
      </w:pPr>
      <w:r w:rsidRPr="005C29F8">
        <w:rPr>
          <w:b/>
          <w:color w:val="000000" w:themeColor="text1"/>
        </w:rPr>
        <w:t>Targets</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6TARGETS"/>
      </w:tblPr>
      <w:tblGrid>
        <w:gridCol w:w="1165"/>
        <w:gridCol w:w="2609"/>
      </w:tblGrid>
      <w:tr w:rsidR="00360CD9" w:rsidRPr="005C29F8" w14:paraId="502A05CF" w14:textId="4E7A5210" w:rsidTr="0033429D">
        <w:trPr>
          <w:trHeight w:val="350"/>
        </w:trPr>
        <w:tc>
          <w:tcPr>
            <w:tcW w:w="1543" w:type="pct"/>
            <w:tcBorders>
              <w:bottom w:val="single" w:sz="4" w:space="0" w:color="auto"/>
            </w:tcBorders>
            <w:shd w:val="clear" w:color="auto" w:fill="auto"/>
          </w:tcPr>
          <w:p w14:paraId="24938C30" w14:textId="77777777" w:rsidR="00360CD9" w:rsidRPr="005C29F8" w:rsidRDefault="00360CD9" w:rsidP="004369B2">
            <w:pPr>
              <w:jc w:val="center"/>
              <w:rPr>
                <w:b/>
                <w:color w:val="000000" w:themeColor="text1"/>
              </w:rPr>
            </w:pPr>
            <w:r w:rsidRPr="005C29F8">
              <w:rPr>
                <w:b/>
                <w:color w:val="000000" w:themeColor="text1"/>
              </w:rPr>
              <w:t>FFY</w:t>
            </w:r>
          </w:p>
        </w:tc>
        <w:tc>
          <w:tcPr>
            <w:tcW w:w="3457" w:type="pct"/>
            <w:shd w:val="clear" w:color="auto" w:fill="auto"/>
          </w:tcPr>
          <w:p w14:paraId="4B75D90A" w14:textId="04FBCB48" w:rsidR="00360CD9" w:rsidRPr="005C29F8" w:rsidRDefault="00360CD9" w:rsidP="004369B2">
            <w:pPr>
              <w:jc w:val="center"/>
              <w:rPr>
                <w:b/>
                <w:color w:val="000000" w:themeColor="text1"/>
              </w:rPr>
            </w:pPr>
            <w:r w:rsidRPr="005C29F8">
              <w:rPr>
                <w:b/>
                <w:color w:val="000000" w:themeColor="text1"/>
              </w:rPr>
              <w:t>2019</w:t>
            </w:r>
          </w:p>
        </w:tc>
      </w:tr>
      <w:tr w:rsidR="00360CD9" w:rsidRPr="005C29F8" w14:paraId="19DCE246" w14:textId="4C6D6B0C" w:rsidTr="0033429D">
        <w:trPr>
          <w:trHeight w:val="357"/>
        </w:trPr>
        <w:tc>
          <w:tcPr>
            <w:tcW w:w="1543" w:type="pct"/>
            <w:shd w:val="clear" w:color="auto" w:fill="auto"/>
            <w:vAlign w:val="center"/>
          </w:tcPr>
          <w:p w14:paraId="772DAD56" w14:textId="1540F97B" w:rsidR="00360CD9" w:rsidRPr="005C29F8" w:rsidRDefault="00360CD9" w:rsidP="00AA04BD">
            <w:pPr>
              <w:rPr>
                <w:rFonts w:cs="Arial"/>
                <w:color w:val="000000" w:themeColor="text1"/>
                <w:szCs w:val="16"/>
              </w:rPr>
            </w:pPr>
            <w:r w:rsidRPr="005C29F8">
              <w:rPr>
                <w:rFonts w:cs="Arial"/>
                <w:color w:val="000000" w:themeColor="text1"/>
                <w:szCs w:val="16"/>
              </w:rPr>
              <w:t>Target A &gt;=</w:t>
            </w:r>
          </w:p>
        </w:tc>
        <w:tc>
          <w:tcPr>
            <w:tcW w:w="3457" w:type="pct"/>
            <w:shd w:val="clear" w:color="auto" w:fill="auto"/>
            <w:vAlign w:val="center"/>
          </w:tcPr>
          <w:p w14:paraId="2E5FC5F6" w14:textId="4C6B8E64" w:rsidR="00360CD9" w:rsidRPr="005C29F8" w:rsidRDefault="00360CD9">
            <w:pPr>
              <w:jc w:val="center"/>
              <w:rPr>
                <w:color w:val="000000" w:themeColor="text1"/>
              </w:rPr>
            </w:pPr>
            <w:r w:rsidRPr="005C29F8">
              <w:rPr>
                <w:color w:val="000000" w:themeColor="text1"/>
              </w:rPr>
              <w:t>50.00%</w:t>
            </w:r>
          </w:p>
        </w:tc>
      </w:tr>
      <w:tr w:rsidR="00360CD9" w:rsidRPr="005C29F8" w14:paraId="3AA5E8F7" w14:textId="3D1AAE5E" w:rsidTr="0033429D">
        <w:trPr>
          <w:trHeight w:val="357"/>
        </w:trPr>
        <w:tc>
          <w:tcPr>
            <w:tcW w:w="1543" w:type="pct"/>
            <w:shd w:val="clear" w:color="auto" w:fill="auto"/>
            <w:vAlign w:val="center"/>
          </w:tcPr>
          <w:p w14:paraId="49E152B3" w14:textId="4DC08CD2" w:rsidR="00360CD9" w:rsidRPr="005C29F8" w:rsidRDefault="00360CD9" w:rsidP="00AA04BD">
            <w:pPr>
              <w:rPr>
                <w:rFonts w:cs="Arial"/>
                <w:color w:val="000000" w:themeColor="text1"/>
                <w:szCs w:val="16"/>
              </w:rPr>
            </w:pPr>
            <w:r w:rsidRPr="005C29F8">
              <w:rPr>
                <w:rFonts w:cs="Arial"/>
                <w:color w:val="000000" w:themeColor="text1"/>
                <w:szCs w:val="16"/>
              </w:rPr>
              <w:t>Target B &lt;=</w:t>
            </w:r>
          </w:p>
        </w:tc>
        <w:tc>
          <w:tcPr>
            <w:tcW w:w="3457" w:type="pct"/>
            <w:shd w:val="clear" w:color="auto" w:fill="auto"/>
            <w:vAlign w:val="center"/>
          </w:tcPr>
          <w:p w14:paraId="642E6A80" w14:textId="7A6AF652" w:rsidR="00360CD9" w:rsidRPr="005C29F8" w:rsidRDefault="00360CD9" w:rsidP="00A018D4">
            <w:pPr>
              <w:jc w:val="center"/>
              <w:rPr>
                <w:rFonts w:cs="Arial"/>
                <w:color w:val="000000" w:themeColor="text1"/>
                <w:szCs w:val="16"/>
              </w:rPr>
            </w:pPr>
            <w:r w:rsidRPr="005C29F8">
              <w:rPr>
                <w:rFonts w:cs="Arial"/>
                <w:color w:val="000000" w:themeColor="text1"/>
                <w:szCs w:val="16"/>
              </w:rPr>
              <w:t>12.40%</w:t>
            </w:r>
          </w:p>
        </w:tc>
      </w:tr>
    </w:tbl>
    <w:p w14:paraId="0BFE8697" w14:textId="259909B8" w:rsidR="002D145D" w:rsidRDefault="002D145D" w:rsidP="004369B2">
      <w:pPr>
        <w:rPr>
          <w:b/>
          <w:color w:val="000000" w:themeColor="text1"/>
        </w:rPr>
      </w:pPr>
      <w:r w:rsidRPr="005C29F8">
        <w:rPr>
          <w:b/>
          <w:color w:val="000000" w:themeColor="text1"/>
        </w:rPr>
        <w:t xml:space="preserve">Targets: Description of Stakeholder Input </w:t>
      </w:r>
    </w:p>
    <w:p w14:paraId="3E7E09C0" w14:textId="31644460" w:rsidR="002D145D" w:rsidRDefault="002B7490" w:rsidP="002D145D">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0448DBC0" w14:textId="4024B20E" w:rsidR="002D145D" w:rsidRPr="005C29F8" w:rsidRDefault="002B7490" w:rsidP="002D145D">
      <w:pPr>
        <w:rPr>
          <w:rFonts w:cs="Arial"/>
          <w:color w:val="000000" w:themeColor="text1"/>
          <w:szCs w:val="16"/>
        </w:rPr>
      </w:pPr>
      <w:r w:rsidRPr="005C29F8">
        <w:rPr>
          <w:rFonts w:cs="Arial"/>
          <w:color w:val="000000" w:themeColor="text1"/>
          <w:szCs w:val="16"/>
        </w:rPr>
        <w:t>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schools, and educational collaboratives; representatives of higher education; and health care and related service providers.</w:t>
      </w:r>
      <w:r w:rsidRPr="005C29F8">
        <w:rPr>
          <w:rFonts w:cs="Arial"/>
          <w:color w:val="000000" w:themeColor="text1"/>
          <w:szCs w:val="16"/>
        </w:rPr>
        <w:br/>
      </w:r>
      <w:r w:rsidRPr="005C29F8">
        <w:rPr>
          <w:rFonts w:cs="Arial"/>
          <w:color w:val="000000" w:themeColor="text1"/>
          <w:szCs w:val="16"/>
        </w:rPr>
        <w:br/>
      </w:r>
      <w:r w:rsidRPr="005C29F8">
        <w:rPr>
          <w:rFonts w:cs="Arial"/>
          <w:color w:val="000000" w:themeColor="text1"/>
          <w:szCs w:val="16"/>
        </w:rPr>
        <w:lastRenderedPageBreak/>
        <w:t>The SEAP met most recently in January 2021 to review current data and discuss future actions to improve the State’s performance. As needed, MA DESE also convenes stakeholder working groups throughout the year to provide focused input on specific projects and policy priorities. MA DESE also consults with educators, parents, advocates, and other stakeholders on an ad hoc basis to inform policy and practice. Stakeholder engagement is an essential component of MA DESE’s special education agenda.</w:t>
      </w:r>
    </w:p>
    <w:p w14:paraId="27170CED" w14:textId="77777777" w:rsidR="00E428BD" w:rsidRPr="005C29F8" w:rsidRDefault="00E428BD" w:rsidP="004369B2">
      <w:pPr>
        <w:rPr>
          <w:color w:val="000000" w:themeColor="text1"/>
        </w:rPr>
      </w:pPr>
      <w:bookmarkStart w:id="33" w:name="_Toc382082378"/>
      <w:bookmarkStart w:id="34" w:name="_Toc392159302"/>
    </w:p>
    <w:p w14:paraId="50508AD8" w14:textId="1E470EFF" w:rsidR="008751D3" w:rsidRPr="005C29F8" w:rsidRDefault="008751D3" w:rsidP="004369B2">
      <w:pPr>
        <w:rPr>
          <w:color w:val="000000" w:themeColor="text1"/>
        </w:rPr>
      </w:pPr>
      <w:r w:rsidRPr="005C29F8">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2605"/>
        <w:gridCol w:w="2160"/>
        <w:gridCol w:w="3869"/>
        <w:gridCol w:w="2156"/>
      </w:tblGrid>
      <w:tr w:rsidR="005C29F8" w:rsidRPr="005C29F8" w14:paraId="08E6335C" w14:textId="77777777" w:rsidTr="00AB0D6A">
        <w:trPr>
          <w:cantSplit/>
          <w:tblHeader/>
        </w:trPr>
        <w:tc>
          <w:tcPr>
            <w:tcW w:w="1207" w:type="pct"/>
            <w:shd w:val="clear" w:color="auto" w:fill="auto"/>
          </w:tcPr>
          <w:p w14:paraId="3CEB7090" w14:textId="77777777" w:rsidR="004F2EB8" w:rsidRPr="005C29F8" w:rsidRDefault="004F2EB8" w:rsidP="009C613A">
            <w:pPr>
              <w:spacing w:after="0"/>
              <w:jc w:val="center"/>
              <w:rPr>
                <w:rFonts w:cs="Arial"/>
                <w:b/>
                <w:color w:val="000000" w:themeColor="text1"/>
                <w:szCs w:val="16"/>
              </w:rPr>
            </w:pPr>
            <w:r w:rsidRPr="005C29F8">
              <w:rPr>
                <w:rFonts w:cs="Arial"/>
                <w:b/>
                <w:color w:val="000000" w:themeColor="text1"/>
                <w:szCs w:val="16"/>
              </w:rPr>
              <w:t>Source</w:t>
            </w:r>
          </w:p>
        </w:tc>
        <w:tc>
          <w:tcPr>
            <w:tcW w:w="1001" w:type="pct"/>
            <w:shd w:val="clear" w:color="auto" w:fill="auto"/>
          </w:tcPr>
          <w:p w14:paraId="2F4A13F6" w14:textId="77777777" w:rsidR="004F2EB8" w:rsidRPr="005C29F8" w:rsidRDefault="004F2EB8" w:rsidP="009C613A">
            <w:pPr>
              <w:spacing w:after="0"/>
              <w:jc w:val="center"/>
              <w:rPr>
                <w:rFonts w:cs="Arial"/>
                <w:b/>
                <w:color w:val="000000" w:themeColor="text1"/>
                <w:szCs w:val="16"/>
              </w:rPr>
            </w:pPr>
            <w:r w:rsidRPr="005C29F8">
              <w:rPr>
                <w:rFonts w:cs="Arial"/>
                <w:b/>
                <w:color w:val="000000" w:themeColor="text1"/>
                <w:szCs w:val="16"/>
              </w:rPr>
              <w:t>Date</w:t>
            </w:r>
          </w:p>
        </w:tc>
        <w:tc>
          <w:tcPr>
            <w:tcW w:w="1793" w:type="pct"/>
            <w:shd w:val="clear" w:color="auto" w:fill="auto"/>
          </w:tcPr>
          <w:p w14:paraId="47ECA16E" w14:textId="77777777" w:rsidR="004F2EB8" w:rsidRPr="005C29F8" w:rsidRDefault="004F2EB8" w:rsidP="009C613A">
            <w:pPr>
              <w:spacing w:after="0"/>
              <w:jc w:val="center"/>
              <w:rPr>
                <w:rFonts w:cs="Arial"/>
                <w:b/>
                <w:color w:val="000000" w:themeColor="text1"/>
                <w:szCs w:val="16"/>
              </w:rPr>
            </w:pPr>
            <w:r w:rsidRPr="005C29F8">
              <w:rPr>
                <w:rFonts w:cs="Arial"/>
                <w:b/>
                <w:color w:val="000000" w:themeColor="text1"/>
                <w:szCs w:val="16"/>
              </w:rPr>
              <w:t>Description</w:t>
            </w:r>
          </w:p>
        </w:tc>
        <w:tc>
          <w:tcPr>
            <w:tcW w:w="999" w:type="pct"/>
            <w:shd w:val="clear" w:color="auto" w:fill="auto"/>
          </w:tcPr>
          <w:p w14:paraId="5BF9C35D" w14:textId="77777777" w:rsidR="004F2EB8" w:rsidRPr="005C29F8" w:rsidRDefault="004F2EB8" w:rsidP="009C613A">
            <w:pPr>
              <w:spacing w:after="0"/>
              <w:jc w:val="center"/>
              <w:rPr>
                <w:rFonts w:cs="Arial"/>
                <w:b/>
                <w:color w:val="000000" w:themeColor="text1"/>
                <w:szCs w:val="16"/>
              </w:rPr>
            </w:pPr>
            <w:r w:rsidRPr="005C29F8">
              <w:rPr>
                <w:rFonts w:cs="Arial"/>
                <w:b/>
                <w:color w:val="000000" w:themeColor="text1"/>
                <w:szCs w:val="16"/>
              </w:rPr>
              <w:t>Data</w:t>
            </w:r>
          </w:p>
        </w:tc>
      </w:tr>
      <w:tr w:rsidR="005C29F8" w:rsidRPr="005C29F8" w14:paraId="4FFA6181" w14:textId="77777777" w:rsidTr="00AB0D6A">
        <w:trPr>
          <w:cantSplit/>
        </w:trPr>
        <w:tc>
          <w:tcPr>
            <w:tcW w:w="1207" w:type="pct"/>
            <w:shd w:val="clear" w:color="auto" w:fill="auto"/>
          </w:tcPr>
          <w:p w14:paraId="024CF7D7" w14:textId="3DBC9C01" w:rsidR="0049134B" w:rsidRPr="005C29F8" w:rsidRDefault="002B7490">
            <w:pPr>
              <w:jc w:val="center"/>
              <w:rPr>
                <w:rFonts w:cs="Arial"/>
                <w:color w:val="000000" w:themeColor="text1"/>
                <w:szCs w:val="16"/>
              </w:rPr>
            </w:pPr>
            <w:r w:rsidRPr="005C29F8">
              <w:rPr>
                <w:rFonts w:cs="Arial"/>
                <w:color w:val="000000" w:themeColor="text1"/>
                <w:szCs w:val="16"/>
              </w:rPr>
              <w:t>SY 2019-20 Child Count/Educational Environment Data Groups (EDFacts file spec FS089; Data group 613)</w:t>
            </w:r>
          </w:p>
        </w:tc>
        <w:tc>
          <w:tcPr>
            <w:tcW w:w="1001" w:type="pct"/>
            <w:shd w:val="clear" w:color="auto" w:fill="auto"/>
          </w:tcPr>
          <w:p w14:paraId="5DCC950C" w14:textId="07B9A8E9" w:rsidR="0049134B" w:rsidRPr="005C29F8" w:rsidRDefault="002B7490">
            <w:pPr>
              <w:jc w:val="center"/>
              <w:rPr>
                <w:rFonts w:cs="Arial"/>
                <w:color w:val="000000" w:themeColor="text1"/>
                <w:szCs w:val="16"/>
              </w:rPr>
            </w:pPr>
            <w:r w:rsidRPr="005C29F8">
              <w:rPr>
                <w:rFonts w:cs="Arial"/>
                <w:color w:val="000000" w:themeColor="text1"/>
                <w:szCs w:val="16"/>
              </w:rPr>
              <w:t>07/08/2020</w:t>
            </w:r>
          </w:p>
        </w:tc>
        <w:tc>
          <w:tcPr>
            <w:tcW w:w="1793" w:type="pct"/>
            <w:shd w:val="clear" w:color="auto" w:fill="auto"/>
            <w:vAlign w:val="bottom"/>
          </w:tcPr>
          <w:p w14:paraId="0C7ED212" w14:textId="5C5DDF05" w:rsidR="0049134B" w:rsidRPr="005C29F8" w:rsidRDefault="0049134B" w:rsidP="0049134B">
            <w:pPr>
              <w:rPr>
                <w:rFonts w:cs="Arial"/>
                <w:color w:val="000000" w:themeColor="text1"/>
                <w:szCs w:val="16"/>
              </w:rPr>
            </w:pPr>
            <w:r w:rsidRPr="005C29F8">
              <w:rPr>
                <w:rFonts w:cs="Arial"/>
                <w:color w:val="000000" w:themeColor="text1"/>
                <w:szCs w:val="16"/>
              </w:rPr>
              <w:t>Total number of children with IEPs aged 3 through 5</w:t>
            </w:r>
          </w:p>
        </w:tc>
        <w:tc>
          <w:tcPr>
            <w:tcW w:w="999" w:type="pct"/>
            <w:shd w:val="clear" w:color="auto" w:fill="auto"/>
            <w:vAlign w:val="bottom"/>
          </w:tcPr>
          <w:p w14:paraId="784DA572" w14:textId="5FF7312B" w:rsidR="0049134B" w:rsidRPr="005C29F8" w:rsidRDefault="002B7490" w:rsidP="00A018D4">
            <w:pPr>
              <w:jc w:val="center"/>
              <w:rPr>
                <w:rFonts w:cs="Arial"/>
                <w:color w:val="000000" w:themeColor="text1"/>
                <w:szCs w:val="16"/>
              </w:rPr>
            </w:pPr>
            <w:r w:rsidRPr="005C29F8">
              <w:rPr>
                <w:rFonts w:cs="Arial"/>
                <w:color w:val="000000" w:themeColor="text1"/>
                <w:szCs w:val="16"/>
              </w:rPr>
              <w:t>18,906</w:t>
            </w:r>
          </w:p>
        </w:tc>
      </w:tr>
      <w:tr w:rsidR="005C29F8" w:rsidRPr="005C29F8" w14:paraId="60B80599" w14:textId="77777777" w:rsidTr="00AB0D6A">
        <w:trPr>
          <w:cantSplit/>
        </w:trPr>
        <w:tc>
          <w:tcPr>
            <w:tcW w:w="1207" w:type="pct"/>
            <w:shd w:val="clear" w:color="auto" w:fill="auto"/>
          </w:tcPr>
          <w:p w14:paraId="537B7EF5" w14:textId="78919E40" w:rsidR="0049134B" w:rsidRPr="005C29F8" w:rsidRDefault="002B7490">
            <w:pPr>
              <w:jc w:val="center"/>
              <w:rPr>
                <w:rFonts w:cs="Arial"/>
                <w:color w:val="000000" w:themeColor="text1"/>
                <w:szCs w:val="16"/>
              </w:rPr>
            </w:pPr>
            <w:r w:rsidRPr="005C29F8">
              <w:rPr>
                <w:rFonts w:cs="Arial"/>
                <w:color w:val="000000" w:themeColor="text1"/>
                <w:szCs w:val="16"/>
              </w:rPr>
              <w:t>SY 2019-20 Child Count/Educational Environment Data Groups (EDFacts file spec FS089; Data group 613)</w:t>
            </w:r>
          </w:p>
        </w:tc>
        <w:tc>
          <w:tcPr>
            <w:tcW w:w="1001" w:type="pct"/>
            <w:shd w:val="clear" w:color="auto" w:fill="auto"/>
          </w:tcPr>
          <w:p w14:paraId="43C268D3" w14:textId="0570F284" w:rsidR="0049134B" w:rsidRPr="005C29F8" w:rsidRDefault="002B7490">
            <w:pPr>
              <w:jc w:val="center"/>
              <w:rPr>
                <w:rFonts w:cs="Arial"/>
                <w:color w:val="000000" w:themeColor="text1"/>
                <w:szCs w:val="16"/>
              </w:rPr>
            </w:pPr>
            <w:r w:rsidRPr="005C29F8">
              <w:rPr>
                <w:rFonts w:cs="Arial"/>
                <w:color w:val="000000" w:themeColor="text1"/>
                <w:szCs w:val="16"/>
              </w:rPr>
              <w:t>07/08/2020</w:t>
            </w:r>
          </w:p>
        </w:tc>
        <w:tc>
          <w:tcPr>
            <w:tcW w:w="1793" w:type="pct"/>
            <w:shd w:val="clear" w:color="auto" w:fill="auto"/>
            <w:vAlign w:val="bottom"/>
          </w:tcPr>
          <w:p w14:paraId="143C4F1B" w14:textId="07512ED2" w:rsidR="0049134B" w:rsidRPr="005C29F8" w:rsidRDefault="0049134B" w:rsidP="0049134B">
            <w:pPr>
              <w:rPr>
                <w:rFonts w:cs="Arial"/>
                <w:color w:val="000000" w:themeColor="text1"/>
                <w:szCs w:val="16"/>
              </w:rPr>
            </w:pPr>
            <w:r w:rsidRPr="005C29F8">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999" w:type="pct"/>
            <w:shd w:val="clear" w:color="auto" w:fill="auto"/>
            <w:vAlign w:val="bottom"/>
          </w:tcPr>
          <w:p w14:paraId="68B37A39" w14:textId="2743B28F" w:rsidR="0049134B" w:rsidRPr="005C29F8" w:rsidRDefault="002B7490" w:rsidP="00A018D4">
            <w:pPr>
              <w:jc w:val="center"/>
              <w:rPr>
                <w:rFonts w:cs="Arial"/>
                <w:color w:val="000000" w:themeColor="text1"/>
                <w:szCs w:val="16"/>
              </w:rPr>
            </w:pPr>
            <w:r w:rsidRPr="005C29F8">
              <w:rPr>
                <w:rFonts w:cs="Arial"/>
                <w:color w:val="000000" w:themeColor="text1"/>
                <w:szCs w:val="16"/>
              </w:rPr>
              <w:t>10,357</w:t>
            </w:r>
          </w:p>
        </w:tc>
      </w:tr>
      <w:tr w:rsidR="005C29F8" w:rsidRPr="005C29F8" w14:paraId="582B62E7" w14:textId="77777777" w:rsidTr="00AB0D6A">
        <w:trPr>
          <w:cantSplit/>
        </w:trPr>
        <w:tc>
          <w:tcPr>
            <w:tcW w:w="1207" w:type="pct"/>
            <w:shd w:val="clear" w:color="auto" w:fill="auto"/>
          </w:tcPr>
          <w:p w14:paraId="0EBBB486" w14:textId="59146FC5" w:rsidR="0049134B" w:rsidRPr="005C29F8" w:rsidRDefault="002B7490">
            <w:pPr>
              <w:jc w:val="center"/>
              <w:rPr>
                <w:rFonts w:cs="Arial"/>
                <w:color w:val="000000" w:themeColor="text1"/>
                <w:szCs w:val="16"/>
              </w:rPr>
            </w:pPr>
            <w:r w:rsidRPr="005C29F8">
              <w:rPr>
                <w:rFonts w:cs="Arial"/>
                <w:color w:val="000000" w:themeColor="text1"/>
                <w:szCs w:val="16"/>
              </w:rPr>
              <w:t>SY 2019-20 Child Count/Educational Environment Data Groups (EDFacts file spec FS089; Data group 613)</w:t>
            </w:r>
          </w:p>
        </w:tc>
        <w:tc>
          <w:tcPr>
            <w:tcW w:w="1001" w:type="pct"/>
            <w:shd w:val="clear" w:color="auto" w:fill="auto"/>
          </w:tcPr>
          <w:p w14:paraId="52092869" w14:textId="0010ACCA" w:rsidR="0049134B" w:rsidRPr="005C29F8" w:rsidRDefault="002B7490">
            <w:pPr>
              <w:jc w:val="center"/>
              <w:rPr>
                <w:rFonts w:cs="Arial"/>
                <w:color w:val="000000" w:themeColor="text1"/>
                <w:szCs w:val="16"/>
              </w:rPr>
            </w:pPr>
            <w:r w:rsidRPr="005C29F8">
              <w:rPr>
                <w:rFonts w:cs="Arial"/>
                <w:color w:val="000000" w:themeColor="text1"/>
                <w:szCs w:val="16"/>
              </w:rPr>
              <w:t>07/08/2020</w:t>
            </w:r>
          </w:p>
        </w:tc>
        <w:tc>
          <w:tcPr>
            <w:tcW w:w="1793" w:type="pct"/>
            <w:shd w:val="clear" w:color="auto" w:fill="auto"/>
            <w:vAlign w:val="bottom"/>
          </w:tcPr>
          <w:p w14:paraId="446012AB" w14:textId="507DD720" w:rsidR="0049134B" w:rsidRPr="005C29F8" w:rsidRDefault="0049134B" w:rsidP="0049134B">
            <w:pPr>
              <w:rPr>
                <w:rFonts w:cs="Arial"/>
                <w:color w:val="000000" w:themeColor="text1"/>
                <w:szCs w:val="16"/>
              </w:rPr>
            </w:pPr>
            <w:r w:rsidRPr="005C29F8">
              <w:rPr>
                <w:rFonts w:cs="Arial"/>
                <w:color w:val="000000" w:themeColor="text1"/>
                <w:szCs w:val="16"/>
              </w:rPr>
              <w:t>b1. Number of children attending separate special education class</w:t>
            </w:r>
          </w:p>
        </w:tc>
        <w:tc>
          <w:tcPr>
            <w:tcW w:w="999" w:type="pct"/>
            <w:shd w:val="clear" w:color="auto" w:fill="auto"/>
            <w:vAlign w:val="bottom"/>
          </w:tcPr>
          <w:p w14:paraId="34B911BF" w14:textId="2E3DCD80" w:rsidR="0049134B" w:rsidRPr="005C29F8" w:rsidRDefault="002B7490" w:rsidP="00A018D4">
            <w:pPr>
              <w:jc w:val="center"/>
              <w:rPr>
                <w:rFonts w:cs="Arial"/>
                <w:color w:val="000000" w:themeColor="text1"/>
                <w:szCs w:val="16"/>
              </w:rPr>
            </w:pPr>
            <w:r w:rsidRPr="005C29F8">
              <w:rPr>
                <w:rFonts w:cs="Arial"/>
                <w:color w:val="000000" w:themeColor="text1"/>
                <w:szCs w:val="16"/>
              </w:rPr>
              <w:t>3,048</w:t>
            </w:r>
          </w:p>
        </w:tc>
      </w:tr>
      <w:tr w:rsidR="005C29F8" w:rsidRPr="005C29F8" w14:paraId="5F08FCEF" w14:textId="77777777" w:rsidTr="00AB0D6A">
        <w:trPr>
          <w:cantSplit/>
        </w:trPr>
        <w:tc>
          <w:tcPr>
            <w:tcW w:w="1207" w:type="pct"/>
            <w:shd w:val="clear" w:color="auto" w:fill="auto"/>
          </w:tcPr>
          <w:p w14:paraId="137E24B8" w14:textId="1AC17B28" w:rsidR="0049134B" w:rsidRPr="005C29F8" w:rsidRDefault="002B7490">
            <w:pPr>
              <w:jc w:val="center"/>
              <w:rPr>
                <w:rFonts w:cs="Arial"/>
                <w:color w:val="000000" w:themeColor="text1"/>
                <w:szCs w:val="16"/>
              </w:rPr>
            </w:pPr>
            <w:r w:rsidRPr="005C29F8">
              <w:rPr>
                <w:rFonts w:cs="Arial"/>
                <w:color w:val="000000" w:themeColor="text1"/>
                <w:szCs w:val="16"/>
              </w:rPr>
              <w:t>SY 2019-20 Child Count/Educational Environment Data Groups (EDFacts file spec FS089; Data group 613)</w:t>
            </w:r>
          </w:p>
        </w:tc>
        <w:tc>
          <w:tcPr>
            <w:tcW w:w="1001" w:type="pct"/>
            <w:shd w:val="clear" w:color="auto" w:fill="auto"/>
          </w:tcPr>
          <w:p w14:paraId="6953506D" w14:textId="0B9E62BC" w:rsidR="0049134B" w:rsidRPr="005C29F8" w:rsidRDefault="002B7490">
            <w:pPr>
              <w:jc w:val="center"/>
              <w:rPr>
                <w:rFonts w:cs="Arial"/>
                <w:color w:val="000000" w:themeColor="text1"/>
                <w:szCs w:val="16"/>
              </w:rPr>
            </w:pPr>
            <w:r w:rsidRPr="005C29F8">
              <w:rPr>
                <w:rFonts w:cs="Arial"/>
                <w:color w:val="000000" w:themeColor="text1"/>
                <w:szCs w:val="16"/>
              </w:rPr>
              <w:t>07/08/2020</w:t>
            </w:r>
          </w:p>
        </w:tc>
        <w:tc>
          <w:tcPr>
            <w:tcW w:w="1793" w:type="pct"/>
            <w:shd w:val="clear" w:color="auto" w:fill="auto"/>
            <w:vAlign w:val="bottom"/>
          </w:tcPr>
          <w:p w14:paraId="3C415E88" w14:textId="06B2C03E" w:rsidR="0049134B" w:rsidRPr="005C29F8" w:rsidRDefault="0049134B" w:rsidP="0049134B">
            <w:pPr>
              <w:rPr>
                <w:rFonts w:cs="Arial"/>
                <w:color w:val="000000" w:themeColor="text1"/>
                <w:szCs w:val="16"/>
              </w:rPr>
            </w:pPr>
            <w:r w:rsidRPr="005C29F8">
              <w:rPr>
                <w:rFonts w:cs="Arial"/>
                <w:color w:val="000000" w:themeColor="text1"/>
                <w:szCs w:val="16"/>
              </w:rPr>
              <w:t>b2. Number of children attending separate school</w:t>
            </w:r>
          </w:p>
        </w:tc>
        <w:tc>
          <w:tcPr>
            <w:tcW w:w="999" w:type="pct"/>
            <w:shd w:val="clear" w:color="auto" w:fill="auto"/>
            <w:vAlign w:val="bottom"/>
          </w:tcPr>
          <w:p w14:paraId="32D467B1" w14:textId="6A01816F" w:rsidR="0049134B" w:rsidRPr="005C29F8" w:rsidRDefault="002B7490" w:rsidP="00A018D4">
            <w:pPr>
              <w:jc w:val="center"/>
              <w:rPr>
                <w:rFonts w:cs="Arial"/>
                <w:color w:val="000000" w:themeColor="text1"/>
                <w:szCs w:val="16"/>
              </w:rPr>
            </w:pPr>
            <w:r w:rsidRPr="005C29F8">
              <w:rPr>
                <w:rFonts w:cs="Arial"/>
                <w:color w:val="000000" w:themeColor="text1"/>
                <w:szCs w:val="16"/>
              </w:rPr>
              <w:t>170</w:t>
            </w:r>
          </w:p>
        </w:tc>
      </w:tr>
      <w:tr w:rsidR="005C29F8" w:rsidRPr="005C29F8" w14:paraId="285801C1" w14:textId="77777777" w:rsidTr="00AB0D6A">
        <w:trPr>
          <w:cantSplit/>
        </w:trPr>
        <w:tc>
          <w:tcPr>
            <w:tcW w:w="1207" w:type="pct"/>
            <w:shd w:val="clear" w:color="auto" w:fill="auto"/>
          </w:tcPr>
          <w:p w14:paraId="76DC4B44" w14:textId="563E860F" w:rsidR="0049134B" w:rsidRPr="005C29F8" w:rsidRDefault="002B7490">
            <w:pPr>
              <w:jc w:val="center"/>
              <w:rPr>
                <w:rFonts w:cs="Arial"/>
                <w:color w:val="000000" w:themeColor="text1"/>
                <w:szCs w:val="16"/>
              </w:rPr>
            </w:pPr>
            <w:r w:rsidRPr="005C29F8">
              <w:rPr>
                <w:rFonts w:cs="Arial"/>
                <w:color w:val="000000" w:themeColor="text1"/>
                <w:szCs w:val="16"/>
              </w:rPr>
              <w:t>SY 2019-20 Child Count/Educational Environment Data Groups (EDFacts file spec FS089; Data group 613)</w:t>
            </w:r>
          </w:p>
        </w:tc>
        <w:tc>
          <w:tcPr>
            <w:tcW w:w="1001" w:type="pct"/>
            <w:shd w:val="clear" w:color="auto" w:fill="auto"/>
          </w:tcPr>
          <w:p w14:paraId="7C4065DD" w14:textId="37A9DD65" w:rsidR="0049134B" w:rsidRPr="005C29F8" w:rsidRDefault="002B7490">
            <w:pPr>
              <w:jc w:val="center"/>
              <w:rPr>
                <w:rFonts w:cs="Arial"/>
                <w:color w:val="000000" w:themeColor="text1"/>
                <w:szCs w:val="16"/>
              </w:rPr>
            </w:pPr>
            <w:r w:rsidRPr="005C29F8">
              <w:rPr>
                <w:rFonts w:cs="Arial"/>
                <w:color w:val="000000" w:themeColor="text1"/>
                <w:szCs w:val="16"/>
              </w:rPr>
              <w:t>07/08/2020</w:t>
            </w:r>
          </w:p>
        </w:tc>
        <w:tc>
          <w:tcPr>
            <w:tcW w:w="1793" w:type="pct"/>
            <w:shd w:val="clear" w:color="auto" w:fill="auto"/>
            <w:vAlign w:val="bottom"/>
          </w:tcPr>
          <w:p w14:paraId="4D90BA5B" w14:textId="1285C74B" w:rsidR="0049134B" w:rsidRPr="005C29F8" w:rsidRDefault="0049134B" w:rsidP="0049134B">
            <w:pPr>
              <w:rPr>
                <w:rFonts w:cs="Arial"/>
                <w:color w:val="000000" w:themeColor="text1"/>
                <w:szCs w:val="16"/>
              </w:rPr>
            </w:pPr>
            <w:r w:rsidRPr="005C29F8">
              <w:rPr>
                <w:rFonts w:cs="Arial"/>
                <w:color w:val="000000" w:themeColor="text1"/>
                <w:szCs w:val="16"/>
              </w:rPr>
              <w:t>b3. Number of children attending residential facility</w:t>
            </w:r>
          </w:p>
        </w:tc>
        <w:tc>
          <w:tcPr>
            <w:tcW w:w="999" w:type="pct"/>
            <w:shd w:val="clear" w:color="auto" w:fill="auto"/>
            <w:vAlign w:val="bottom"/>
          </w:tcPr>
          <w:p w14:paraId="444A24A0" w14:textId="4E438A54" w:rsidR="0049134B" w:rsidRPr="005C29F8" w:rsidRDefault="002B7490" w:rsidP="00A018D4">
            <w:pPr>
              <w:jc w:val="center"/>
              <w:rPr>
                <w:rFonts w:cs="Arial"/>
                <w:color w:val="000000" w:themeColor="text1"/>
                <w:szCs w:val="16"/>
              </w:rPr>
            </w:pPr>
            <w:r w:rsidRPr="005C29F8">
              <w:rPr>
                <w:rFonts w:cs="Arial"/>
                <w:color w:val="000000" w:themeColor="text1"/>
                <w:szCs w:val="16"/>
              </w:rPr>
              <w:t>1</w:t>
            </w:r>
          </w:p>
        </w:tc>
      </w:tr>
    </w:tbl>
    <w:p w14:paraId="68A2C8C5" w14:textId="4EBE62FD" w:rsidR="00AB2A39" w:rsidRDefault="00AB2A39" w:rsidP="004369B2">
      <w:pPr>
        <w:rPr>
          <w:color w:val="000000" w:themeColor="text1"/>
        </w:rPr>
      </w:pPr>
    </w:p>
    <w:p w14:paraId="051F4366" w14:textId="77777777" w:rsidR="00C910BC" w:rsidRPr="005C29F8" w:rsidRDefault="00C910BC" w:rsidP="00C910BC">
      <w:pPr>
        <w:rPr>
          <w:b/>
          <w:color w:val="000000" w:themeColor="text1"/>
        </w:rPr>
      </w:pPr>
      <w:r w:rsidRPr="005C29F8">
        <w:rPr>
          <w:b/>
          <w:color w:val="000000" w:themeColor="text1"/>
        </w:rPr>
        <w:t>Select yes if the data reported in this indicator are not the same as the State’s data reported under section 618 of the IDEA.</w:t>
      </w:r>
    </w:p>
    <w:p w14:paraId="1B696537" w14:textId="29C6B4ED" w:rsidR="00C910BC" w:rsidRDefault="00C910BC" w:rsidP="00C910BC">
      <w:pPr>
        <w:rPr>
          <w:color w:val="000000" w:themeColor="text1"/>
        </w:rPr>
      </w:pPr>
      <w:r w:rsidRPr="005C29F8">
        <w:rPr>
          <w:color w:val="000000" w:themeColor="text1"/>
        </w:rPr>
        <w:t>NO</w:t>
      </w:r>
    </w:p>
    <w:p w14:paraId="78E85C06" w14:textId="77777777" w:rsidR="00C910BC" w:rsidRPr="005C29F8" w:rsidRDefault="00C910BC" w:rsidP="004369B2">
      <w:pPr>
        <w:rPr>
          <w:color w:val="000000" w:themeColor="text1"/>
        </w:rPr>
      </w:pPr>
    </w:p>
    <w:p w14:paraId="1F976CE1" w14:textId="5FBDD1FE" w:rsidR="008751D3" w:rsidRDefault="008751D3" w:rsidP="004369B2">
      <w:pPr>
        <w:rPr>
          <w:b/>
          <w:color w:val="000000" w:themeColor="text1"/>
        </w:rPr>
      </w:pPr>
      <w:r w:rsidRPr="005C29F8">
        <w:rPr>
          <w:b/>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FFYAPRDATA1"/>
      </w:tblPr>
      <w:tblGrid>
        <w:gridCol w:w="2964"/>
        <w:gridCol w:w="1118"/>
        <w:gridCol w:w="1118"/>
        <w:gridCol w:w="1118"/>
        <w:gridCol w:w="1118"/>
        <w:gridCol w:w="1118"/>
        <w:gridCol w:w="1118"/>
        <w:gridCol w:w="1118"/>
      </w:tblGrid>
      <w:tr w:rsidR="007239EC" w:rsidRPr="005C29F8" w14:paraId="472E6473" w14:textId="77777777" w:rsidTr="007239EC">
        <w:trPr>
          <w:trHeight w:val="354"/>
          <w:tblHeader/>
        </w:trPr>
        <w:tc>
          <w:tcPr>
            <w:tcW w:w="1373" w:type="pct"/>
            <w:shd w:val="clear" w:color="auto" w:fill="auto"/>
            <w:vAlign w:val="bottom"/>
          </w:tcPr>
          <w:p w14:paraId="724FE2D5" w14:textId="77777777" w:rsidR="007239EC" w:rsidRPr="005C29F8" w:rsidRDefault="007239EC" w:rsidP="00984039">
            <w:pPr>
              <w:jc w:val="center"/>
              <w:rPr>
                <w:rFonts w:cs="Arial"/>
                <w:b/>
                <w:color w:val="000000" w:themeColor="text1"/>
                <w:szCs w:val="16"/>
              </w:rPr>
            </w:pPr>
            <w:r w:rsidRPr="0033429D">
              <w:rPr>
                <w:rFonts w:cs="Arial"/>
                <w:b/>
                <w:color w:val="000000" w:themeColor="text1"/>
                <w:szCs w:val="16"/>
              </w:rPr>
              <w:t>Preschool Environments</w:t>
            </w:r>
          </w:p>
        </w:tc>
        <w:tc>
          <w:tcPr>
            <w:tcW w:w="518" w:type="pct"/>
            <w:shd w:val="clear" w:color="auto" w:fill="auto"/>
            <w:vAlign w:val="bottom"/>
          </w:tcPr>
          <w:p w14:paraId="7DBDF565" w14:textId="77777777" w:rsidR="007239EC" w:rsidRPr="005C29F8" w:rsidRDefault="007239EC" w:rsidP="00984039">
            <w:pPr>
              <w:jc w:val="center"/>
              <w:rPr>
                <w:rFonts w:cs="Arial"/>
                <w:b/>
                <w:color w:val="000000" w:themeColor="text1"/>
                <w:szCs w:val="16"/>
              </w:rPr>
            </w:pPr>
            <w:r w:rsidRPr="005C29F8">
              <w:rPr>
                <w:rFonts w:cs="Arial"/>
                <w:b/>
                <w:color w:val="000000" w:themeColor="text1"/>
                <w:szCs w:val="16"/>
              </w:rPr>
              <w:t>Number of children with IEPs aged 3 through 5 served</w:t>
            </w:r>
          </w:p>
        </w:tc>
        <w:tc>
          <w:tcPr>
            <w:tcW w:w="518" w:type="pct"/>
            <w:shd w:val="clear" w:color="auto" w:fill="auto"/>
            <w:vAlign w:val="bottom"/>
          </w:tcPr>
          <w:p w14:paraId="7B7C12CF" w14:textId="77777777" w:rsidR="007239EC" w:rsidRPr="005C29F8" w:rsidRDefault="007239EC" w:rsidP="00984039">
            <w:pPr>
              <w:jc w:val="center"/>
              <w:rPr>
                <w:rFonts w:cs="Arial"/>
                <w:b/>
                <w:color w:val="000000" w:themeColor="text1"/>
                <w:szCs w:val="16"/>
              </w:rPr>
            </w:pPr>
            <w:r w:rsidRPr="005C29F8">
              <w:rPr>
                <w:rFonts w:cs="Arial"/>
                <w:b/>
                <w:color w:val="000000" w:themeColor="text1"/>
                <w:szCs w:val="16"/>
              </w:rPr>
              <w:t>Total number of children with IEPs aged 3 through 5</w:t>
            </w:r>
          </w:p>
        </w:tc>
        <w:tc>
          <w:tcPr>
            <w:tcW w:w="518" w:type="pct"/>
            <w:shd w:val="clear" w:color="auto" w:fill="auto"/>
            <w:vAlign w:val="bottom"/>
          </w:tcPr>
          <w:p w14:paraId="61EA776C" w14:textId="77777777" w:rsidR="007239EC" w:rsidRPr="005C29F8" w:rsidRDefault="007239EC" w:rsidP="00984039">
            <w:pPr>
              <w:jc w:val="center"/>
              <w:rPr>
                <w:rFonts w:cs="Arial"/>
                <w:b/>
                <w:color w:val="000000" w:themeColor="text1"/>
                <w:szCs w:val="16"/>
              </w:rPr>
            </w:pPr>
            <w:r w:rsidRPr="005C29F8">
              <w:rPr>
                <w:rFonts w:cs="Arial"/>
                <w:b/>
                <w:color w:val="000000" w:themeColor="text1"/>
                <w:szCs w:val="16"/>
              </w:rPr>
              <w:t>FFY 2018 Data</w:t>
            </w:r>
          </w:p>
        </w:tc>
        <w:tc>
          <w:tcPr>
            <w:tcW w:w="518" w:type="pct"/>
            <w:shd w:val="clear" w:color="auto" w:fill="auto"/>
            <w:vAlign w:val="bottom"/>
          </w:tcPr>
          <w:p w14:paraId="7AF45D8C" w14:textId="77777777" w:rsidR="007239EC" w:rsidRPr="005C29F8" w:rsidRDefault="007239EC" w:rsidP="00984039">
            <w:pPr>
              <w:jc w:val="center"/>
              <w:rPr>
                <w:rFonts w:cs="Arial"/>
                <w:b/>
                <w:color w:val="000000" w:themeColor="text1"/>
                <w:szCs w:val="16"/>
              </w:rPr>
            </w:pPr>
            <w:r w:rsidRPr="005C29F8">
              <w:rPr>
                <w:rFonts w:cs="Arial"/>
                <w:b/>
                <w:color w:val="000000" w:themeColor="text1"/>
                <w:szCs w:val="16"/>
              </w:rPr>
              <w:t>FFY 2019 Target</w:t>
            </w:r>
          </w:p>
        </w:tc>
        <w:tc>
          <w:tcPr>
            <w:tcW w:w="518" w:type="pct"/>
            <w:shd w:val="clear" w:color="auto" w:fill="auto"/>
            <w:vAlign w:val="bottom"/>
          </w:tcPr>
          <w:p w14:paraId="0BB5B29B" w14:textId="77777777" w:rsidR="007239EC" w:rsidRPr="005C29F8" w:rsidRDefault="007239EC" w:rsidP="00984039">
            <w:pPr>
              <w:jc w:val="center"/>
              <w:rPr>
                <w:rFonts w:cs="Arial"/>
                <w:b/>
                <w:color w:val="000000" w:themeColor="text1"/>
                <w:szCs w:val="16"/>
              </w:rPr>
            </w:pPr>
            <w:r w:rsidRPr="005C29F8">
              <w:rPr>
                <w:rFonts w:cs="Arial"/>
                <w:b/>
                <w:color w:val="000000" w:themeColor="text1"/>
                <w:szCs w:val="16"/>
              </w:rPr>
              <w:t>FFY 2019 Data</w:t>
            </w:r>
          </w:p>
        </w:tc>
        <w:tc>
          <w:tcPr>
            <w:tcW w:w="518" w:type="pct"/>
            <w:shd w:val="clear" w:color="auto" w:fill="auto"/>
            <w:vAlign w:val="bottom"/>
          </w:tcPr>
          <w:p w14:paraId="5491A9C4" w14:textId="77777777" w:rsidR="007239EC" w:rsidRPr="005C29F8" w:rsidRDefault="007239EC" w:rsidP="00984039">
            <w:pPr>
              <w:jc w:val="center"/>
              <w:rPr>
                <w:rFonts w:cs="Arial"/>
                <w:b/>
                <w:color w:val="000000" w:themeColor="text1"/>
                <w:szCs w:val="16"/>
              </w:rPr>
            </w:pPr>
            <w:r w:rsidRPr="005C29F8">
              <w:rPr>
                <w:rFonts w:cs="Arial"/>
                <w:b/>
                <w:color w:val="000000" w:themeColor="text1"/>
                <w:szCs w:val="16"/>
              </w:rPr>
              <w:t>Status</w:t>
            </w:r>
          </w:p>
        </w:tc>
        <w:tc>
          <w:tcPr>
            <w:tcW w:w="518" w:type="pct"/>
            <w:shd w:val="clear" w:color="auto" w:fill="auto"/>
            <w:vAlign w:val="bottom"/>
          </w:tcPr>
          <w:p w14:paraId="732AACA6" w14:textId="77777777" w:rsidR="007239EC" w:rsidRPr="005C29F8" w:rsidRDefault="007239EC" w:rsidP="00984039">
            <w:pPr>
              <w:jc w:val="center"/>
              <w:rPr>
                <w:rFonts w:cs="Arial"/>
                <w:b/>
                <w:color w:val="000000" w:themeColor="text1"/>
                <w:szCs w:val="16"/>
              </w:rPr>
            </w:pPr>
            <w:r w:rsidRPr="005C29F8">
              <w:rPr>
                <w:rFonts w:cs="Arial"/>
                <w:b/>
                <w:color w:val="000000" w:themeColor="text1"/>
                <w:szCs w:val="16"/>
              </w:rPr>
              <w:t>Slippage</w:t>
            </w:r>
          </w:p>
        </w:tc>
      </w:tr>
      <w:tr w:rsidR="007239EC" w:rsidRPr="005C29F8" w14:paraId="4AC54948" w14:textId="77777777" w:rsidTr="007239EC">
        <w:trPr>
          <w:trHeight w:val="917"/>
        </w:trPr>
        <w:tc>
          <w:tcPr>
            <w:tcW w:w="1373" w:type="pct"/>
            <w:shd w:val="clear" w:color="auto" w:fill="auto"/>
            <w:vAlign w:val="center"/>
          </w:tcPr>
          <w:p w14:paraId="59D06B43" w14:textId="77777777" w:rsidR="007239EC" w:rsidRPr="005C29F8" w:rsidRDefault="007239EC" w:rsidP="00984039">
            <w:pPr>
              <w:rPr>
                <w:rFonts w:cs="Arial"/>
                <w:color w:val="000000" w:themeColor="text1"/>
                <w:szCs w:val="16"/>
              </w:rPr>
            </w:pPr>
            <w:r w:rsidRPr="005C29F8">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BAFE13A"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10,357</w:t>
            </w:r>
          </w:p>
          <w:p w14:paraId="15603987" w14:textId="77777777" w:rsidR="007239EC" w:rsidRPr="005C29F8" w:rsidRDefault="007239EC" w:rsidP="00984039">
            <w:pPr>
              <w:jc w:val="center"/>
              <w:rPr>
                <w:rFonts w:cs="Arial"/>
                <w:color w:val="000000" w:themeColor="text1"/>
                <w:szCs w:val="16"/>
              </w:rPr>
            </w:pPr>
          </w:p>
        </w:tc>
        <w:tc>
          <w:tcPr>
            <w:tcW w:w="518" w:type="pct"/>
            <w:shd w:val="clear" w:color="auto" w:fill="auto"/>
            <w:vAlign w:val="center"/>
          </w:tcPr>
          <w:p w14:paraId="278BA026"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18,906</w:t>
            </w:r>
          </w:p>
        </w:tc>
        <w:tc>
          <w:tcPr>
            <w:tcW w:w="518" w:type="pct"/>
            <w:shd w:val="clear" w:color="auto" w:fill="auto"/>
            <w:vAlign w:val="center"/>
          </w:tcPr>
          <w:p w14:paraId="328B9CCF"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54.76%</w:t>
            </w:r>
          </w:p>
        </w:tc>
        <w:tc>
          <w:tcPr>
            <w:tcW w:w="518" w:type="pct"/>
            <w:shd w:val="clear" w:color="auto" w:fill="auto"/>
            <w:vAlign w:val="center"/>
          </w:tcPr>
          <w:p w14:paraId="310B8439"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50.00%</w:t>
            </w:r>
          </w:p>
        </w:tc>
        <w:tc>
          <w:tcPr>
            <w:tcW w:w="518" w:type="pct"/>
            <w:shd w:val="clear" w:color="auto" w:fill="auto"/>
            <w:vAlign w:val="center"/>
          </w:tcPr>
          <w:p w14:paraId="21DC3C13"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54.78%</w:t>
            </w:r>
          </w:p>
        </w:tc>
        <w:tc>
          <w:tcPr>
            <w:tcW w:w="518" w:type="pct"/>
            <w:shd w:val="clear" w:color="auto" w:fill="auto"/>
            <w:vAlign w:val="center"/>
          </w:tcPr>
          <w:p w14:paraId="18F975AE"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Met Target</w:t>
            </w:r>
          </w:p>
        </w:tc>
        <w:tc>
          <w:tcPr>
            <w:tcW w:w="518" w:type="pct"/>
            <w:shd w:val="clear" w:color="auto" w:fill="auto"/>
            <w:vAlign w:val="center"/>
          </w:tcPr>
          <w:p w14:paraId="35244058"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No Slippage</w:t>
            </w:r>
          </w:p>
        </w:tc>
      </w:tr>
      <w:tr w:rsidR="007239EC" w:rsidRPr="005C29F8" w14:paraId="7768AF6B" w14:textId="77777777" w:rsidTr="007239EC">
        <w:trPr>
          <w:trHeight w:val="361"/>
        </w:trPr>
        <w:tc>
          <w:tcPr>
            <w:tcW w:w="1373" w:type="pct"/>
            <w:shd w:val="clear" w:color="auto" w:fill="auto"/>
            <w:vAlign w:val="center"/>
          </w:tcPr>
          <w:p w14:paraId="0D993CC8" w14:textId="77777777" w:rsidR="007239EC" w:rsidRPr="005C29F8" w:rsidRDefault="007239EC" w:rsidP="00984039">
            <w:pPr>
              <w:rPr>
                <w:rFonts w:cs="Arial"/>
                <w:color w:val="000000" w:themeColor="text1"/>
                <w:szCs w:val="16"/>
              </w:rPr>
            </w:pPr>
            <w:r w:rsidRPr="005C29F8">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4ABD6E2B"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3,219</w:t>
            </w:r>
          </w:p>
        </w:tc>
        <w:tc>
          <w:tcPr>
            <w:tcW w:w="518" w:type="pct"/>
            <w:shd w:val="clear" w:color="auto" w:fill="auto"/>
            <w:vAlign w:val="center"/>
          </w:tcPr>
          <w:p w14:paraId="60383339"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18,906</w:t>
            </w:r>
          </w:p>
        </w:tc>
        <w:tc>
          <w:tcPr>
            <w:tcW w:w="518" w:type="pct"/>
            <w:shd w:val="clear" w:color="auto" w:fill="auto"/>
            <w:vAlign w:val="center"/>
          </w:tcPr>
          <w:p w14:paraId="6711F61C"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16.19%</w:t>
            </w:r>
          </w:p>
        </w:tc>
        <w:tc>
          <w:tcPr>
            <w:tcW w:w="518" w:type="pct"/>
            <w:shd w:val="clear" w:color="auto" w:fill="auto"/>
            <w:vAlign w:val="center"/>
          </w:tcPr>
          <w:p w14:paraId="371B794C"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12.40%</w:t>
            </w:r>
          </w:p>
        </w:tc>
        <w:tc>
          <w:tcPr>
            <w:tcW w:w="518" w:type="pct"/>
            <w:shd w:val="clear" w:color="auto" w:fill="auto"/>
            <w:vAlign w:val="center"/>
          </w:tcPr>
          <w:p w14:paraId="34092C61"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17.03%</w:t>
            </w:r>
          </w:p>
        </w:tc>
        <w:tc>
          <w:tcPr>
            <w:tcW w:w="518" w:type="pct"/>
            <w:shd w:val="clear" w:color="auto" w:fill="auto"/>
            <w:vAlign w:val="center"/>
          </w:tcPr>
          <w:p w14:paraId="5EF861EC"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Did Not Meet Target</w:t>
            </w:r>
          </w:p>
        </w:tc>
        <w:tc>
          <w:tcPr>
            <w:tcW w:w="518" w:type="pct"/>
            <w:shd w:val="clear" w:color="auto" w:fill="auto"/>
            <w:vAlign w:val="center"/>
          </w:tcPr>
          <w:p w14:paraId="79D18F05" w14:textId="77777777" w:rsidR="007239EC" w:rsidRPr="005C29F8" w:rsidRDefault="007239EC" w:rsidP="00984039">
            <w:pPr>
              <w:jc w:val="center"/>
              <w:rPr>
                <w:rFonts w:cs="Arial"/>
                <w:color w:val="000000" w:themeColor="text1"/>
                <w:szCs w:val="16"/>
              </w:rPr>
            </w:pPr>
            <w:r w:rsidRPr="005C29F8">
              <w:rPr>
                <w:rFonts w:cs="Arial"/>
                <w:color w:val="000000" w:themeColor="text1"/>
                <w:szCs w:val="16"/>
              </w:rPr>
              <w:t>No Slippage</w:t>
            </w:r>
          </w:p>
        </w:tc>
      </w:tr>
    </w:tbl>
    <w:p w14:paraId="18689B3C" w14:textId="4ECDB419" w:rsidR="007F50EE" w:rsidRPr="005C29F8" w:rsidRDefault="007F50EE" w:rsidP="00BB7BC9">
      <w:pPr>
        <w:rPr>
          <w:rFonts w:cs="Arial"/>
          <w:b/>
          <w:color w:val="000000" w:themeColor="text1"/>
          <w:szCs w:val="16"/>
        </w:rPr>
      </w:pPr>
      <w:r w:rsidRPr="005C29F8">
        <w:rPr>
          <w:rFonts w:cs="Arial"/>
          <w:b/>
          <w:color w:val="000000" w:themeColor="text1"/>
          <w:szCs w:val="16"/>
        </w:rPr>
        <w:t xml:space="preserve">Use a different calculation methodology (yes/no) </w:t>
      </w:r>
    </w:p>
    <w:p w14:paraId="1467EF31" w14:textId="4E424B30" w:rsidR="007F50EE" w:rsidRDefault="007F50EE" w:rsidP="00BB7BC9">
      <w:pPr>
        <w:rPr>
          <w:rFonts w:cs="Arial"/>
          <w:color w:val="000000" w:themeColor="text1"/>
          <w:szCs w:val="16"/>
        </w:rPr>
      </w:pPr>
      <w:r w:rsidRPr="005C29F8">
        <w:rPr>
          <w:rFonts w:cs="Arial"/>
          <w:color w:val="000000" w:themeColor="text1"/>
          <w:szCs w:val="16"/>
        </w:rPr>
        <w:t>NO</w:t>
      </w:r>
    </w:p>
    <w:p w14:paraId="21FD52FD" w14:textId="77777777" w:rsidR="002441FF" w:rsidRDefault="002441FF" w:rsidP="004369B2">
      <w:pPr>
        <w:rPr>
          <w:b/>
          <w:color w:val="000000" w:themeColor="text1"/>
        </w:rPr>
      </w:pPr>
    </w:p>
    <w:p w14:paraId="1157162F" w14:textId="77777777" w:rsidR="002441FF" w:rsidRPr="005C29F8" w:rsidRDefault="002441FF" w:rsidP="002441FF">
      <w:pPr>
        <w:rPr>
          <w:rFonts w:cs="Arial"/>
          <w:color w:val="000000" w:themeColor="text1"/>
          <w:szCs w:val="16"/>
        </w:rPr>
      </w:pPr>
    </w:p>
    <w:p w14:paraId="11B24ABD" w14:textId="77777777" w:rsidR="00221EC9" w:rsidRPr="005C29F8" w:rsidRDefault="00221EC9" w:rsidP="004369B2">
      <w:pPr>
        <w:rPr>
          <w:b/>
          <w:color w:val="000000" w:themeColor="text1"/>
        </w:rPr>
      </w:pPr>
      <w:r w:rsidRPr="005C29F8">
        <w:rPr>
          <w:b/>
          <w:color w:val="000000" w:themeColor="text1"/>
        </w:rPr>
        <w:t>Provide additional information about this indicator (optional)</w:t>
      </w:r>
    </w:p>
    <w:p w14:paraId="05D7B4D4" w14:textId="54FAD054" w:rsidR="003C308E" w:rsidRDefault="003C308E" w:rsidP="007D435F">
      <w:pPr>
        <w:rPr>
          <w:rFonts w:cs="Arial"/>
          <w:color w:val="000000" w:themeColor="text1"/>
          <w:szCs w:val="16"/>
        </w:rPr>
      </w:pPr>
    </w:p>
    <w:p w14:paraId="7DD4BC1C" w14:textId="33DA668A" w:rsidR="000A2C83" w:rsidRPr="0033429D" w:rsidRDefault="00C96236" w:rsidP="008645AD">
      <w:pPr>
        <w:pStyle w:val="Heading2"/>
      </w:pPr>
      <w:r w:rsidRPr="0033429D">
        <w:t>6</w:t>
      </w:r>
      <w:r w:rsidR="00C91B94" w:rsidRPr="0033429D">
        <w:t xml:space="preserve"> </w:t>
      </w:r>
      <w:r w:rsidRPr="0033429D">
        <w:t xml:space="preserve">- </w:t>
      </w:r>
      <w:r w:rsidR="000A2C83" w:rsidRPr="0033429D">
        <w:t>Prior FFY Required Actions</w:t>
      </w:r>
    </w:p>
    <w:p w14:paraId="566E0CF8" w14:textId="64232129" w:rsidR="00B1280F" w:rsidRPr="005C29F8" w:rsidRDefault="002B7490" w:rsidP="000A2C83">
      <w:pPr>
        <w:rPr>
          <w:rFonts w:cs="Arial"/>
          <w:color w:val="000000" w:themeColor="text1"/>
          <w:szCs w:val="16"/>
        </w:rPr>
      </w:pPr>
      <w:r w:rsidRPr="005C29F8">
        <w:rPr>
          <w:rFonts w:cs="Arial"/>
          <w:color w:val="000000" w:themeColor="text1"/>
          <w:szCs w:val="16"/>
        </w:rPr>
        <w:t>None</w:t>
      </w:r>
    </w:p>
    <w:p w14:paraId="7B71DC87" w14:textId="5C9C7EF8" w:rsidR="00221EC9" w:rsidRPr="0033429D" w:rsidRDefault="00C96236" w:rsidP="008645AD">
      <w:pPr>
        <w:pStyle w:val="Heading2"/>
      </w:pPr>
      <w:r w:rsidRPr="0033429D">
        <w:t>6 - OSEP Response</w:t>
      </w:r>
    </w:p>
    <w:p w14:paraId="39CF981B" w14:textId="16EA9F6F" w:rsidR="003C308E" w:rsidRPr="005C29F8" w:rsidRDefault="003C308E" w:rsidP="001F692C">
      <w:pPr>
        <w:rPr>
          <w:rFonts w:cs="Arial"/>
          <w:color w:val="000000" w:themeColor="text1"/>
          <w:szCs w:val="16"/>
        </w:rPr>
      </w:pPr>
    </w:p>
    <w:p w14:paraId="6337E261" w14:textId="7ABFCAD4" w:rsidR="00221EC9" w:rsidRPr="0033429D" w:rsidRDefault="00C96236" w:rsidP="008645AD">
      <w:pPr>
        <w:pStyle w:val="Heading2"/>
      </w:pPr>
      <w:r w:rsidRPr="0033429D">
        <w:t>6 - Required Actions</w:t>
      </w:r>
    </w:p>
    <w:p w14:paraId="4D0B397A" w14:textId="4B808E74" w:rsidR="003C308E" w:rsidRPr="005C29F8" w:rsidRDefault="003C308E" w:rsidP="001F692C">
      <w:pPr>
        <w:rPr>
          <w:rFonts w:cs="Arial"/>
          <w:color w:val="000000" w:themeColor="text1"/>
          <w:szCs w:val="16"/>
        </w:rPr>
      </w:pPr>
    </w:p>
    <w:p w14:paraId="2AA7BDE7" w14:textId="77777777" w:rsidR="00600E15" w:rsidRPr="005C29F8" w:rsidRDefault="00600E15">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26B1B256" w14:textId="29C391BC" w:rsidR="00D21EAA" w:rsidRPr="005C29F8" w:rsidRDefault="00D21EAA" w:rsidP="000444E2">
      <w:pPr>
        <w:pStyle w:val="Heading1"/>
        <w:rPr>
          <w:color w:val="000000" w:themeColor="text1"/>
          <w:sz w:val="22"/>
        </w:rPr>
      </w:pPr>
      <w:r w:rsidRPr="005C29F8">
        <w:rPr>
          <w:color w:val="000000" w:themeColor="text1"/>
          <w:sz w:val="22"/>
        </w:rPr>
        <w:lastRenderedPageBreak/>
        <w:t>Indicator 7: Preschool Outcomes</w:t>
      </w:r>
      <w:bookmarkEnd w:id="33"/>
      <w:bookmarkEnd w:id="34"/>
    </w:p>
    <w:p w14:paraId="1404DCF9" w14:textId="77777777" w:rsidR="00531E54" w:rsidRPr="005C29F8" w:rsidRDefault="00531E54" w:rsidP="00A018D4">
      <w:pPr>
        <w:rPr>
          <w:color w:val="000000" w:themeColor="text1"/>
          <w:szCs w:val="20"/>
        </w:rPr>
      </w:pPr>
      <w:bookmarkStart w:id="35" w:name="_Toc392159303"/>
      <w:r w:rsidRPr="005C29F8">
        <w:rPr>
          <w:b/>
          <w:color w:val="000000" w:themeColor="text1"/>
          <w:sz w:val="20"/>
          <w:szCs w:val="20"/>
        </w:rPr>
        <w:t>Instructions and Measurement</w:t>
      </w:r>
    </w:p>
    <w:p w14:paraId="0A136297" w14:textId="4837554F" w:rsidR="00CC634E" w:rsidRPr="005C29F8" w:rsidRDefault="00CC634E" w:rsidP="004369B2">
      <w:pPr>
        <w:rPr>
          <w:color w:val="000000" w:themeColor="text1"/>
        </w:rPr>
      </w:pPr>
      <w:r w:rsidRPr="005C29F8">
        <w:rPr>
          <w:b/>
          <w:color w:val="000000" w:themeColor="text1"/>
        </w:rPr>
        <w:t>Monitoring Priority:</w:t>
      </w:r>
      <w:r w:rsidRPr="005C29F8">
        <w:rPr>
          <w:color w:val="000000" w:themeColor="text1"/>
        </w:rPr>
        <w:t xml:space="preserve"> FAPE in the LRE</w:t>
      </w:r>
    </w:p>
    <w:p w14:paraId="24B9EA10" w14:textId="77777777" w:rsidR="00CC634E" w:rsidRPr="005C29F8" w:rsidRDefault="00CC634E" w:rsidP="0011074D">
      <w:pPr>
        <w:rPr>
          <w:rFonts w:cs="Arial"/>
          <w:color w:val="000000" w:themeColor="text1"/>
          <w:szCs w:val="16"/>
        </w:rPr>
      </w:pPr>
      <w:r w:rsidRPr="005C29F8">
        <w:rPr>
          <w:rFonts w:cs="Arial"/>
          <w:b/>
          <w:color w:val="000000" w:themeColor="text1"/>
          <w:szCs w:val="16"/>
        </w:rPr>
        <w:t>Results indicator:</w:t>
      </w:r>
      <w:r w:rsidRPr="005C29F8">
        <w:rPr>
          <w:rFonts w:cs="Arial"/>
          <w:color w:val="000000" w:themeColor="text1"/>
          <w:szCs w:val="16"/>
        </w:rPr>
        <w:t xml:space="preserve"> Percent of preschool children aged 3 through 5 with IEPs who demonstrate improved:</w:t>
      </w:r>
    </w:p>
    <w:p w14:paraId="0B552BED" w14:textId="43FF9A0A" w:rsidR="00CC634E" w:rsidRPr="005C29F8" w:rsidRDefault="00F006BC" w:rsidP="006A01BD">
      <w:pPr>
        <w:ind w:firstLine="720"/>
        <w:rPr>
          <w:rFonts w:cs="Arial"/>
          <w:color w:val="000000" w:themeColor="text1"/>
          <w:szCs w:val="16"/>
        </w:rPr>
      </w:pPr>
      <w:r w:rsidRPr="005C29F8">
        <w:rPr>
          <w:rFonts w:cs="Arial"/>
          <w:color w:val="000000" w:themeColor="text1"/>
          <w:szCs w:val="16"/>
        </w:rPr>
        <w:t>A. Positive social-emotional skills (including social relationships);</w:t>
      </w:r>
    </w:p>
    <w:p w14:paraId="5D82DAD8" w14:textId="740E047B" w:rsidR="00CC634E" w:rsidRPr="005C29F8" w:rsidRDefault="00F006BC" w:rsidP="006A01BD">
      <w:pPr>
        <w:ind w:firstLine="720"/>
        <w:rPr>
          <w:rFonts w:cs="Arial"/>
          <w:color w:val="000000" w:themeColor="text1"/>
          <w:szCs w:val="16"/>
        </w:rPr>
      </w:pPr>
      <w:r w:rsidRPr="005C29F8">
        <w:rPr>
          <w:rFonts w:cs="Arial"/>
          <w:color w:val="000000" w:themeColor="text1"/>
          <w:szCs w:val="16"/>
        </w:rPr>
        <w:t>B. Acquisition and use of knowledge and skills (including early language/ communication and early literacy); and</w:t>
      </w:r>
    </w:p>
    <w:p w14:paraId="00126FB5" w14:textId="7254CF8C" w:rsidR="00CC634E" w:rsidRPr="005C29F8" w:rsidRDefault="00F020B0" w:rsidP="006A01BD">
      <w:pPr>
        <w:ind w:firstLine="720"/>
        <w:rPr>
          <w:rFonts w:cs="Arial"/>
          <w:color w:val="000000" w:themeColor="text1"/>
          <w:szCs w:val="16"/>
        </w:rPr>
      </w:pPr>
      <w:r w:rsidRPr="005C29F8">
        <w:rPr>
          <w:rFonts w:cs="Arial"/>
          <w:color w:val="000000" w:themeColor="text1"/>
          <w:szCs w:val="16"/>
        </w:rPr>
        <w:t>C. Use of appropriate behaviors to meet their needs.</w:t>
      </w:r>
    </w:p>
    <w:p w14:paraId="5E54210F" w14:textId="77777777" w:rsidR="00CC634E" w:rsidRPr="005C29F8" w:rsidRDefault="00CC634E" w:rsidP="0011074D">
      <w:pPr>
        <w:rPr>
          <w:rFonts w:cs="Arial"/>
          <w:color w:val="000000" w:themeColor="text1"/>
          <w:szCs w:val="16"/>
        </w:rPr>
      </w:pPr>
      <w:r w:rsidRPr="005C29F8">
        <w:rPr>
          <w:rFonts w:cs="Arial"/>
          <w:color w:val="000000" w:themeColor="text1"/>
          <w:szCs w:val="16"/>
        </w:rPr>
        <w:t>(20 U.S.C. 1416 (a)(3)(A))</w:t>
      </w:r>
    </w:p>
    <w:p w14:paraId="64F847A6" w14:textId="77777777" w:rsidR="008751D3" w:rsidRPr="005C29F8" w:rsidRDefault="008751D3" w:rsidP="004369B2">
      <w:pPr>
        <w:rPr>
          <w:color w:val="000000" w:themeColor="text1"/>
        </w:rPr>
      </w:pPr>
      <w:r w:rsidRPr="005C29F8">
        <w:rPr>
          <w:b/>
          <w:color w:val="000000" w:themeColor="text1"/>
        </w:rPr>
        <w:t>Data Source</w:t>
      </w:r>
    </w:p>
    <w:p w14:paraId="23E18A51" w14:textId="0FC94A9E" w:rsidR="008751D3" w:rsidRPr="005C29F8" w:rsidRDefault="008751D3" w:rsidP="00286BDF">
      <w:pPr>
        <w:rPr>
          <w:rFonts w:cs="Arial"/>
          <w:color w:val="000000" w:themeColor="text1"/>
          <w:szCs w:val="16"/>
        </w:rPr>
      </w:pPr>
      <w:r w:rsidRPr="005C29F8">
        <w:rPr>
          <w:rFonts w:cs="Arial"/>
          <w:color w:val="000000" w:themeColor="text1"/>
          <w:szCs w:val="16"/>
        </w:rPr>
        <w:t>State selected data source.</w:t>
      </w:r>
    </w:p>
    <w:p w14:paraId="1E840531" w14:textId="77777777" w:rsidR="008751D3" w:rsidRPr="005C29F8" w:rsidRDefault="008751D3" w:rsidP="004369B2">
      <w:pPr>
        <w:rPr>
          <w:color w:val="000000" w:themeColor="text1"/>
        </w:rPr>
      </w:pPr>
      <w:r w:rsidRPr="005C29F8">
        <w:rPr>
          <w:b/>
          <w:color w:val="000000" w:themeColor="text1"/>
        </w:rPr>
        <w:t>Measurement</w:t>
      </w:r>
    </w:p>
    <w:p w14:paraId="1FF326CF" w14:textId="77777777" w:rsidR="008751D3" w:rsidRPr="005C29F8" w:rsidRDefault="008751D3" w:rsidP="0011074D">
      <w:pPr>
        <w:rPr>
          <w:rFonts w:cs="Arial"/>
          <w:color w:val="000000" w:themeColor="text1"/>
          <w:szCs w:val="16"/>
        </w:rPr>
      </w:pPr>
      <w:r w:rsidRPr="005C29F8">
        <w:rPr>
          <w:rFonts w:cs="Arial"/>
          <w:color w:val="000000" w:themeColor="text1"/>
          <w:szCs w:val="16"/>
        </w:rPr>
        <w:t>Outcomes:</w:t>
      </w:r>
    </w:p>
    <w:p w14:paraId="4E248912" w14:textId="66BBE7EE" w:rsidR="008751D3" w:rsidRPr="005C29F8" w:rsidRDefault="00D92169" w:rsidP="006A01BD">
      <w:pPr>
        <w:spacing w:before="0" w:after="0"/>
        <w:ind w:firstLine="720"/>
        <w:rPr>
          <w:rFonts w:eastAsia="Times New Roman" w:cs="Arial"/>
          <w:color w:val="000000" w:themeColor="text1"/>
          <w:szCs w:val="16"/>
        </w:rPr>
      </w:pPr>
      <w:r w:rsidRPr="005C29F8">
        <w:rPr>
          <w:rFonts w:eastAsia="Times New Roman" w:cs="Arial"/>
          <w:color w:val="000000" w:themeColor="text1"/>
          <w:szCs w:val="16"/>
        </w:rPr>
        <w:t>A. Positive social-emotional skills (including social relationships);</w:t>
      </w:r>
    </w:p>
    <w:p w14:paraId="6AAB6861" w14:textId="71AC3C7A" w:rsidR="008751D3" w:rsidRPr="005C29F8" w:rsidRDefault="00D92169" w:rsidP="006A01BD">
      <w:pPr>
        <w:spacing w:before="0" w:after="0"/>
        <w:ind w:firstLine="720"/>
        <w:rPr>
          <w:rFonts w:eastAsia="Times New Roman" w:cs="Arial"/>
          <w:color w:val="000000" w:themeColor="text1"/>
          <w:szCs w:val="16"/>
        </w:rPr>
      </w:pPr>
      <w:r w:rsidRPr="005C29F8">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5C29F8" w:rsidRDefault="00D92169" w:rsidP="006A01BD">
      <w:pPr>
        <w:spacing w:before="0"/>
        <w:ind w:firstLine="720"/>
        <w:rPr>
          <w:rFonts w:eastAsia="Times New Roman" w:cs="Arial"/>
          <w:color w:val="000000" w:themeColor="text1"/>
          <w:szCs w:val="16"/>
        </w:rPr>
      </w:pPr>
      <w:r w:rsidRPr="005C29F8">
        <w:rPr>
          <w:rFonts w:eastAsia="Times New Roman" w:cs="Arial"/>
          <w:color w:val="000000" w:themeColor="text1"/>
          <w:szCs w:val="16"/>
        </w:rPr>
        <w:t>C. Use of appropriate behaviors to meet their needs.</w:t>
      </w:r>
    </w:p>
    <w:p w14:paraId="6C3C0B77" w14:textId="77777777" w:rsidR="008751D3" w:rsidRPr="005C29F8" w:rsidRDefault="008751D3" w:rsidP="0011074D">
      <w:pPr>
        <w:rPr>
          <w:rFonts w:cs="Arial"/>
          <w:color w:val="000000" w:themeColor="text1"/>
          <w:szCs w:val="16"/>
        </w:rPr>
      </w:pPr>
      <w:r w:rsidRPr="005C29F8">
        <w:rPr>
          <w:rFonts w:cs="Arial"/>
          <w:color w:val="000000" w:themeColor="text1"/>
          <w:szCs w:val="16"/>
        </w:rPr>
        <w:t>Progress categories for A, B and C:</w:t>
      </w:r>
    </w:p>
    <w:p w14:paraId="5690C8BE" w14:textId="36B6DF2C" w:rsidR="008751D3" w:rsidRPr="005C29F8" w:rsidRDefault="00D048BC" w:rsidP="006A01BD">
      <w:pPr>
        <w:spacing w:before="0" w:after="0"/>
        <w:ind w:left="720"/>
        <w:rPr>
          <w:rFonts w:eastAsia="Times New Roman" w:cs="Arial"/>
          <w:color w:val="000000" w:themeColor="text1"/>
          <w:szCs w:val="16"/>
        </w:rPr>
      </w:pPr>
      <w:r w:rsidRPr="005C29F8">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5C29F8" w:rsidRDefault="00D92169" w:rsidP="006A01BD">
      <w:pPr>
        <w:spacing w:before="0" w:after="0"/>
        <w:ind w:left="720"/>
        <w:rPr>
          <w:rFonts w:eastAsia="Times New Roman" w:cs="Arial"/>
          <w:color w:val="000000" w:themeColor="text1"/>
          <w:szCs w:val="16"/>
        </w:rPr>
      </w:pPr>
      <w:r w:rsidRPr="005C29F8">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5C29F8" w:rsidRDefault="00D92169" w:rsidP="006A01BD">
      <w:pPr>
        <w:spacing w:before="0" w:after="0"/>
        <w:ind w:left="720"/>
        <w:rPr>
          <w:rFonts w:eastAsia="Times New Roman" w:cs="Arial"/>
          <w:color w:val="000000" w:themeColor="text1"/>
          <w:szCs w:val="16"/>
        </w:rPr>
      </w:pPr>
      <w:r w:rsidRPr="005C29F8">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5C29F8" w:rsidRDefault="00D92169" w:rsidP="006A01BD">
      <w:pPr>
        <w:spacing w:before="0" w:after="0"/>
        <w:ind w:left="720"/>
        <w:rPr>
          <w:rFonts w:eastAsia="Times New Roman" w:cs="Arial"/>
          <w:color w:val="000000" w:themeColor="text1"/>
          <w:szCs w:val="16"/>
        </w:rPr>
      </w:pPr>
      <w:r w:rsidRPr="005C29F8">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5C29F8" w:rsidRDefault="00D92169" w:rsidP="006A01BD">
      <w:pPr>
        <w:spacing w:before="0"/>
        <w:ind w:left="720"/>
        <w:rPr>
          <w:rFonts w:eastAsia="Times New Roman" w:cs="Arial"/>
          <w:color w:val="000000" w:themeColor="text1"/>
          <w:szCs w:val="16"/>
        </w:rPr>
      </w:pPr>
      <w:r w:rsidRPr="005C29F8">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5C29F8" w:rsidRDefault="008751D3" w:rsidP="0011074D">
      <w:pPr>
        <w:rPr>
          <w:rFonts w:cs="Arial"/>
          <w:b/>
          <w:color w:val="000000" w:themeColor="text1"/>
          <w:szCs w:val="16"/>
        </w:rPr>
      </w:pPr>
      <w:r w:rsidRPr="005C29F8">
        <w:rPr>
          <w:rFonts w:cs="Arial"/>
          <w:b/>
          <w:color w:val="000000" w:themeColor="text1"/>
          <w:szCs w:val="16"/>
        </w:rPr>
        <w:t>Summary Statements for Each of the Three Outcomes:</w:t>
      </w:r>
    </w:p>
    <w:p w14:paraId="65FE21E5" w14:textId="77777777" w:rsidR="008751D3" w:rsidRPr="005C29F8" w:rsidRDefault="008751D3" w:rsidP="0011074D">
      <w:pPr>
        <w:rPr>
          <w:rFonts w:cs="Arial"/>
          <w:color w:val="000000" w:themeColor="text1"/>
          <w:szCs w:val="16"/>
        </w:rPr>
      </w:pPr>
      <w:r w:rsidRPr="005C29F8">
        <w:rPr>
          <w:rFonts w:cs="Arial"/>
          <w:b/>
          <w:bCs/>
          <w:color w:val="000000" w:themeColor="text1"/>
          <w:szCs w:val="16"/>
        </w:rPr>
        <w:t>Summary Statement 1</w:t>
      </w:r>
      <w:r w:rsidRPr="005C29F8">
        <w:rPr>
          <w:rFonts w:cs="Arial"/>
          <w:bCs/>
          <w:color w:val="000000" w:themeColor="text1"/>
          <w:szCs w:val="16"/>
        </w:rPr>
        <w:t>:</w:t>
      </w:r>
      <w:r w:rsidRPr="005C29F8">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5C29F8" w:rsidRDefault="008751D3" w:rsidP="0011074D">
      <w:pPr>
        <w:rPr>
          <w:rFonts w:cs="Arial"/>
          <w:color w:val="000000" w:themeColor="text1"/>
          <w:szCs w:val="16"/>
        </w:rPr>
      </w:pPr>
      <w:r w:rsidRPr="005C29F8">
        <w:rPr>
          <w:rFonts w:cs="Arial"/>
          <w:b/>
          <w:bCs/>
          <w:color w:val="000000" w:themeColor="text1"/>
          <w:szCs w:val="16"/>
        </w:rPr>
        <w:t>Measurement for Summary Statement 1:</w:t>
      </w:r>
      <w:r w:rsidRPr="005C29F8">
        <w:rPr>
          <w:rFonts w:cs="Arial"/>
          <w:bCs/>
          <w:color w:val="000000" w:themeColor="text1"/>
          <w:szCs w:val="16"/>
        </w:rPr>
        <w:t xml:space="preserve"> </w:t>
      </w:r>
      <w:r w:rsidRPr="005C29F8">
        <w:rPr>
          <w:rFonts w:cs="Arial"/>
          <w:color w:val="000000" w:themeColor="text1"/>
          <w:szCs w:val="16"/>
        </w:rPr>
        <w:t xml:space="preserve">Percent = </w:t>
      </w:r>
      <w:r w:rsidR="002D30ED" w:rsidRPr="005C29F8">
        <w:rPr>
          <w:rFonts w:cs="Arial"/>
          <w:color w:val="000000" w:themeColor="text1"/>
          <w:szCs w:val="16"/>
        </w:rPr>
        <w:t xml:space="preserve">[(# </w:t>
      </w:r>
      <w:r w:rsidRPr="005C29F8">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5C29F8">
        <w:rPr>
          <w:rFonts w:cs="Arial"/>
          <w:color w:val="000000" w:themeColor="text1"/>
          <w:szCs w:val="16"/>
        </w:rPr>
        <w:t xml:space="preserve">))] </w:t>
      </w:r>
      <w:r w:rsidRPr="005C29F8">
        <w:rPr>
          <w:rFonts w:cs="Arial"/>
          <w:color w:val="000000" w:themeColor="text1"/>
          <w:szCs w:val="16"/>
        </w:rPr>
        <w:t>times 100.</w:t>
      </w:r>
    </w:p>
    <w:p w14:paraId="5A694282" w14:textId="77777777" w:rsidR="008751D3" w:rsidRPr="005C29F8" w:rsidRDefault="008751D3" w:rsidP="0011074D">
      <w:pPr>
        <w:rPr>
          <w:rFonts w:cs="Arial"/>
          <w:color w:val="000000" w:themeColor="text1"/>
          <w:szCs w:val="16"/>
        </w:rPr>
      </w:pPr>
      <w:r w:rsidRPr="005C29F8">
        <w:rPr>
          <w:rFonts w:cs="Arial"/>
          <w:b/>
          <w:bCs/>
          <w:color w:val="000000" w:themeColor="text1"/>
          <w:szCs w:val="16"/>
        </w:rPr>
        <w:t>Summary Statement 2:</w:t>
      </w:r>
      <w:r w:rsidRPr="005C29F8">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5C29F8" w:rsidRDefault="008751D3" w:rsidP="0011074D">
      <w:pPr>
        <w:rPr>
          <w:rFonts w:cs="Arial"/>
          <w:color w:val="000000" w:themeColor="text1"/>
          <w:szCs w:val="16"/>
        </w:rPr>
      </w:pPr>
      <w:r w:rsidRPr="005C29F8">
        <w:rPr>
          <w:rFonts w:cs="Arial"/>
          <w:b/>
          <w:bCs/>
          <w:color w:val="000000" w:themeColor="text1"/>
          <w:szCs w:val="16"/>
        </w:rPr>
        <w:t>Measurement for Summary Statement 2</w:t>
      </w:r>
      <w:r w:rsidRPr="005C29F8">
        <w:rPr>
          <w:rFonts w:cs="Arial"/>
          <w:bCs/>
          <w:color w:val="000000" w:themeColor="text1"/>
          <w:szCs w:val="16"/>
        </w:rPr>
        <w:t xml:space="preserve">: </w:t>
      </w:r>
      <w:r w:rsidRPr="005C29F8">
        <w:rPr>
          <w:rFonts w:cs="Arial"/>
          <w:color w:val="000000" w:themeColor="text1"/>
          <w:szCs w:val="16"/>
        </w:rPr>
        <w:t xml:space="preserve">Percent = </w:t>
      </w:r>
      <w:r w:rsidR="002D30ED" w:rsidRPr="005C29F8">
        <w:rPr>
          <w:rFonts w:cs="Arial"/>
          <w:color w:val="000000" w:themeColor="text1"/>
          <w:szCs w:val="16"/>
        </w:rPr>
        <w:t xml:space="preserve">[(# </w:t>
      </w:r>
      <w:r w:rsidRPr="005C29F8">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5C29F8">
        <w:rPr>
          <w:rFonts w:cs="Arial"/>
          <w:color w:val="000000" w:themeColor="text1"/>
          <w:szCs w:val="16"/>
        </w:rPr>
        <w:t xml:space="preserve">))] </w:t>
      </w:r>
      <w:r w:rsidRPr="005C29F8">
        <w:rPr>
          <w:rFonts w:cs="Arial"/>
          <w:color w:val="000000" w:themeColor="text1"/>
          <w:szCs w:val="16"/>
        </w:rPr>
        <w:t>times 100.</w:t>
      </w:r>
    </w:p>
    <w:p w14:paraId="207DF15E" w14:textId="77777777" w:rsidR="008751D3" w:rsidRPr="005C29F8" w:rsidRDefault="008751D3" w:rsidP="004369B2">
      <w:pPr>
        <w:rPr>
          <w:color w:val="000000" w:themeColor="text1"/>
        </w:rPr>
      </w:pPr>
      <w:r w:rsidRPr="005C29F8">
        <w:rPr>
          <w:b/>
          <w:color w:val="000000" w:themeColor="text1"/>
        </w:rPr>
        <w:t>Instructions</w:t>
      </w:r>
    </w:p>
    <w:p w14:paraId="7FEF7064" w14:textId="77777777" w:rsidR="008751D3" w:rsidRPr="005C29F8" w:rsidRDefault="008751D3" w:rsidP="00286BDF">
      <w:pPr>
        <w:rPr>
          <w:rFonts w:cs="Arial"/>
          <w:color w:val="000000" w:themeColor="text1"/>
          <w:szCs w:val="16"/>
        </w:rPr>
      </w:pPr>
      <w:r w:rsidRPr="005C29F8">
        <w:rPr>
          <w:rFonts w:cs="Arial"/>
          <w:color w:val="000000" w:themeColor="text1"/>
          <w:szCs w:val="16"/>
        </w:rPr>
        <w:t>Sampling of </w:t>
      </w:r>
      <w:r w:rsidRPr="005C29F8">
        <w:rPr>
          <w:rFonts w:cs="Arial"/>
          <w:b/>
          <w:bCs/>
          <w:color w:val="000000" w:themeColor="text1"/>
          <w:szCs w:val="16"/>
        </w:rPr>
        <w:t>children for assessment</w:t>
      </w:r>
      <w:r w:rsidRPr="005C29F8">
        <w:rPr>
          <w:rFonts w:cs="Arial"/>
          <w:color w:val="000000" w:themeColor="text1"/>
          <w:szCs w:val="16"/>
        </w:rPr>
        <w:t> is allowed. When sampling is used, submit a description of the sampling methodology outlining how the design will yield valid and reliable estimates. (See </w:t>
      </w:r>
      <w:r w:rsidRPr="005C29F8">
        <w:rPr>
          <w:rFonts w:cs="Arial"/>
          <w:color w:val="000000" w:themeColor="text1"/>
          <w:szCs w:val="16"/>
          <w:u w:val="single"/>
        </w:rPr>
        <w:t>General Instructions</w:t>
      </w:r>
      <w:r w:rsidRPr="005C29F8">
        <w:rPr>
          <w:rFonts w:cs="Arial"/>
          <w:color w:val="000000" w:themeColor="text1"/>
          <w:szCs w:val="16"/>
        </w:rPr>
        <w:t> on page 2 for additional instructions on sampling.)</w:t>
      </w:r>
    </w:p>
    <w:p w14:paraId="1FB7B1C7" w14:textId="77777777" w:rsidR="008751D3" w:rsidRPr="005C29F8" w:rsidRDefault="008751D3" w:rsidP="00286BDF">
      <w:pPr>
        <w:rPr>
          <w:rFonts w:cs="Arial"/>
          <w:color w:val="000000" w:themeColor="text1"/>
          <w:szCs w:val="16"/>
        </w:rPr>
      </w:pPr>
      <w:r w:rsidRPr="005C29F8">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5C29F8" w:rsidRDefault="008751D3" w:rsidP="00286BDF">
      <w:pPr>
        <w:rPr>
          <w:rFonts w:cs="Arial"/>
          <w:color w:val="000000" w:themeColor="text1"/>
          <w:szCs w:val="16"/>
        </w:rPr>
      </w:pPr>
      <w:r w:rsidRPr="005C29F8">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77777777" w:rsidR="008751D3" w:rsidRPr="005C29F8" w:rsidRDefault="008751D3" w:rsidP="00286BDF">
      <w:pPr>
        <w:rPr>
          <w:rFonts w:cs="Arial"/>
          <w:color w:val="000000" w:themeColor="text1"/>
          <w:szCs w:val="16"/>
        </w:rPr>
      </w:pPr>
      <w:r w:rsidRPr="005C29F8">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5C29F8" w:rsidRDefault="008751D3" w:rsidP="00286BDF">
      <w:pPr>
        <w:rPr>
          <w:rFonts w:cs="Arial"/>
          <w:color w:val="000000" w:themeColor="text1"/>
          <w:szCs w:val="16"/>
        </w:rPr>
      </w:pPr>
      <w:r w:rsidRPr="005C29F8">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5C29F8" w:rsidRDefault="008751D3" w:rsidP="00286BDF">
      <w:pPr>
        <w:rPr>
          <w:rFonts w:cs="Arial"/>
          <w:color w:val="000000" w:themeColor="text1"/>
          <w:szCs w:val="16"/>
        </w:rPr>
      </w:pPr>
      <w:r w:rsidRPr="005C29F8">
        <w:rPr>
          <w:rFonts w:cs="Arial"/>
          <w:color w:val="000000" w:themeColor="text1"/>
          <w:szCs w:val="16"/>
        </w:rPr>
        <w:t>In addition, list the instruments and procedures used to gather data for this indicator, including if the State is using the ECO COS.</w:t>
      </w:r>
    </w:p>
    <w:bookmarkEnd w:id="35"/>
    <w:p w14:paraId="55101798" w14:textId="340B2E8D" w:rsidR="00DF6E30" w:rsidRPr="0033429D" w:rsidRDefault="00C96236" w:rsidP="008645AD">
      <w:pPr>
        <w:pStyle w:val="Heading2"/>
      </w:pPr>
      <w:r w:rsidRPr="0033429D">
        <w:t>7</w:t>
      </w:r>
      <w:r w:rsidR="00444A9D" w:rsidRPr="0033429D">
        <w:t xml:space="preserve"> </w:t>
      </w:r>
      <w:r w:rsidRPr="0033429D">
        <w:t xml:space="preserve">- </w:t>
      </w:r>
      <w:r w:rsidR="00DF6E30" w:rsidRPr="0033429D">
        <w:t>Indicator Data</w:t>
      </w:r>
    </w:p>
    <w:p w14:paraId="5AA4EA63" w14:textId="77777777" w:rsidR="0091098C" w:rsidRPr="005C29F8" w:rsidRDefault="0091098C" w:rsidP="004369B2">
      <w:pPr>
        <w:rPr>
          <w:color w:val="000000" w:themeColor="text1"/>
        </w:rPr>
      </w:pPr>
      <w:r w:rsidRPr="005C29F8">
        <w:rPr>
          <w:b/>
          <w:color w:val="000000" w:themeColor="text1"/>
        </w:rPr>
        <w:t>Not Applicable</w:t>
      </w:r>
    </w:p>
    <w:p w14:paraId="284C9B1A" w14:textId="32C218D6" w:rsidR="002D30ED" w:rsidRPr="005C29F8" w:rsidRDefault="00E54DDA">
      <w:pPr>
        <w:rPr>
          <w:b/>
          <w:color w:val="000000" w:themeColor="text1"/>
        </w:rPr>
      </w:pPr>
      <w:r w:rsidRPr="005C29F8">
        <w:rPr>
          <w:b/>
          <w:color w:val="000000" w:themeColor="text1"/>
        </w:rPr>
        <w:t>Select yes if this indicator is not applicable.</w:t>
      </w:r>
    </w:p>
    <w:p w14:paraId="400C4A0C" w14:textId="693F71F3" w:rsidR="00043AC9" w:rsidRDefault="00043AC9" w:rsidP="004369B2">
      <w:pPr>
        <w:rPr>
          <w:rFonts w:cs="Arial"/>
          <w:color w:val="000000" w:themeColor="text1"/>
          <w:szCs w:val="16"/>
        </w:rPr>
      </w:pPr>
      <w:r w:rsidRPr="005C29F8">
        <w:rPr>
          <w:rFonts w:cs="Arial"/>
          <w:color w:val="000000" w:themeColor="text1"/>
          <w:szCs w:val="16"/>
        </w:rPr>
        <w:t>NO</w:t>
      </w:r>
    </w:p>
    <w:p w14:paraId="2D4ABD95" w14:textId="015EAF2F" w:rsidR="002D30ED" w:rsidRPr="005C29F8" w:rsidRDefault="002D30ED">
      <w:pPr>
        <w:rPr>
          <w:color w:val="000000" w:themeColor="text1"/>
        </w:rPr>
      </w:pPr>
    </w:p>
    <w:p w14:paraId="50CA9D39" w14:textId="3128BDB0" w:rsidR="00CC634E" w:rsidRPr="005C29F8" w:rsidRDefault="00CC634E" w:rsidP="004369B2">
      <w:pPr>
        <w:rPr>
          <w:color w:val="000000" w:themeColor="text1"/>
        </w:rPr>
      </w:pPr>
      <w:r w:rsidRPr="005C29F8">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5C29F8" w14:paraId="67761B76" w14:textId="2BE890F9" w:rsidTr="0033429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5C29F8" w:rsidRDefault="00E104F3" w:rsidP="00FA72A0">
            <w:pPr>
              <w:spacing w:before="0" w:after="0" w:line="276" w:lineRule="auto"/>
              <w:jc w:val="center"/>
              <w:rPr>
                <w:rFonts w:cs="Arial"/>
                <w:b/>
                <w:color w:val="000000" w:themeColor="text1"/>
                <w:szCs w:val="16"/>
              </w:rPr>
            </w:pPr>
            <w:r>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5C29F8" w:rsidRDefault="00FA72A0" w:rsidP="00FA72A0">
            <w:pPr>
              <w:spacing w:before="0" w:after="0" w:line="276" w:lineRule="auto"/>
              <w:jc w:val="center"/>
              <w:rPr>
                <w:rFonts w:cs="Arial"/>
                <w:b/>
                <w:color w:val="000000" w:themeColor="text1"/>
                <w:szCs w:val="16"/>
              </w:rPr>
            </w:pPr>
            <w:r w:rsidRPr="005C29F8">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5C29F8" w:rsidRDefault="00FA72A0" w:rsidP="00FA72A0">
            <w:pPr>
              <w:spacing w:before="0" w:after="0" w:line="276" w:lineRule="auto"/>
              <w:jc w:val="center"/>
              <w:rPr>
                <w:rFonts w:cs="Arial"/>
                <w:b/>
                <w:color w:val="000000" w:themeColor="text1"/>
                <w:szCs w:val="16"/>
              </w:rPr>
            </w:pPr>
            <w:r w:rsidRPr="005C29F8">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5C29F8" w:rsidRDefault="002B7490" w:rsidP="00FA72A0">
            <w:pPr>
              <w:spacing w:before="0" w:after="0" w:line="276" w:lineRule="auto"/>
              <w:jc w:val="center"/>
              <w:rPr>
                <w:rFonts w:cs="Arial"/>
                <w:b/>
                <w:color w:val="000000" w:themeColor="text1"/>
                <w:szCs w:val="16"/>
              </w:rPr>
            </w:pPr>
            <w:r w:rsidRPr="005C29F8">
              <w:rPr>
                <w:rFonts w:cs="Arial"/>
                <w:b/>
                <w:color w:val="000000" w:themeColor="text1"/>
                <w:szCs w:val="16"/>
              </w:rPr>
              <w:t>2014</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5C29F8" w:rsidRDefault="002B7490" w:rsidP="00FA72A0">
            <w:pPr>
              <w:spacing w:before="0" w:after="0" w:line="276" w:lineRule="auto"/>
              <w:jc w:val="center"/>
              <w:rPr>
                <w:rFonts w:cs="Arial"/>
                <w:b/>
                <w:color w:val="000000" w:themeColor="text1"/>
                <w:szCs w:val="16"/>
              </w:rPr>
            </w:pPr>
            <w:r w:rsidRPr="005C29F8">
              <w:rPr>
                <w:rFonts w:cs="Arial"/>
                <w:b/>
                <w:color w:val="000000" w:themeColor="text1"/>
                <w:szCs w:val="16"/>
              </w:rPr>
              <w:t>2015</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5C29F8" w:rsidRDefault="002B7490" w:rsidP="00FA72A0">
            <w:pPr>
              <w:spacing w:before="0" w:after="0" w:line="276" w:lineRule="auto"/>
              <w:jc w:val="center"/>
              <w:rPr>
                <w:rFonts w:cs="Arial"/>
                <w:b/>
                <w:color w:val="000000" w:themeColor="text1"/>
                <w:szCs w:val="16"/>
              </w:rPr>
            </w:pPr>
            <w:r w:rsidRPr="005C29F8">
              <w:rPr>
                <w:rFonts w:cs="Arial"/>
                <w:b/>
                <w:color w:val="000000" w:themeColor="text1"/>
                <w:szCs w:val="16"/>
              </w:rPr>
              <w:t>2016</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5C29F8" w:rsidRDefault="002B7490" w:rsidP="00FA72A0">
            <w:pPr>
              <w:spacing w:before="0" w:after="0" w:line="276" w:lineRule="auto"/>
              <w:jc w:val="center"/>
              <w:rPr>
                <w:rFonts w:cs="Arial"/>
                <w:b/>
                <w:color w:val="000000" w:themeColor="text1"/>
                <w:szCs w:val="16"/>
              </w:rPr>
            </w:pPr>
            <w:r w:rsidRPr="005C29F8">
              <w:rPr>
                <w:rFonts w:cs="Arial"/>
                <w:b/>
                <w:color w:val="000000" w:themeColor="text1"/>
                <w:szCs w:val="16"/>
              </w:rPr>
              <w:t>2017</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5C29F8" w:rsidRDefault="002B7490" w:rsidP="00FA72A0">
            <w:pPr>
              <w:spacing w:before="0" w:after="0" w:line="276" w:lineRule="auto"/>
              <w:jc w:val="center"/>
              <w:rPr>
                <w:rFonts w:cs="Arial"/>
                <w:b/>
                <w:color w:val="000000" w:themeColor="text1"/>
                <w:szCs w:val="16"/>
              </w:rPr>
            </w:pPr>
            <w:r w:rsidRPr="005C29F8">
              <w:rPr>
                <w:rFonts w:cs="Arial"/>
                <w:b/>
                <w:color w:val="000000" w:themeColor="text1"/>
                <w:szCs w:val="16"/>
              </w:rPr>
              <w:t>2018</w:t>
            </w:r>
          </w:p>
        </w:tc>
      </w:tr>
      <w:tr w:rsidR="005F0D3B" w:rsidRPr="005C29F8" w14:paraId="6B7CE9C8" w14:textId="0609FA3D" w:rsidTr="0033429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5C29F8" w:rsidRDefault="00CF6742">
            <w:pPr>
              <w:spacing w:before="0" w:after="0" w:line="276" w:lineRule="auto"/>
              <w:jc w:val="center"/>
              <w:rPr>
                <w:rFonts w:cs="Arial"/>
                <w:color w:val="000000" w:themeColor="text1"/>
                <w:szCs w:val="16"/>
              </w:rPr>
            </w:pPr>
            <w:r w:rsidRPr="005C29F8">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5C29F8" w:rsidRDefault="00CF6742" w:rsidP="00CF6742">
            <w:pPr>
              <w:spacing w:before="0" w:after="0" w:line="276" w:lineRule="auto"/>
              <w:rPr>
                <w:rFonts w:cs="Arial"/>
                <w:color w:val="000000" w:themeColor="text1"/>
                <w:szCs w:val="16"/>
              </w:rPr>
            </w:pPr>
            <w:r w:rsidRPr="005C29F8">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5C29F8" w:rsidRDefault="002B7490" w:rsidP="00A018D4">
            <w:pPr>
              <w:jc w:val="center"/>
              <w:rPr>
                <w:rFonts w:cs="Arial"/>
                <w:color w:val="000000" w:themeColor="text1"/>
                <w:szCs w:val="16"/>
              </w:rPr>
            </w:pPr>
            <w:r w:rsidRPr="005C29F8">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5C29F8" w:rsidRDefault="002B7490" w:rsidP="00A018D4">
            <w:pPr>
              <w:jc w:val="center"/>
              <w:rPr>
                <w:rFonts w:cs="Arial"/>
                <w:color w:val="000000" w:themeColor="text1"/>
                <w:szCs w:val="16"/>
              </w:rPr>
            </w:pPr>
            <w:r w:rsidRPr="005C29F8">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5C29F8" w:rsidRDefault="002B7490" w:rsidP="00A018D4">
            <w:pPr>
              <w:jc w:val="center"/>
              <w:rPr>
                <w:rFonts w:cs="Arial"/>
                <w:color w:val="000000" w:themeColor="text1"/>
                <w:szCs w:val="16"/>
              </w:rPr>
            </w:pPr>
            <w:r w:rsidRPr="005C29F8">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5C29F8" w:rsidRDefault="00CF6742" w:rsidP="00A018D4">
            <w:pPr>
              <w:jc w:val="center"/>
              <w:rPr>
                <w:rFonts w:cs="Arial"/>
                <w:color w:val="000000" w:themeColor="text1"/>
                <w:szCs w:val="16"/>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5C29F8" w:rsidRDefault="002B7490" w:rsidP="00A018D4">
            <w:pPr>
              <w:jc w:val="center"/>
              <w:rPr>
                <w:rFonts w:cs="Arial"/>
                <w:color w:val="000000" w:themeColor="text1"/>
                <w:szCs w:val="16"/>
              </w:rPr>
            </w:pPr>
            <w:r w:rsidRPr="005C29F8">
              <w:rPr>
                <w:rFonts w:cs="Arial"/>
                <w:color w:val="000000" w:themeColor="text1"/>
                <w:szCs w:val="16"/>
              </w:rPr>
              <w:t>86.00%</w:t>
            </w:r>
          </w:p>
        </w:tc>
      </w:tr>
      <w:tr w:rsidR="005F0D3B" w:rsidRPr="005C29F8" w14:paraId="1273980B" w14:textId="53318F32" w:rsidTr="0033429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5C29F8" w:rsidRDefault="001474EC" w:rsidP="004369B2">
            <w:pPr>
              <w:spacing w:before="0" w:after="0" w:line="276" w:lineRule="auto"/>
              <w:jc w:val="center"/>
              <w:rPr>
                <w:rFonts w:cs="Arial"/>
                <w:color w:val="000000" w:themeColor="text1"/>
                <w:szCs w:val="16"/>
              </w:rPr>
            </w:pPr>
            <w:r w:rsidRPr="005C29F8">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5C29F8" w:rsidRDefault="002B7490" w:rsidP="00A018D4">
            <w:pPr>
              <w:jc w:val="center"/>
              <w:rPr>
                <w:rFonts w:cs="Arial"/>
                <w:color w:val="000000" w:themeColor="text1"/>
                <w:szCs w:val="16"/>
              </w:rPr>
            </w:pPr>
            <w:r w:rsidRPr="005C29F8">
              <w:rPr>
                <w:rFonts w:cs="Arial"/>
                <w:color w:val="000000" w:themeColor="text1"/>
                <w:szCs w:val="16"/>
              </w:rPr>
              <w:t>85.61%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5C29F8" w:rsidRDefault="00CF6742" w:rsidP="00CF6742">
            <w:pPr>
              <w:spacing w:before="0" w:after="0" w:line="276" w:lineRule="auto"/>
              <w:rPr>
                <w:rFonts w:cs="Arial"/>
                <w:color w:val="000000" w:themeColor="text1"/>
                <w:szCs w:val="16"/>
              </w:rPr>
            </w:pPr>
            <w:r w:rsidRPr="005C29F8">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5C29F8" w:rsidRDefault="002B7490" w:rsidP="00A018D4">
            <w:pPr>
              <w:jc w:val="center"/>
              <w:rPr>
                <w:rFonts w:cs="Arial"/>
                <w:color w:val="000000" w:themeColor="text1"/>
                <w:szCs w:val="16"/>
              </w:rPr>
            </w:pPr>
            <w:r w:rsidRPr="005C29F8">
              <w:rPr>
                <w:rFonts w:cs="Arial"/>
                <w:color w:val="000000" w:themeColor="text1"/>
                <w:szCs w:val="16"/>
              </w:rPr>
              <w:t>87.20%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5C29F8" w:rsidRDefault="002B7490" w:rsidP="00A018D4">
            <w:pPr>
              <w:jc w:val="center"/>
              <w:rPr>
                <w:rFonts w:cs="Arial"/>
                <w:color w:val="000000" w:themeColor="text1"/>
                <w:szCs w:val="16"/>
              </w:rPr>
            </w:pPr>
            <w:r w:rsidRPr="005C29F8">
              <w:rPr>
                <w:rFonts w:cs="Arial"/>
                <w:color w:val="000000" w:themeColor="text1"/>
                <w:szCs w:val="16"/>
              </w:rPr>
              <w:t>79.14%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5C29F8" w:rsidRDefault="002B7490" w:rsidP="00A018D4">
            <w:pPr>
              <w:jc w:val="center"/>
              <w:rPr>
                <w:rFonts w:cs="Arial"/>
                <w:color w:val="000000" w:themeColor="text1"/>
                <w:szCs w:val="16"/>
              </w:rPr>
            </w:pPr>
            <w:r w:rsidRPr="005C29F8">
              <w:rPr>
                <w:rFonts w:cs="Arial"/>
                <w:color w:val="000000" w:themeColor="text1"/>
                <w:szCs w:val="16"/>
              </w:rPr>
              <w:t>88.70%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5C29F8" w:rsidRDefault="002B7490" w:rsidP="00A018D4">
            <w:pPr>
              <w:jc w:val="center"/>
              <w:rPr>
                <w:rFonts w:cs="Arial"/>
                <w:color w:val="000000" w:themeColor="text1"/>
                <w:szCs w:val="16"/>
              </w:rPr>
            </w:pPr>
            <w:r w:rsidRPr="005C29F8">
              <w:rPr>
                <w:rFonts w:cs="Arial"/>
                <w:color w:val="000000" w:themeColor="text1"/>
                <w:szCs w:val="16"/>
              </w:rPr>
              <w:t>85.61%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5C29F8" w:rsidRDefault="002B7490" w:rsidP="00A018D4">
            <w:pPr>
              <w:jc w:val="center"/>
              <w:rPr>
                <w:rFonts w:cs="Arial"/>
                <w:color w:val="000000" w:themeColor="text1"/>
                <w:szCs w:val="16"/>
              </w:rPr>
            </w:pPr>
            <w:r w:rsidRPr="005C29F8">
              <w:rPr>
                <w:rFonts w:cs="Arial"/>
                <w:color w:val="000000" w:themeColor="text1"/>
                <w:szCs w:val="16"/>
              </w:rPr>
              <w:t>85.17%</w:t>
            </w:r>
          </w:p>
        </w:tc>
      </w:tr>
      <w:tr w:rsidR="005F0D3B" w:rsidRPr="005C29F8" w14:paraId="0B3AB2AF" w14:textId="0ED8043B" w:rsidTr="0033429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5C29F8" w:rsidRDefault="00CF6742">
            <w:pPr>
              <w:spacing w:before="0" w:after="0" w:line="276" w:lineRule="auto"/>
              <w:jc w:val="center"/>
              <w:rPr>
                <w:rFonts w:cs="Arial"/>
                <w:color w:val="000000" w:themeColor="text1"/>
                <w:szCs w:val="16"/>
              </w:rPr>
            </w:pPr>
            <w:r w:rsidRPr="005C29F8">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5C29F8" w:rsidRDefault="00CF6742" w:rsidP="00CF6742">
            <w:pPr>
              <w:spacing w:before="0" w:after="0" w:line="276" w:lineRule="auto"/>
              <w:rPr>
                <w:rFonts w:cs="Arial"/>
                <w:color w:val="000000" w:themeColor="text1"/>
                <w:szCs w:val="16"/>
              </w:rPr>
            </w:pPr>
            <w:r w:rsidRPr="005C29F8">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5C29F8" w:rsidRDefault="002B7490" w:rsidP="00A018D4">
            <w:pPr>
              <w:jc w:val="center"/>
              <w:rPr>
                <w:rFonts w:cs="Arial"/>
                <w:color w:val="000000" w:themeColor="text1"/>
                <w:szCs w:val="16"/>
              </w:rPr>
            </w:pPr>
            <w:r w:rsidRPr="005C29F8">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5C29F8" w:rsidRDefault="002B7490" w:rsidP="00A018D4">
            <w:pPr>
              <w:jc w:val="center"/>
              <w:rPr>
                <w:rFonts w:cs="Arial"/>
                <w:color w:val="000000" w:themeColor="text1"/>
                <w:szCs w:val="16"/>
              </w:rPr>
            </w:pPr>
            <w:r w:rsidRPr="005C29F8">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5C29F8" w:rsidRDefault="002B7490" w:rsidP="00A018D4">
            <w:pPr>
              <w:jc w:val="center"/>
              <w:rPr>
                <w:rFonts w:cs="Arial"/>
                <w:color w:val="000000" w:themeColor="text1"/>
                <w:szCs w:val="16"/>
              </w:rPr>
            </w:pPr>
            <w:r w:rsidRPr="005C29F8">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5C29F8" w:rsidRDefault="00CF6742" w:rsidP="00A018D4">
            <w:pPr>
              <w:jc w:val="center"/>
              <w:rPr>
                <w:rFonts w:cs="Arial"/>
                <w:color w:val="000000" w:themeColor="text1"/>
                <w:szCs w:val="16"/>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5C29F8" w:rsidRDefault="002B7490" w:rsidP="00A018D4">
            <w:pPr>
              <w:jc w:val="center"/>
              <w:rPr>
                <w:rFonts w:cs="Arial"/>
                <w:color w:val="000000" w:themeColor="text1"/>
                <w:szCs w:val="16"/>
              </w:rPr>
            </w:pPr>
            <w:r w:rsidRPr="005C29F8">
              <w:rPr>
                <w:rFonts w:cs="Arial"/>
                <w:color w:val="000000" w:themeColor="text1"/>
                <w:szCs w:val="16"/>
              </w:rPr>
              <w:t>50.00%</w:t>
            </w:r>
          </w:p>
        </w:tc>
      </w:tr>
      <w:tr w:rsidR="005F0D3B" w:rsidRPr="005C29F8" w14:paraId="1D11B386" w14:textId="42BD85F0" w:rsidTr="0033429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5C29F8" w:rsidRDefault="001474EC" w:rsidP="004369B2">
            <w:pPr>
              <w:spacing w:before="0" w:after="0" w:line="276" w:lineRule="auto"/>
              <w:jc w:val="center"/>
              <w:rPr>
                <w:rFonts w:cs="Arial"/>
                <w:color w:val="000000" w:themeColor="text1"/>
                <w:szCs w:val="16"/>
              </w:rPr>
            </w:pPr>
            <w:r w:rsidRPr="005C29F8">
              <w:rPr>
                <w:rFonts w:cs="Arial"/>
                <w:color w:val="000000" w:themeColor="text1"/>
                <w:szCs w:val="16"/>
              </w:rPr>
              <w:lastRenderedPageBreak/>
              <w:t>A2</w:t>
            </w:r>
          </w:p>
        </w:tc>
        <w:tc>
          <w:tcPr>
            <w:tcW w:w="437" w:type="pct"/>
            <w:tcBorders>
              <w:left w:val="single" w:sz="4" w:space="0" w:color="auto"/>
              <w:right w:val="single" w:sz="4" w:space="0" w:color="auto"/>
            </w:tcBorders>
            <w:shd w:val="clear" w:color="auto" w:fill="auto"/>
            <w:vAlign w:val="center"/>
          </w:tcPr>
          <w:p w14:paraId="33B2AFD7" w14:textId="45496AC0" w:rsidR="00CF6742" w:rsidRPr="005C29F8" w:rsidRDefault="002B7490" w:rsidP="00A018D4">
            <w:pPr>
              <w:jc w:val="center"/>
              <w:rPr>
                <w:rFonts w:cs="Arial"/>
                <w:color w:val="000000" w:themeColor="text1"/>
                <w:szCs w:val="16"/>
              </w:rPr>
            </w:pPr>
            <w:r w:rsidRPr="005C29F8">
              <w:rPr>
                <w:rFonts w:cs="Arial"/>
                <w:color w:val="000000" w:themeColor="text1"/>
                <w:szCs w:val="16"/>
              </w:rPr>
              <w:t>47.00%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5C29F8" w:rsidRDefault="00CF6742" w:rsidP="00CF6742">
            <w:pPr>
              <w:spacing w:before="0" w:after="0" w:line="276" w:lineRule="auto"/>
              <w:rPr>
                <w:rFonts w:cs="Arial"/>
                <w:color w:val="000000" w:themeColor="text1"/>
                <w:szCs w:val="16"/>
              </w:rPr>
            </w:pPr>
            <w:r w:rsidRPr="005C29F8">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5C29F8" w:rsidRDefault="002B7490" w:rsidP="00A018D4">
            <w:pPr>
              <w:jc w:val="center"/>
              <w:rPr>
                <w:rFonts w:cs="Arial"/>
                <w:color w:val="000000" w:themeColor="text1"/>
                <w:szCs w:val="16"/>
              </w:rPr>
            </w:pPr>
            <w:r w:rsidRPr="005C29F8">
              <w:rPr>
                <w:rFonts w:cs="Arial"/>
                <w:color w:val="000000" w:themeColor="text1"/>
                <w:szCs w:val="16"/>
              </w:rPr>
              <w:t>47.81%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5C29F8" w:rsidRDefault="002B7490" w:rsidP="00A018D4">
            <w:pPr>
              <w:jc w:val="center"/>
              <w:rPr>
                <w:rFonts w:cs="Arial"/>
                <w:color w:val="000000" w:themeColor="text1"/>
                <w:szCs w:val="16"/>
              </w:rPr>
            </w:pPr>
            <w:r w:rsidRPr="005C29F8">
              <w:rPr>
                <w:rFonts w:cs="Arial"/>
                <w:color w:val="000000" w:themeColor="text1"/>
                <w:szCs w:val="16"/>
              </w:rPr>
              <w:t>53.57%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5C29F8" w:rsidRDefault="002B7490" w:rsidP="00A018D4">
            <w:pPr>
              <w:jc w:val="center"/>
              <w:rPr>
                <w:rFonts w:cs="Arial"/>
                <w:color w:val="000000" w:themeColor="text1"/>
                <w:szCs w:val="16"/>
              </w:rPr>
            </w:pPr>
            <w:r w:rsidRPr="005C29F8">
              <w:rPr>
                <w:rFonts w:cs="Arial"/>
                <w:color w:val="000000" w:themeColor="text1"/>
                <w:szCs w:val="16"/>
              </w:rPr>
              <w:t>47.74%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5C29F8" w:rsidRDefault="002B7490" w:rsidP="00A018D4">
            <w:pPr>
              <w:jc w:val="center"/>
              <w:rPr>
                <w:rFonts w:cs="Arial"/>
                <w:color w:val="000000" w:themeColor="text1"/>
                <w:szCs w:val="16"/>
              </w:rPr>
            </w:pPr>
            <w:r w:rsidRPr="005C29F8">
              <w:rPr>
                <w:rFonts w:cs="Arial"/>
                <w:color w:val="000000" w:themeColor="text1"/>
                <w:szCs w:val="16"/>
              </w:rPr>
              <w:t>47.00%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5C29F8" w:rsidRDefault="002B7490" w:rsidP="00A018D4">
            <w:pPr>
              <w:jc w:val="center"/>
              <w:rPr>
                <w:rFonts w:cs="Arial"/>
                <w:color w:val="000000" w:themeColor="text1"/>
                <w:szCs w:val="16"/>
              </w:rPr>
            </w:pPr>
            <w:r w:rsidRPr="005C29F8">
              <w:rPr>
                <w:rFonts w:cs="Arial"/>
                <w:color w:val="000000" w:themeColor="text1"/>
                <w:szCs w:val="16"/>
              </w:rPr>
              <w:t>46.03%</w:t>
            </w:r>
          </w:p>
        </w:tc>
      </w:tr>
      <w:tr w:rsidR="005F0D3B" w:rsidRPr="005C29F8" w14:paraId="038BC95B" w14:textId="47C87879" w:rsidTr="0033429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5C29F8" w:rsidRDefault="0085328E" w:rsidP="004369B2">
            <w:pPr>
              <w:spacing w:before="0" w:after="0" w:line="276" w:lineRule="auto"/>
              <w:jc w:val="center"/>
              <w:rPr>
                <w:rFonts w:cs="Arial"/>
                <w:color w:val="000000" w:themeColor="text1"/>
                <w:szCs w:val="16"/>
              </w:rPr>
            </w:pPr>
            <w:r w:rsidRPr="005C29F8">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5C29F8" w:rsidRDefault="0085328E" w:rsidP="0085328E">
            <w:pPr>
              <w:spacing w:before="0" w:after="0" w:line="276" w:lineRule="auto"/>
              <w:rPr>
                <w:rFonts w:cs="Arial"/>
                <w:color w:val="000000" w:themeColor="text1"/>
                <w:szCs w:val="16"/>
              </w:rPr>
            </w:pPr>
            <w:r w:rsidRPr="005C29F8">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5C29F8" w:rsidRDefault="002B7490" w:rsidP="00A018D4">
            <w:pPr>
              <w:jc w:val="center"/>
              <w:rPr>
                <w:rFonts w:cs="Arial"/>
                <w:color w:val="000000" w:themeColor="text1"/>
                <w:szCs w:val="16"/>
              </w:rPr>
            </w:pPr>
            <w:r w:rsidRPr="005C29F8">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5C29F8" w:rsidRDefault="002B7490" w:rsidP="00A018D4">
            <w:pPr>
              <w:jc w:val="center"/>
              <w:rPr>
                <w:rFonts w:cs="Arial"/>
                <w:color w:val="000000" w:themeColor="text1"/>
                <w:szCs w:val="16"/>
              </w:rPr>
            </w:pPr>
            <w:r w:rsidRPr="005C29F8">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5C29F8" w:rsidRDefault="002B7490" w:rsidP="00A018D4">
            <w:pPr>
              <w:jc w:val="center"/>
              <w:rPr>
                <w:rFonts w:cs="Arial"/>
                <w:color w:val="000000" w:themeColor="text1"/>
                <w:szCs w:val="16"/>
              </w:rPr>
            </w:pPr>
            <w:r w:rsidRPr="005C29F8">
              <w:rPr>
                <w:rFonts w:cs="Arial"/>
                <w:color w:val="000000" w:themeColor="text1"/>
                <w:szCs w:val="16"/>
              </w:rPr>
              <w:t>83.00%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5C29F8" w:rsidRDefault="0085328E" w:rsidP="00A018D4">
            <w:pPr>
              <w:jc w:val="center"/>
              <w:rPr>
                <w:rFonts w:cs="Arial"/>
                <w:color w:val="000000" w:themeColor="text1"/>
                <w:szCs w:val="16"/>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5C29F8" w:rsidRDefault="002B7490" w:rsidP="00A018D4">
            <w:pPr>
              <w:jc w:val="center"/>
              <w:rPr>
                <w:rFonts w:cs="Arial"/>
                <w:color w:val="000000" w:themeColor="text1"/>
                <w:szCs w:val="16"/>
              </w:rPr>
            </w:pPr>
            <w:r w:rsidRPr="005C29F8">
              <w:rPr>
                <w:rFonts w:cs="Arial"/>
                <w:color w:val="000000" w:themeColor="text1"/>
                <w:szCs w:val="16"/>
              </w:rPr>
              <w:t>85.00%</w:t>
            </w:r>
          </w:p>
        </w:tc>
      </w:tr>
      <w:tr w:rsidR="005F0D3B" w:rsidRPr="005C29F8" w14:paraId="66DA0218" w14:textId="74D7BD54" w:rsidTr="0033429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5C29F8" w:rsidRDefault="001474EC" w:rsidP="004369B2">
            <w:pPr>
              <w:spacing w:before="0" w:after="0" w:line="276" w:lineRule="auto"/>
              <w:jc w:val="center"/>
              <w:rPr>
                <w:rFonts w:cs="Arial"/>
                <w:color w:val="000000" w:themeColor="text1"/>
                <w:szCs w:val="16"/>
              </w:rPr>
            </w:pPr>
            <w:r w:rsidRPr="005C29F8">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5C29F8" w:rsidRDefault="002B7490" w:rsidP="00A018D4">
            <w:pPr>
              <w:jc w:val="center"/>
              <w:rPr>
                <w:rFonts w:cs="Arial"/>
                <w:color w:val="000000" w:themeColor="text1"/>
                <w:szCs w:val="16"/>
              </w:rPr>
            </w:pPr>
            <w:r w:rsidRPr="005C29F8">
              <w:rPr>
                <w:rFonts w:cs="Arial"/>
                <w:color w:val="000000" w:themeColor="text1"/>
                <w:szCs w:val="16"/>
              </w:rPr>
              <w:t>84.90%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5C29F8" w:rsidRDefault="0085328E" w:rsidP="0085328E">
            <w:pPr>
              <w:spacing w:before="0" w:after="0" w:line="276" w:lineRule="auto"/>
              <w:rPr>
                <w:rFonts w:cs="Arial"/>
                <w:color w:val="000000" w:themeColor="text1"/>
                <w:szCs w:val="16"/>
              </w:rPr>
            </w:pPr>
            <w:r w:rsidRPr="005C29F8">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5C29F8" w:rsidRDefault="002B7490" w:rsidP="00A018D4">
            <w:pPr>
              <w:jc w:val="center"/>
              <w:rPr>
                <w:rFonts w:cs="Arial"/>
                <w:color w:val="000000" w:themeColor="text1"/>
                <w:szCs w:val="16"/>
              </w:rPr>
            </w:pPr>
            <w:r w:rsidRPr="005C29F8">
              <w:rPr>
                <w:rFonts w:cs="Arial"/>
                <w:color w:val="000000" w:themeColor="text1"/>
                <w:szCs w:val="16"/>
              </w:rPr>
              <w:t>83.89%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5C29F8" w:rsidRDefault="002B7490" w:rsidP="00A018D4">
            <w:pPr>
              <w:jc w:val="center"/>
              <w:rPr>
                <w:rFonts w:cs="Arial"/>
                <w:color w:val="000000" w:themeColor="text1"/>
                <w:szCs w:val="16"/>
              </w:rPr>
            </w:pPr>
            <w:r w:rsidRPr="005C29F8">
              <w:rPr>
                <w:rFonts w:cs="Arial"/>
                <w:color w:val="000000" w:themeColor="text1"/>
                <w:szCs w:val="16"/>
              </w:rPr>
              <w:t>78.19%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5C29F8" w:rsidRDefault="002B7490" w:rsidP="00A018D4">
            <w:pPr>
              <w:jc w:val="center"/>
              <w:rPr>
                <w:rFonts w:cs="Arial"/>
                <w:color w:val="000000" w:themeColor="text1"/>
                <w:szCs w:val="16"/>
              </w:rPr>
            </w:pPr>
            <w:r w:rsidRPr="005C29F8">
              <w:rPr>
                <w:rFonts w:cs="Arial"/>
                <w:color w:val="000000" w:themeColor="text1"/>
                <w:szCs w:val="16"/>
              </w:rPr>
              <w:t>85.47%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5C29F8" w:rsidRDefault="002B7490" w:rsidP="00A018D4">
            <w:pPr>
              <w:jc w:val="center"/>
              <w:rPr>
                <w:rFonts w:cs="Arial"/>
                <w:color w:val="000000" w:themeColor="text1"/>
                <w:szCs w:val="16"/>
              </w:rPr>
            </w:pPr>
            <w:r w:rsidRPr="005C29F8">
              <w:rPr>
                <w:rFonts w:cs="Arial"/>
                <w:color w:val="000000" w:themeColor="text1"/>
                <w:szCs w:val="16"/>
              </w:rPr>
              <w:t>84.90%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5C29F8" w:rsidRDefault="002B7490" w:rsidP="00A018D4">
            <w:pPr>
              <w:jc w:val="center"/>
              <w:rPr>
                <w:rFonts w:cs="Arial"/>
                <w:color w:val="000000" w:themeColor="text1"/>
                <w:szCs w:val="16"/>
              </w:rPr>
            </w:pPr>
            <w:r w:rsidRPr="005C29F8">
              <w:rPr>
                <w:rFonts w:cs="Arial"/>
                <w:color w:val="000000" w:themeColor="text1"/>
                <w:szCs w:val="16"/>
              </w:rPr>
              <w:t>83.56%</w:t>
            </w:r>
          </w:p>
        </w:tc>
      </w:tr>
      <w:tr w:rsidR="005F0D3B" w:rsidRPr="005C29F8" w14:paraId="5D1BF2C9" w14:textId="459BD37D" w:rsidTr="0033429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5C29F8" w:rsidRDefault="0085328E" w:rsidP="004369B2">
            <w:pPr>
              <w:spacing w:before="0" w:after="0" w:line="276" w:lineRule="auto"/>
              <w:jc w:val="center"/>
              <w:rPr>
                <w:rFonts w:cs="Arial"/>
                <w:color w:val="000000" w:themeColor="text1"/>
                <w:szCs w:val="16"/>
              </w:rPr>
            </w:pPr>
            <w:r w:rsidRPr="005C29F8">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5C29F8" w:rsidRDefault="0085328E" w:rsidP="0085328E">
            <w:pPr>
              <w:spacing w:before="0" w:after="0" w:line="276" w:lineRule="auto"/>
              <w:rPr>
                <w:rFonts w:cs="Arial"/>
                <w:color w:val="000000" w:themeColor="text1"/>
                <w:szCs w:val="16"/>
              </w:rPr>
            </w:pPr>
            <w:r w:rsidRPr="005C29F8">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5C29F8" w:rsidRDefault="002B7490" w:rsidP="00A018D4">
            <w:pPr>
              <w:jc w:val="center"/>
              <w:rPr>
                <w:rFonts w:cs="Arial"/>
                <w:color w:val="000000" w:themeColor="text1"/>
                <w:szCs w:val="16"/>
              </w:rPr>
            </w:pPr>
            <w:r w:rsidRPr="005C29F8">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5C29F8" w:rsidRDefault="002B7490" w:rsidP="00A018D4">
            <w:pPr>
              <w:jc w:val="center"/>
              <w:rPr>
                <w:rFonts w:cs="Arial"/>
                <w:color w:val="000000" w:themeColor="text1"/>
                <w:szCs w:val="16"/>
              </w:rPr>
            </w:pPr>
            <w:r w:rsidRPr="005C29F8">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5C29F8" w:rsidRDefault="002B7490" w:rsidP="00A018D4">
            <w:pPr>
              <w:jc w:val="center"/>
              <w:rPr>
                <w:rFonts w:cs="Arial"/>
                <w:color w:val="000000" w:themeColor="text1"/>
                <w:szCs w:val="16"/>
              </w:rPr>
            </w:pPr>
            <w:r w:rsidRPr="005C29F8">
              <w:rPr>
                <w:rFonts w:cs="Arial"/>
                <w:color w:val="000000" w:themeColor="text1"/>
                <w:szCs w:val="16"/>
              </w:rPr>
              <w:t>48.00%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5C29F8" w:rsidRDefault="0085328E" w:rsidP="00A018D4">
            <w:pPr>
              <w:jc w:val="center"/>
              <w:rPr>
                <w:rFonts w:cs="Arial"/>
                <w:color w:val="000000" w:themeColor="text1"/>
                <w:szCs w:val="16"/>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5C29F8" w:rsidRDefault="002B7490" w:rsidP="00A018D4">
            <w:pPr>
              <w:jc w:val="center"/>
              <w:rPr>
                <w:rFonts w:cs="Arial"/>
                <w:color w:val="000000" w:themeColor="text1"/>
                <w:szCs w:val="16"/>
              </w:rPr>
            </w:pPr>
            <w:r w:rsidRPr="005C29F8">
              <w:rPr>
                <w:rFonts w:cs="Arial"/>
                <w:color w:val="000000" w:themeColor="text1"/>
                <w:szCs w:val="16"/>
              </w:rPr>
              <w:t>49.00%</w:t>
            </w:r>
          </w:p>
        </w:tc>
      </w:tr>
      <w:tr w:rsidR="005F0D3B" w:rsidRPr="005C29F8" w14:paraId="1AC0D5CC" w14:textId="451AD16E" w:rsidTr="0033429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5C29F8" w:rsidRDefault="001474EC" w:rsidP="004369B2">
            <w:pPr>
              <w:spacing w:before="0" w:after="0" w:line="276" w:lineRule="auto"/>
              <w:jc w:val="center"/>
              <w:rPr>
                <w:rFonts w:cs="Arial"/>
                <w:color w:val="000000" w:themeColor="text1"/>
                <w:szCs w:val="16"/>
              </w:rPr>
            </w:pPr>
            <w:r w:rsidRPr="005C29F8">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5C29F8" w:rsidRDefault="002B7490" w:rsidP="00A018D4">
            <w:pPr>
              <w:jc w:val="center"/>
              <w:rPr>
                <w:rFonts w:cs="Arial"/>
                <w:color w:val="000000" w:themeColor="text1"/>
                <w:szCs w:val="16"/>
              </w:rPr>
            </w:pPr>
            <w:r w:rsidRPr="005C29F8">
              <w:rPr>
                <w:rFonts w:cs="Arial"/>
                <w:color w:val="000000" w:themeColor="text1"/>
                <w:szCs w:val="16"/>
              </w:rPr>
              <w:t>48.39%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5C29F8" w:rsidRDefault="0085328E" w:rsidP="0085328E">
            <w:pPr>
              <w:spacing w:before="0" w:after="0" w:line="276" w:lineRule="auto"/>
              <w:rPr>
                <w:rFonts w:cs="Arial"/>
                <w:color w:val="000000" w:themeColor="text1"/>
                <w:szCs w:val="16"/>
              </w:rPr>
            </w:pPr>
            <w:r w:rsidRPr="005C29F8">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5C29F8" w:rsidRDefault="002B7490" w:rsidP="00A018D4">
            <w:pPr>
              <w:jc w:val="center"/>
              <w:rPr>
                <w:rFonts w:cs="Arial"/>
                <w:color w:val="000000" w:themeColor="text1"/>
                <w:szCs w:val="16"/>
              </w:rPr>
            </w:pPr>
            <w:r w:rsidRPr="005C29F8">
              <w:rPr>
                <w:rFonts w:cs="Arial"/>
                <w:color w:val="000000" w:themeColor="text1"/>
                <w:szCs w:val="16"/>
              </w:rPr>
              <w:t>45.93%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5C29F8" w:rsidRDefault="002B7490" w:rsidP="00A018D4">
            <w:pPr>
              <w:jc w:val="center"/>
              <w:rPr>
                <w:rFonts w:cs="Arial"/>
                <w:color w:val="000000" w:themeColor="text1"/>
                <w:szCs w:val="16"/>
              </w:rPr>
            </w:pPr>
            <w:r w:rsidRPr="005C29F8">
              <w:rPr>
                <w:rFonts w:cs="Arial"/>
                <w:color w:val="000000" w:themeColor="text1"/>
                <w:szCs w:val="16"/>
              </w:rPr>
              <w:t>52.62%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5C29F8" w:rsidRDefault="002B7490" w:rsidP="00A018D4">
            <w:pPr>
              <w:jc w:val="center"/>
              <w:rPr>
                <w:rFonts w:cs="Arial"/>
                <w:color w:val="000000" w:themeColor="text1"/>
                <w:szCs w:val="16"/>
              </w:rPr>
            </w:pPr>
            <w:r w:rsidRPr="005C29F8">
              <w:rPr>
                <w:rFonts w:cs="Arial"/>
                <w:color w:val="000000" w:themeColor="text1"/>
                <w:szCs w:val="16"/>
              </w:rPr>
              <w:t>46.48%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5C29F8" w:rsidRDefault="002B7490" w:rsidP="00A018D4">
            <w:pPr>
              <w:jc w:val="center"/>
              <w:rPr>
                <w:rFonts w:cs="Arial"/>
                <w:color w:val="000000" w:themeColor="text1"/>
                <w:szCs w:val="16"/>
              </w:rPr>
            </w:pPr>
            <w:r w:rsidRPr="005C29F8">
              <w:rPr>
                <w:rFonts w:cs="Arial"/>
                <w:color w:val="000000" w:themeColor="text1"/>
                <w:szCs w:val="16"/>
              </w:rPr>
              <w:t>48.39%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5C29F8" w:rsidRDefault="002B7490" w:rsidP="00A018D4">
            <w:pPr>
              <w:jc w:val="center"/>
              <w:rPr>
                <w:rFonts w:cs="Arial"/>
                <w:color w:val="000000" w:themeColor="text1"/>
                <w:szCs w:val="16"/>
              </w:rPr>
            </w:pPr>
            <w:r w:rsidRPr="005C29F8">
              <w:rPr>
                <w:rFonts w:cs="Arial"/>
                <w:color w:val="000000" w:themeColor="text1"/>
                <w:szCs w:val="16"/>
              </w:rPr>
              <w:t>46.60%</w:t>
            </w:r>
          </w:p>
        </w:tc>
      </w:tr>
      <w:tr w:rsidR="005F0D3B" w:rsidRPr="005C29F8" w14:paraId="3A905290" w14:textId="4D4DDE53" w:rsidTr="0033429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5C29F8" w:rsidRDefault="0085328E" w:rsidP="004369B2">
            <w:pPr>
              <w:spacing w:before="0" w:after="0" w:line="276" w:lineRule="auto"/>
              <w:jc w:val="center"/>
              <w:rPr>
                <w:rFonts w:cs="Arial"/>
                <w:color w:val="000000" w:themeColor="text1"/>
                <w:szCs w:val="16"/>
              </w:rPr>
            </w:pPr>
            <w:r w:rsidRPr="005C29F8">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5C29F8" w:rsidRDefault="0085328E" w:rsidP="0085328E">
            <w:pPr>
              <w:spacing w:before="0" w:after="0" w:line="276" w:lineRule="auto"/>
              <w:rPr>
                <w:rFonts w:cs="Arial"/>
                <w:color w:val="000000" w:themeColor="text1"/>
                <w:szCs w:val="16"/>
              </w:rPr>
            </w:pPr>
            <w:r w:rsidRPr="005C29F8">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5C29F8" w:rsidRDefault="002B7490" w:rsidP="00A018D4">
            <w:pPr>
              <w:jc w:val="center"/>
              <w:rPr>
                <w:rFonts w:cs="Arial"/>
                <w:color w:val="000000" w:themeColor="text1"/>
                <w:szCs w:val="16"/>
              </w:rPr>
            </w:pPr>
            <w:r w:rsidRPr="005C29F8">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5C29F8" w:rsidRDefault="002B7490" w:rsidP="00A018D4">
            <w:pPr>
              <w:jc w:val="center"/>
              <w:rPr>
                <w:rFonts w:cs="Arial"/>
                <w:color w:val="000000" w:themeColor="text1"/>
                <w:szCs w:val="16"/>
              </w:rPr>
            </w:pPr>
            <w:r w:rsidRPr="005C29F8">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5C29F8" w:rsidRDefault="002B7490" w:rsidP="00A018D4">
            <w:pPr>
              <w:jc w:val="center"/>
              <w:rPr>
                <w:rFonts w:cs="Arial"/>
                <w:color w:val="000000" w:themeColor="text1"/>
                <w:szCs w:val="16"/>
              </w:rPr>
            </w:pPr>
            <w:r w:rsidRPr="005C29F8">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5C29F8" w:rsidRDefault="0085328E" w:rsidP="00A018D4">
            <w:pPr>
              <w:jc w:val="center"/>
              <w:rPr>
                <w:rFonts w:cs="Arial"/>
                <w:color w:val="000000" w:themeColor="text1"/>
                <w:szCs w:val="16"/>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5C29F8" w:rsidRDefault="002B7490" w:rsidP="00A018D4">
            <w:pPr>
              <w:jc w:val="center"/>
              <w:rPr>
                <w:rFonts w:cs="Arial"/>
                <w:color w:val="000000" w:themeColor="text1"/>
                <w:szCs w:val="16"/>
              </w:rPr>
            </w:pPr>
            <w:r w:rsidRPr="005C29F8">
              <w:rPr>
                <w:rFonts w:cs="Arial"/>
                <w:color w:val="000000" w:themeColor="text1"/>
                <w:szCs w:val="16"/>
              </w:rPr>
              <w:t>86.00%</w:t>
            </w:r>
          </w:p>
        </w:tc>
      </w:tr>
      <w:tr w:rsidR="005F0D3B" w:rsidRPr="005C29F8" w14:paraId="542EE9A0" w14:textId="0624CABB" w:rsidTr="0033429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5C29F8" w:rsidRDefault="001474EC" w:rsidP="004369B2">
            <w:pPr>
              <w:spacing w:before="0" w:after="0" w:line="276" w:lineRule="auto"/>
              <w:jc w:val="center"/>
              <w:rPr>
                <w:rFonts w:cs="Arial"/>
                <w:color w:val="000000" w:themeColor="text1"/>
                <w:szCs w:val="16"/>
              </w:rPr>
            </w:pPr>
            <w:r w:rsidRPr="005C29F8">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5C29F8" w:rsidRDefault="002B7490" w:rsidP="00A018D4">
            <w:pPr>
              <w:jc w:val="center"/>
              <w:rPr>
                <w:rFonts w:cs="Arial"/>
                <w:color w:val="000000" w:themeColor="text1"/>
                <w:szCs w:val="16"/>
              </w:rPr>
            </w:pPr>
            <w:r w:rsidRPr="005C29F8">
              <w:rPr>
                <w:rFonts w:cs="Arial"/>
                <w:color w:val="000000" w:themeColor="text1"/>
                <w:szCs w:val="16"/>
              </w:rPr>
              <w:t>85.51%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5C29F8" w:rsidRDefault="0085328E" w:rsidP="0085328E">
            <w:pPr>
              <w:spacing w:before="0" w:after="0" w:line="276" w:lineRule="auto"/>
              <w:rPr>
                <w:rFonts w:cs="Arial"/>
                <w:color w:val="000000" w:themeColor="text1"/>
                <w:szCs w:val="16"/>
              </w:rPr>
            </w:pPr>
            <w:r w:rsidRPr="005C29F8">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5C29F8" w:rsidRDefault="002B7490" w:rsidP="00A018D4">
            <w:pPr>
              <w:jc w:val="center"/>
              <w:rPr>
                <w:rFonts w:cs="Arial"/>
                <w:color w:val="000000" w:themeColor="text1"/>
                <w:szCs w:val="16"/>
              </w:rPr>
            </w:pPr>
            <w:r w:rsidRPr="005C29F8">
              <w:rPr>
                <w:rFonts w:cs="Arial"/>
                <w:color w:val="000000" w:themeColor="text1"/>
                <w:szCs w:val="16"/>
              </w:rPr>
              <w:t>85.90%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5C29F8" w:rsidRDefault="002B7490" w:rsidP="00A018D4">
            <w:pPr>
              <w:jc w:val="center"/>
              <w:rPr>
                <w:rFonts w:cs="Arial"/>
                <w:color w:val="000000" w:themeColor="text1"/>
                <w:szCs w:val="16"/>
              </w:rPr>
            </w:pPr>
            <w:r w:rsidRPr="005C29F8">
              <w:rPr>
                <w:rFonts w:cs="Arial"/>
                <w:color w:val="000000" w:themeColor="text1"/>
                <w:szCs w:val="16"/>
              </w:rPr>
              <w:t>80.84%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5C29F8" w:rsidRDefault="002B7490" w:rsidP="00A018D4">
            <w:pPr>
              <w:jc w:val="center"/>
              <w:rPr>
                <w:rFonts w:cs="Arial"/>
                <w:color w:val="000000" w:themeColor="text1"/>
                <w:szCs w:val="16"/>
              </w:rPr>
            </w:pPr>
            <w:r w:rsidRPr="005C29F8">
              <w:rPr>
                <w:rFonts w:cs="Arial"/>
                <w:color w:val="000000" w:themeColor="text1"/>
                <w:szCs w:val="16"/>
              </w:rPr>
              <w:t>89.31%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5C29F8" w:rsidRDefault="002B7490" w:rsidP="00A018D4">
            <w:pPr>
              <w:jc w:val="center"/>
              <w:rPr>
                <w:rFonts w:cs="Arial"/>
                <w:color w:val="000000" w:themeColor="text1"/>
                <w:szCs w:val="16"/>
              </w:rPr>
            </w:pPr>
            <w:r w:rsidRPr="005C29F8">
              <w:rPr>
                <w:rFonts w:cs="Arial"/>
                <w:color w:val="000000" w:themeColor="text1"/>
                <w:szCs w:val="16"/>
              </w:rPr>
              <w:t>85.51%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5C29F8" w:rsidRDefault="002B7490" w:rsidP="00A018D4">
            <w:pPr>
              <w:jc w:val="center"/>
              <w:rPr>
                <w:rFonts w:cs="Arial"/>
                <w:color w:val="000000" w:themeColor="text1"/>
                <w:szCs w:val="16"/>
              </w:rPr>
            </w:pPr>
            <w:r w:rsidRPr="005C29F8">
              <w:rPr>
                <w:rFonts w:cs="Arial"/>
                <w:color w:val="000000" w:themeColor="text1"/>
                <w:szCs w:val="16"/>
              </w:rPr>
              <w:t>86.17%</w:t>
            </w:r>
          </w:p>
        </w:tc>
      </w:tr>
      <w:tr w:rsidR="005F0D3B" w:rsidRPr="005C29F8" w14:paraId="1C3A879D" w14:textId="39451B95" w:rsidTr="0033429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5C29F8" w:rsidRDefault="0085328E" w:rsidP="004369B2">
            <w:pPr>
              <w:spacing w:before="0" w:after="0" w:line="276" w:lineRule="auto"/>
              <w:jc w:val="center"/>
              <w:rPr>
                <w:rFonts w:cs="Arial"/>
                <w:color w:val="000000" w:themeColor="text1"/>
                <w:szCs w:val="16"/>
              </w:rPr>
            </w:pPr>
            <w:r w:rsidRPr="005C29F8">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5C29F8" w:rsidRDefault="0085328E" w:rsidP="0085328E">
            <w:pPr>
              <w:spacing w:before="0" w:after="0" w:line="276" w:lineRule="auto"/>
              <w:rPr>
                <w:rFonts w:cs="Arial"/>
                <w:color w:val="000000" w:themeColor="text1"/>
                <w:szCs w:val="16"/>
              </w:rPr>
            </w:pPr>
            <w:r w:rsidRPr="005C29F8">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5C29F8" w:rsidRDefault="002B7490" w:rsidP="00A018D4">
            <w:pPr>
              <w:jc w:val="center"/>
              <w:rPr>
                <w:rFonts w:cs="Arial"/>
                <w:color w:val="000000" w:themeColor="text1"/>
                <w:szCs w:val="16"/>
              </w:rPr>
            </w:pPr>
            <w:r w:rsidRPr="005C29F8">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5C29F8" w:rsidRDefault="002B7490" w:rsidP="00A018D4">
            <w:pPr>
              <w:jc w:val="center"/>
              <w:rPr>
                <w:rFonts w:cs="Arial"/>
                <w:color w:val="000000" w:themeColor="text1"/>
                <w:szCs w:val="16"/>
              </w:rPr>
            </w:pPr>
            <w:r w:rsidRPr="005C29F8">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5C29F8" w:rsidRDefault="002B7490" w:rsidP="00A018D4">
            <w:pPr>
              <w:jc w:val="center"/>
              <w:rPr>
                <w:rFonts w:cs="Arial"/>
                <w:color w:val="000000" w:themeColor="text1"/>
                <w:szCs w:val="16"/>
              </w:rPr>
            </w:pPr>
            <w:r w:rsidRPr="005C29F8">
              <w:rPr>
                <w:rFonts w:cs="Arial"/>
                <w:color w:val="000000" w:themeColor="text1"/>
                <w:szCs w:val="16"/>
              </w:rPr>
              <w:t>62.00%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5C29F8" w:rsidRDefault="0085328E" w:rsidP="00A018D4">
            <w:pPr>
              <w:jc w:val="center"/>
              <w:rPr>
                <w:rFonts w:cs="Arial"/>
                <w:color w:val="000000" w:themeColor="text1"/>
                <w:szCs w:val="16"/>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5C29F8" w:rsidRDefault="002B7490" w:rsidP="00A018D4">
            <w:pPr>
              <w:jc w:val="center"/>
              <w:rPr>
                <w:rFonts w:cs="Arial"/>
                <w:color w:val="000000" w:themeColor="text1"/>
                <w:szCs w:val="16"/>
              </w:rPr>
            </w:pPr>
            <w:r w:rsidRPr="005C29F8">
              <w:rPr>
                <w:rFonts w:cs="Arial"/>
                <w:color w:val="000000" w:themeColor="text1"/>
                <w:szCs w:val="16"/>
              </w:rPr>
              <w:t>63.00%</w:t>
            </w:r>
          </w:p>
        </w:tc>
      </w:tr>
      <w:tr w:rsidR="005F0D3B" w:rsidRPr="005C29F8" w14:paraId="2ED2CF15" w14:textId="4D4950C3" w:rsidTr="0033429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5C29F8" w:rsidRDefault="001474EC" w:rsidP="004369B2">
            <w:pPr>
              <w:spacing w:before="0" w:after="0" w:line="276" w:lineRule="auto"/>
              <w:jc w:val="center"/>
              <w:rPr>
                <w:rFonts w:cs="Arial"/>
                <w:color w:val="000000" w:themeColor="text1"/>
                <w:szCs w:val="16"/>
              </w:rPr>
            </w:pPr>
            <w:r w:rsidRPr="005C29F8">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5C29F8" w:rsidRDefault="002B7490" w:rsidP="00A018D4">
            <w:pPr>
              <w:jc w:val="center"/>
              <w:rPr>
                <w:rFonts w:cs="Arial"/>
                <w:color w:val="000000" w:themeColor="text1"/>
                <w:szCs w:val="16"/>
              </w:rPr>
            </w:pPr>
            <w:r w:rsidRPr="005C29F8">
              <w:rPr>
                <w:rFonts w:cs="Arial"/>
                <w:color w:val="000000" w:themeColor="text1"/>
                <w:szCs w:val="16"/>
              </w:rPr>
              <w:t>60.46%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5C29F8" w:rsidRDefault="0085328E" w:rsidP="0085328E">
            <w:pPr>
              <w:spacing w:before="0" w:after="0" w:line="276" w:lineRule="auto"/>
              <w:rPr>
                <w:rFonts w:cs="Arial"/>
                <w:color w:val="000000" w:themeColor="text1"/>
                <w:szCs w:val="16"/>
              </w:rPr>
            </w:pPr>
            <w:r w:rsidRPr="005C29F8">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5C29F8" w:rsidRDefault="002B7490" w:rsidP="00A018D4">
            <w:pPr>
              <w:jc w:val="center"/>
              <w:rPr>
                <w:rFonts w:cs="Arial"/>
                <w:color w:val="000000" w:themeColor="text1"/>
                <w:szCs w:val="16"/>
              </w:rPr>
            </w:pPr>
            <w:r w:rsidRPr="005C29F8">
              <w:rPr>
                <w:rFonts w:cs="Arial"/>
                <w:color w:val="000000" w:themeColor="text1"/>
                <w:szCs w:val="16"/>
              </w:rPr>
              <w:t>60.33%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5C29F8" w:rsidRDefault="002B7490" w:rsidP="00A018D4">
            <w:pPr>
              <w:jc w:val="center"/>
              <w:rPr>
                <w:rFonts w:cs="Arial"/>
                <w:color w:val="000000" w:themeColor="text1"/>
                <w:szCs w:val="16"/>
              </w:rPr>
            </w:pPr>
            <w:r w:rsidRPr="005C29F8">
              <w:rPr>
                <w:rFonts w:cs="Arial"/>
                <w:color w:val="000000" w:themeColor="text1"/>
                <w:szCs w:val="16"/>
              </w:rPr>
              <w:t>61.58%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5C29F8" w:rsidRDefault="002B7490" w:rsidP="00A018D4">
            <w:pPr>
              <w:jc w:val="center"/>
              <w:rPr>
                <w:rFonts w:cs="Arial"/>
                <w:color w:val="000000" w:themeColor="text1"/>
                <w:szCs w:val="16"/>
              </w:rPr>
            </w:pPr>
            <w:r w:rsidRPr="005C29F8">
              <w:rPr>
                <w:rFonts w:cs="Arial"/>
                <w:color w:val="000000" w:themeColor="text1"/>
                <w:szCs w:val="16"/>
              </w:rPr>
              <w:t>63.73%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5C29F8" w:rsidRDefault="002B7490" w:rsidP="00A018D4">
            <w:pPr>
              <w:jc w:val="center"/>
              <w:rPr>
                <w:rFonts w:cs="Arial"/>
                <w:color w:val="000000" w:themeColor="text1"/>
                <w:szCs w:val="16"/>
              </w:rPr>
            </w:pPr>
            <w:r w:rsidRPr="005C29F8">
              <w:rPr>
                <w:rFonts w:cs="Arial"/>
                <w:color w:val="000000" w:themeColor="text1"/>
                <w:szCs w:val="16"/>
              </w:rPr>
              <w:t>60.46%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5C29F8" w:rsidRDefault="002B7490" w:rsidP="00A018D4">
            <w:pPr>
              <w:jc w:val="center"/>
              <w:rPr>
                <w:rFonts w:cs="Arial"/>
                <w:color w:val="000000" w:themeColor="text1"/>
                <w:szCs w:val="16"/>
              </w:rPr>
            </w:pPr>
            <w:r w:rsidRPr="005C29F8">
              <w:rPr>
                <w:rFonts w:cs="Arial"/>
                <w:color w:val="000000" w:themeColor="text1"/>
                <w:szCs w:val="16"/>
              </w:rPr>
              <w:t>60.67%</w:t>
            </w:r>
          </w:p>
        </w:tc>
      </w:tr>
    </w:tbl>
    <w:p w14:paraId="53B4B4AE" w14:textId="77777777" w:rsidR="007870F8" w:rsidRPr="005C29F8" w:rsidRDefault="007870F8" w:rsidP="004369B2">
      <w:pPr>
        <w:rPr>
          <w:color w:val="000000" w:themeColor="text1"/>
        </w:rPr>
      </w:pPr>
    </w:p>
    <w:p w14:paraId="0DB74FA5" w14:textId="79B945B9" w:rsidR="00F4192A" w:rsidRPr="005C29F8" w:rsidRDefault="00F4192A" w:rsidP="004369B2">
      <w:pPr>
        <w:rPr>
          <w:color w:val="000000" w:themeColor="text1"/>
        </w:rPr>
      </w:pPr>
      <w:r w:rsidRPr="005C29F8">
        <w:rPr>
          <w:b/>
          <w:color w:val="000000" w:themeColor="text1"/>
        </w:rPr>
        <w:t>Targets</w:t>
      </w:r>
    </w:p>
    <w:tbl>
      <w:tblPr>
        <w:tblW w:w="1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1346"/>
        <w:gridCol w:w="2791"/>
      </w:tblGrid>
      <w:tr w:rsidR="00360CD9" w:rsidRPr="005C29F8" w14:paraId="7154778B" w14:textId="0E7606CF" w:rsidTr="00360CD9">
        <w:trPr>
          <w:trHeight w:val="350"/>
        </w:trPr>
        <w:tc>
          <w:tcPr>
            <w:tcW w:w="1627" w:type="pct"/>
            <w:tcBorders>
              <w:bottom w:val="single" w:sz="4" w:space="0" w:color="auto"/>
            </w:tcBorders>
            <w:shd w:val="clear" w:color="auto" w:fill="auto"/>
            <w:vAlign w:val="bottom"/>
          </w:tcPr>
          <w:p w14:paraId="4C772A88" w14:textId="77777777" w:rsidR="00360CD9" w:rsidRPr="005C29F8" w:rsidRDefault="00360CD9" w:rsidP="004369B2">
            <w:pPr>
              <w:jc w:val="center"/>
              <w:rPr>
                <w:b/>
                <w:color w:val="000000" w:themeColor="text1"/>
              </w:rPr>
            </w:pPr>
            <w:r w:rsidRPr="005C29F8">
              <w:rPr>
                <w:b/>
                <w:color w:val="000000" w:themeColor="text1"/>
              </w:rPr>
              <w:t>FFY</w:t>
            </w:r>
          </w:p>
        </w:tc>
        <w:tc>
          <w:tcPr>
            <w:tcW w:w="3373" w:type="pct"/>
            <w:shd w:val="clear" w:color="auto" w:fill="auto"/>
            <w:vAlign w:val="bottom"/>
          </w:tcPr>
          <w:p w14:paraId="12A78916" w14:textId="4FE79E21" w:rsidR="00360CD9" w:rsidRPr="005C29F8" w:rsidRDefault="00360CD9" w:rsidP="004369B2">
            <w:pPr>
              <w:jc w:val="center"/>
              <w:rPr>
                <w:b/>
                <w:color w:val="000000" w:themeColor="text1"/>
              </w:rPr>
            </w:pPr>
            <w:r w:rsidRPr="005C29F8">
              <w:rPr>
                <w:b/>
                <w:color w:val="000000" w:themeColor="text1"/>
              </w:rPr>
              <w:t>2019</w:t>
            </w:r>
          </w:p>
        </w:tc>
      </w:tr>
      <w:tr w:rsidR="00360CD9" w:rsidRPr="005C29F8" w14:paraId="18C73B9A" w14:textId="70B5F265" w:rsidTr="00360CD9">
        <w:trPr>
          <w:trHeight w:val="357"/>
        </w:trPr>
        <w:tc>
          <w:tcPr>
            <w:tcW w:w="1627" w:type="pct"/>
            <w:shd w:val="clear" w:color="auto" w:fill="auto"/>
            <w:vAlign w:val="center"/>
          </w:tcPr>
          <w:p w14:paraId="507B0BCD" w14:textId="415A5723" w:rsidR="00360CD9" w:rsidRPr="005C29F8" w:rsidRDefault="00360CD9" w:rsidP="007D156B">
            <w:pPr>
              <w:rPr>
                <w:rFonts w:cs="Arial"/>
                <w:color w:val="000000" w:themeColor="text1"/>
                <w:szCs w:val="16"/>
              </w:rPr>
            </w:pPr>
            <w:r w:rsidRPr="005C29F8">
              <w:rPr>
                <w:rFonts w:cs="Arial"/>
                <w:color w:val="000000" w:themeColor="text1"/>
                <w:szCs w:val="16"/>
              </w:rPr>
              <w:t>Target A1 &gt;=</w:t>
            </w:r>
          </w:p>
        </w:tc>
        <w:tc>
          <w:tcPr>
            <w:tcW w:w="3373" w:type="pct"/>
            <w:shd w:val="clear" w:color="auto" w:fill="auto"/>
            <w:vAlign w:val="center"/>
          </w:tcPr>
          <w:p w14:paraId="1B809E80" w14:textId="23651174" w:rsidR="00360CD9" w:rsidRPr="005C29F8" w:rsidRDefault="00360CD9">
            <w:pPr>
              <w:jc w:val="center"/>
              <w:rPr>
                <w:color w:val="000000" w:themeColor="text1"/>
              </w:rPr>
            </w:pPr>
            <w:r w:rsidRPr="005C29F8">
              <w:rPr>
                <w:color w:val="000000" w:themeColor="text1"/>
              </w:rPr>
              <w:t>86.00%</w:t>
            </w:r>
          </w:p>
        </w:tc>
      </w:tr>
      <w:tr w:rsidR="00360CD9" w:rsidRPr="005C29F8" w14:paraId="7C704220" w14:textId="7DE22E02" w:rsidTr="00360CD9">
        <w:trPr>
          <w:trHeight w:val="357"/>
        </w:trPr>
        <w:tc>
          <w:tcPr>
            <w:tcW w:w="1627" w:type="pct"/>
            <w:shd w:val="clear" w:color="auto" w:fill="auto"/>
            <w:vAlign w:val="center"/>
          </w:tcPr>
          <w:p w14:paraId="253AADF0" w14:textId="721E9C65" w:rsidR="00360CD9" w:rsidRPr="005C29F8" w:rsidRDefault="00360CD9" w:rsidP="007D156B">
            <w:pPr>
              <w:rPr>
                <w:rFonts w:cs="Arial"/>
                <w:color w:val="000000" w:themeColor="text1"/>
                <w:szCs w:val="16"/>
              </w:rPr>
            </w:pPr>
            <w:r w:rsidRPr="005C29F8">
              <w:rPr>
                <w:rFonts w:cs="Arial"/>
                <w:color w:val="000000" w:themeColor="text1"/>
                <w:szCs w:val="16"/>
              </w:rPr>
              <w:t>Target A2 &gt;=</w:t>
            </w:r>
          </w:p>
        </w:tc>
        <w:tc>
          <w:tcPr>
            <w:tcW w:w="3373" w:type="pct"/>
            <w:shd w:val="clear" w:color="auto" w:fill="auto"/>
            <w:vAlign w:val="center"/>
          </w:tcPr>
          <w:p w14:paraId="572F97E5" w14:textId="71E20118" w:rsidR="00360CD9" w:rsidRPr="005C29F8" w:rsidRDefault="00360CD9" w:rsidP="00A018D4">
            <w:pPr>
              <w:jc w:val="center"/>
              <w:rPr>
                <w:rFonts w:cs="Arial"/>
                <w:color w:val="000000" w:themeColor="text1"/>
                <w:szCs w:val="16"/>
              </w:rPr>
            </w:pPr>
            <w:r w:rsidRPr="005C29F8">
              <w:rPr>
                <w:rFonts w:cs="Arial"/>
                <w:color w:val="000000" w:themeColor="text1"/>
                <w:szCs w:val="16"/>
              </w:rPr>
              <w:t>50.00%</w:t>
            </w:r>
          </w:p>
        </w:tc>
      </w:tr>
      <w:tr w:rsidR="00360CD9" w:rsidRPr="005C29F8" w14:paraId="6D44D644" w14:textId="0E68C44F" w:rsidTr="00360CD9">
        <w:trPr>
          <w:trHeight w:val="357"/>
        </w:trPr>
        <w:tc>
          <w:tcPr>
            <w:tcW w:w="1627" w:type="pct"/>
            <w:shd w:val="clear" w:color="auto" w:fill="auto"/>
            <w:vAlign w:val="center"/>
          </w:tcPr>
          <w:p w14:paraId="2E46543E" w14:textId="484E799D" w:rsidR="00360CD9" w:rsidRPr="005C29F8" w:rsidRDefault="00360CD9" w:rsidP="007D156B">
            <w:pPr>
              <w:rPr>
                <w:rFonts w:cs="Arial"/>
                <w:color w:val="000000" w:themeColor="text1"/>
                <w:szCs w:val="16"/>
              </w:rPr>
            </w:pPr>
            <w:r w:rsidRPr="005C29F8">
              <w:rPr>
                <w:rFonts w:cs="Arial"/>
                <w:color w:val="000000" w:themeColor="text1"/>
                <w:szCs w:val="16"/>
              </w:rPr>
              <w:t>Target B1 &gt;=</w:t>
            </w:r>
          </w:p>
        </w:tc>
        <w:tc>
          <w:tcPr>
            <w:tcW w:w="3373" w:type="pct"/>
            <w:shd w:val="clear" w:color="auto" w:fill="auto"/>
            <w:vAlign w:val="center"/>
          </w:tcPr>
          <w:p w14:paraId="5B1AAB6F" w14:textId="09987858" w:rsidR="00360CD9" w:rsidRPr="005C29F8" w:rsidRDefault="00360CD9" w:rsidP="00A018D4">
            <w:pPr>
              <w:jc w:val="center"/>
              <w:rPr>
                <w:rFonts w:cs="Arial"/>
                <w:color w:val="000000" w:themeColor="text1"/>
                <w:szCs w:val="16"/>
              </w:rPr>
            </w:pPr>
            <w:r w:rsidRPr="005C29F8">
              <w:rPr>
                <w:rFonts w:cs="Arial"/>
                <w:color w:val="000000" w:themeColor="text1"/>
                <w:szCs w:val="16"/>
              </w:rPr>
              <w:t>85.00%</w:t>
            </w:r>
          </w:p>
        </w:tc>
      </w:tr>
      <w:tr w:rsidR="00360CD9" w:rsidRPr="005C29F8" w14:paraId="23425CD0" w14:textId="7ED99A36" w:rsidTr="00360CD9">
        <w:trPr>
          <w:trHeight w:val="357"/>
        </w:trPr>
        <w:tc>
          <w:tcPr>
            <w:tcW w:w="1627" w:type="pct"/>
            <w:shd w:val="clear" w:color="auto" w:fill="auto"/>
            <w:vAlign w:val="center"/>
          </w:tcPr>
          <w:p w14:paraId="7DAA620C" w14:textId="6D6F79FD" w:rsidR="00360CD9" w:rsidRPr="005C29F8" w:rsidRDefault="00360CD9" w:rsidP="007D156B">
            <w:pPr>
              <w:rPr>
                <w:rFonts w:cs="Arial"/>
                <w:color w:val="000000" w:themeColor="text1"/>
                <w:szCs w:val="16"/>
              </w:rPr>
            </w:pPr>
            <w:r w:rsidRPr="005C29F8">
              <w:rPr>
                <w:rFonts w:cs="Arial"/>
                <w:color w:val="000000" w:themeColor="text1"/>
                <w:szCs w:val="16"/>
              </w:rPr>
              <w:t>Target B2 &gt;=</w:t>
            </w:r>
          </w:p>
        </w:tc>
        <w:tc>
          <w:tcPr>
            <w:tcW w:w="3373" w:type="pct"/>
            <w:shd w:val="clear" w:color="auto" w:fill="auto"/>
            <w:vAlign w:val="center"/>
          </w:tcPr>
          <w:p w14:paraId="0C8065AA" w14:textId="2AC4B20C" w:rsidR="00360CD9" w:rsidRPr="005C29F8" w:rsidRDefault="00360CD9" w:rsidP="00A018D4">
            <w:pPr>
              <w:jc w:val="center"/>
              <w:rPr>
                <w:rFonts w:cs="Arial"/>
                <w:color w:val="000000" w:themeColor="text1"/>
                <w:szCs w:val="16"/>
              </w:rPr>
            </w:pPr>
            <w:r w:rsidRPr="005C29F8">
              <w:rPr>
                <w:rFonts w:cs="Arial"/>
                <w:color w:val="000000" w:themeColor="text1"/>
                <w:szCs w:val="16"/>
              </w:rPr>
              <w:t>49.00%</w:t>
            </w:r>
          </w:p>
        </w:tc>
      </w:tr>
      <w:tr w:rsidR="00360CD9" w:rsidRPr="005C29F8" w14:paraId="3A0A624F" w14:textId="382D7613" w:rsidTr="00360CD9">
        <w:trPr>
          <w:trHeight w:val="357"/>
        </w:trPr>
        <w:tc>
          <w:tcPr>
            <w:tcW w:w="1627" w:type="pct"/>
            <w:shd w:val="clear" w:color="auto" w:fill="auto"/>
            <w:vAlign w:val="center"/>
          </w:tcPr>
          <w:p w14:paraId="04DCCFAA" w14:textId="5591B965" w:rsidR="00360CD9" w:rsidRPr="005C29F8" w:rsidRDefault="00360CD9" w:rsidP="007D156B">
            <w:pPr>
              <w:rPr>
                <w:rFonts w:cs="Arial"/>
                <w:color w:val="000000" w:themeColor="text1"/>
                <w:szCs w:val="16"/>
              </w:rPr>
            </w:pPr>
            <w:r w:rsidRPr="005C29F8">
              <w:rPr>
                <w:rFonts w:cs="Arial"/>
                <w:color w:val="000000" w:themeColor="text1"/>
                <w:szCs w:val="16"/>
              </w:rPr>
              <w:t>Target C1 &gt;=</w:t>
            </w:r>
          </w:p>
        </w:tc>
        <w:tc>
          <w:tcPr>
            <w:tcW w:w="3373" w:type="pct"/>
            <w:shd w:val="clear" w:color="auto" w:fill="auto"/>
            <w:vAlign w:val="center"/>
          </w:tcPr>
          <w:p w14:paraId="26176209" w14:textId="03FEA13C" w:rsidR="00360CD9" w:rsidRPr="005C29F8" w:rsidRDefault="00360CD9" w:rsidP="00A018D4">
            <w:pPr>
              <w:jc w:val="center"/>
              <w:rPr>
                <w:rFonts w:cs="Arial"/>
                <w:color w:val="000000" w:themeColor="text1"/>
                <w:szCs w:val="16"/>
              </w:rPr>
            </w:pPr>
            <w:r w:rsidRPr="005C29F8">
              <w:rPr>
                <w:rFonts w:cs="Arial"/>
                <w:color w:val="000000" w:themeColor="text1"/>
                <w:szCs w:val="16"/>
              </w:rPr>
              <w:t>86.00%</w:t>
            </w:r>
          </w:p>
        </w:tc>
      </w:tr>
      <w:tr w:rsidR="00360CD9" w:rsidRPr="005C29F8" w14:paraId="7FD0F8D0" w14:textId="7983216B" w:rsidTr="00360CD9">
        <w:trPr>
          <w:trHeight w:val="357"/>
        </w:trPr>
        <w:tc>
          <w:tcPr>
            <w:tcW w:w="1627" w:type="pct"/>
            <w:shd w:val="clear" w:color="auto" w:fill="auto"/>
            <w:vAlign w:val="center"/>
          </w:tcPr>
          <w:p w14:paraId="16DEC104" w14:textId="6A28B34F" w:rsidR="00360CD9" w:rsidRPr="005C29F8" w:rsidRDefault="00360CD9" w:rsidP="007D156B">
            <w:pPr>
              <w:rPr>
                <w:rFonts w:cs="Arial"/>
                <w:color w:val="000000" w:themeColor="text1"/>
                <w:szCs w:val="16"/>
              </w:rPr>
            </w:pPr>
            <w:r w:rsidRPr="005C29F8">
              <w:rPr>
                <w:rFonts w:cs="Arial"/>
                <w:color w:val="000000" w:themeColor="text1"/>
                <w:szCs w:val="16"/>
              </w:rPr>
              <w:t>Target C2 &gt;=</w:t>
            </w:r>
          </w:p>
        </w:tc>
        <w:tc>
          <w:tcPr>
            <w:tcW w:w="3373" w:type="pct"/>
            <w:shd w:val="clear" w:color="auto" w:fill="auto"/>
            <w:vAlign w:val="center"/>
          </w:tcPr>
          <w:p w14:paraId="7A9F674E" w14:textId="54CCEACA" w:rsidR="00360CD9" w:rsidRPr="005C29F8" w:rsidRDefault="00360CD9" w:rsidP="00A018D4">
            <w:pPr>
              <w:jc w:val="center"/>
              <w:rPr>
                <w:rFonts w:cs="Arial"/>
                <w:color w:val="000000" w:themeColor="text1"/>
                <w:szCs w:val="16"/>
              </w:rPr>
            </w:pPr>
            <w:r w:rsidRPr="005C29F8">
              <w:rPr>
                <w:rFonts w:cs="Arial"/>
                <w:color w:val="000000" w:themeColor="text1"/>
                <w:szCs w:val="16"/>
              </w:rPr>
              <w:t>63.00%</w:t>
            </w:r>
          </w:p>
        </w:tc>
      </w:tr>
    </w:tbl>
    <w:p w14:paraId="49CD323A" w14:textId="0F9742B3" w:rsidR="002D145D" w:rsidRDefault="002D145D" w:rsidP="004369B2">
      <w:pPr>
        <w:rPr>
          <w:b/>
          <w:color w:val="000000" w:themeColor="text1"/>
        </w:rPr>
      </w:pPr>
      <w:r w:rsidRPr="005C29F8">
        <w:rPr>
          <w:b/>
          <w:color w:val="000000" w:themeColor="text1"/>
        </w:rPr>
        <w:t xml:space="preserve">Targets: Description of Stakeholder Input </w:t>
      </w:r>
    </w:p>
    <w:p w14:paraId="600CB488" w14:textId="412B2B81" w:rsidR="002D145D" w:rsidRDefault="002B7490" w:rsidP="002D145D">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6276C0F6" w14:textId="56252E01" w:rsidR="002D145D" w:rsidRPr="005C29F8" w:rsidRDefault="002B7490" w:rsidP="002D145D">
      <w:pPr>
        <w:rPr>
          <w:rFonts w:cs="Arial"/>
          <w:color w:val="000000" w:themeColor="text1"/>
          <w:szCs w:val="16"/>
        </w:rPr>
      </w:pPr>
      <w:r w:rsidRPr="005C29F8">
        <w:rPr>
          <w:rFonts w:cs="Arial"/>
          <w:color w:val="000000" w:themeColor="text1"/>
          <w:szCs w:val="16"/>
        </w:rPr>
        <w:t>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schools, and educational collaboratives; representatives of higher education; and health care and related service providers.</w:t>
      </w:r>
      <w:r w:rsidRPr="005C29F8">
        <w:rPr>
          <w:rFonts w:cs="Arial"/>
          <w:color w:val="000000" w:themeColor="text1"/>
          <w:szCs w:val="16"/>
        </w:rPr>
        <w:br/>
        <w:t xml:space="preserve">Beginning with FFY 2013, MA DESE set targets based on the state’s expectation that most, if not all, students with disabilities who enter the preschool program below age expectations should substantially increase their rate of growth by the time they exit the program or turn six (i.e., FFY 2013 through FFY 2016 Summary Statement 1 target = 100%). These targets reflect the belief that educators will be able to guide the majority of preschool children with disabilities to reach their full potential by the time they exit the program or turn six (i.e., FFY 2013 through FFY 2016 Summary Statement 2 target = 90%). </w:t>
      </w:r>
      <w:r w:rsidRPr="005C29F8">
        <w:rPr>
          <w:rFonts w:cs="Arial"/>
          <w:color w:val="000000" w:themeColor="text1"/>
          <w:szCs w:val="16"/>
        </w:rPr>
        <w:br/>
        <w:t xml:space="preserve">While the state has observed positive trends over time across outcomes measures, in particular for Summary Statement 1, the rigorous targets established for FFY 2013 and beyond had not been achieved. During the fall of 2018, the MA DESE and the Massachusetts Special Education Advisory Panel worked to reframe and reset the targets, striving to make them more realistic on a year-to-year basis while still being rigorous. The objective was to shift to establishing targets that could be used to monitor annual progress, rather than to view the targets as the overall goal. The belief of both MA DESE and the Advisory Panel is that having more achievable targets will allow MA DESE to continue to support educators in their work with preschool children with disabilities. By setting targets that can be met or exceeded, it also allows the State and its LEAs to demonstrate progress as we continue to maintain high expectations and help all preschool children with disabilities reach their full potential. After a process of internal analysis and review at MA DESE, as explained below, new targets were discussed, reviewed, and approved by the Panel for FFY 2017 and beyond. </w:t>
      </w:r>
      <w:r w:rsidRPr="005C29F8">
        <w:rPr>
          <w:rFonts w:cs="Arial"/>
          <w:color w:val="000000" w:themeColor="text1"/>
          <w:szCs w:val="16"/>
        </w:rPr>
        <w:br/>
        <w:t>Based on the recommendation of the U.S. Department of Education's Office of Special Education Programs (OSEP) during FFY 2017, Massachusetts reset future targets, beginning with FFY 2017. MA DESE reviewed and analyzed available data for Indicator 7 (FFYs 2008 through 2017). As part of this process, MA DESE received guidance from the IDEA Data Center (IDC) regarding how to approach this process most effectively.</w:t>
      </w:r>
      <w:r w:rsidRPr="005C29F8">
        <w:rPr>
          <w:rFonts w:cs="Arial"/>
          <w:color w:val="000000" w:themeColor="text1"/>
          <w:szCs w:val="16"/>
        </w:rPr>
        <w:br/>
        <w:t xml:space="preserve">In consultation with the Advisory Panel at its December 11, 2018 meeting, MA DESE revised Indicator 7 targets. MA DESE brought three target setting proposals to Panel for its consideration. The members of the Panel advocated for maintaining high standards for the students of Massachusetts while also establishing targets that could be used meaningfully to help support the work of educators across the State. They endorsed the model establishing targets in FFY 2018 as the average over the prior four years (FFY 2014 to FFY 2017). During the FFY 2017 SPP/APR clarification period, however, OSEP rejected the new proposed targets because the State’s targets for FFY 2018 for summary statements A2 and B2 did not reflect improvement over the baseline data. OSEP required MA DESE to revise its FFY 2018 targets to reflect improvement. As a result of this instruction, MA DESE reexamined </w:t>
      </w:r>
      <w:r w:rsidRPr="005C29F8">
        <w:rPr>
          <w:rFonts w:cs="Arial"/>
          <w:color w:val="000000" w:themeColor="text1"/>
          <w:szCs w:val="16"/>
        </w:rPr>
        <w:lastRenderedPageBreak/>
        <w:t xml:space="preserve">the state’s Indicator 7 baseline and subsequent targets. After further analysis and consultation with OSEP, MA DESE updated Indicator 7 baselines and reassessed the targets previously established with the Advisory Panel at its December 2018 meeting. </w:t>
      </w:r>
      <w:r w:rsidRPr="005C29F8">
        <w:rPr>
          <w:rFonts w:cs="Arial"/>
          <w:color w:val="000000" w:themeColor="text1"/>
          <w:szCs w:val="16"/>
        </w:rPr>
        <w:br/>
        <w:t>MA DESE has reported FFY 2017 as a new baseline year because of the expansion of data collection activities during that period related to this indicator and Massachusetts’ State Systemic Improvement Plan (SSIP). The State Identified Measurable Result (SIMR) for the SSIP is devoted to improving the outcomes for preschool children with disabilities (i.e., Indicator 7). MA DESE also reviewed the targets for FFY 2018 through FFY 2020 to determine any necessary revisions. The new targets for FFY 2018 and beyond are above the FFY 2017 baseline, as instructed by OSEP. MA DESE maintained any FFY 2018 targets set by the Advisory Panel at its December 11, 2018 meeting that were above the FFY 2017 baseline. This resulted in MA DESE resetting the FFY 2018 targets, from the original FFY 2017 target proposals, for B1.</w:t>
      </w:r>
      <w:r w:rsidRPr="005C29F8">
        <w:rPr>
          <w:rFonts w:cs="Arial"/>
          <w:color w:val="000000" w:themeColor="text1"/>
          <w:szCs w:val="16"/>
        </w:rPr>
        <w:br/>
        <w:t xml:space="preserve">The revised targets for FFY 2018 through FFY 2020 are as follows: </w:t>
      </w:r>
      <w:r w:rsidRPr="005C29F8">
        <w:rPr>
          <w:rFonts w:cs="Arial"/>
          <w:color w:val="000000" w:themeColor="text1"/>
          <w:szCs w:val="16"/>
        </w:rPr>
        <w:br/>
        <w:t xml:space="preserve"> FFY 2018 FFY 2019 </w:t>
      </w:r>
      <w:r w:rsidRPr="005C29F8">
        <w:rPr>
          <w:rFonts w:cs="Arial"/>
          <w:color w:val="000000" w:themeColor="text1"/>
          <w:szCs w:val="16"/>
        </w:rPr>
        <w:br/>
        <w:t>A1 86% 86%</w:t>
      </w:r>
      <w:r w:rsidRPr="005C29F8">
        <w:rPr>
          <w:rFonts w:cs="Arial"/>
          <w:color w:val="000000" w:themeColor="text1"/>
          <w:szCs w:val="16"/>
        </w:rPr>
        <w:br/>
        <w:t>A2 50% 50%</w:t>
      </w:r>
      <w:r w:rsidRPr="005C29F8">
        <w:rPr>
          <w:rFonts w:cs="Arial"/>
          <w:color w:val="000000" w:themeColor="text1"/>
          <w:szCs w:val="16"/>
        </w:rPr>
        <w:br/>
        <w:t>B1 85% 85%</w:t>
      </w:r>
      <w:r w:rsidRPr="005C29F8">
        <w:rPr>
          <w:rFonts w:cs="Arial"/>
          <w:color w:val="000000" w:themeColor="text1"/>
          <w:szCs w:val="16"/>
        </w:rPr>
        <w:br/>
        <w:t>B2 49% 49%</w:t>
      </w:r>
      <w:r w:rsidRPr="005C29F8">
        <w:rPr>
          <w:rFonts w:cs="Arial"/>
          <w:color w:val="000000" w:themeColor="text1"/>
          <w:szCs w:val="16"/>
        </w:rPr>
        <w:br/>
        <w:t>C1 86% 86%</w:t>
      </w:r>
      <w:r w:rsidRPr="005C29F8">
        <w:rPr>
          <w:rFonts w:cs="Arial"/>
          <w:color w:val="000000" w:themeColor="text1"/>
          <w:szCs w:val="16"/>
        </w:rPr>
        <w:br/>
        <w:t>C2 63% 63%</w:t>
      </w:r>
      <w:r w:rsidRPr="005C29F8">
        <w:rPr>
          <w:rFonts w:cs="Arial"/>
          <w:color w:val="000000" w:themeColor="text1"/>
          <w:szCs w:val="16"/>
        </w:rPr>
        <w:br/>
        <w:t>The rigorous targets reflect the State’s overall goals for this indicator, and continue to maintain high expectations for all preschool students with disabilities.</w:t>
      </w:r>
    </w:p>
    <w:p w14:paraId="1512BEE4" w14:textId="77777777" w:rsidR="007870F8" w:rsidRPr="005C29F8" w:rsidRDefault="007870F8" w:rsidP="004369B2">
      <w:pPr>
        <w:rPr>
          <w:color w:val="000000" w:themeColor="text1"/>
        </w:rPr>
      </w:pPr>
    </w:p>
    <w:p w14:paraId="4D0201C3" w14:textId="2F27E71F" w:rsidR="008751D3" w:rsidRPr="005C29F8" w:rsidRDefault="008751D3">
      <w:pPr>
        <w:rPr>
          <w:b/>
          <w:color w:val="000000" w:themeColor="text1"/>
        </w:rPr>
      </w:pPr>
      <w:r w:rsidRPr="005C29F8">
        <w:rPr>
          <w:b/>
          <w:color w:val="000000" w:themeColor="text1"/>
        </w:rPr>
        <w:t>FFY 2019 SPP/APR Data</w:t>
      </w:r>
    </w:p>
    <w:p w14:paraId="75F01957" w14:textId="463160A4" w:rsidR="004B2C2D" w:rsidRPr="005C29F8" w:rsidRDefault="004B2C2D">
      <w:pPr>
        <w:rPr>
          <w:rFonts w:cs="Arial"/>
          <w:b/>
          <w:color w:val="000000" w:themeColor="text1"/>
          <w:szCs w:val="16"/>
        </w:rPr>
      </w:pPr>
      <w:r w:rsidRPr="005C29F8">
        <w:rPr>
          <w:rFonts w:cs="Arial"/>
          <w:b/>
          <w:color w:val="000000" w:themeColor="text1"/>
          <w:szCs w:val="16"/>
        </w:rPr>
        <w:t>Number of preschool children aged 3 through 5 with IEPs assessed</w:t>
      </w:r>
    </w:p>
    <w:p w14:paraId="6F555236" w14:textId="5F84A3B7" w:rsidR="004B2C2D" w:rsidRPr="005C29F8" w:rsidRDefault="004B2C2D" w:rsidP="004369B2">
      <w:pPr>
        <w:rPr>
          <w:color w:val="000000" w:themeColor="text1"/>
        </w:rPr>
      </w:pPr>
      <w:r w:rsidRPr="005C29F8">
        <w:rPr>
          <w:rFonts w:cs="Arial"/>
          <w:color w:val="000000" w:themeColor="text1"/>
          <w:szCs w:val="16"/>
        </w:rPr>
        <w:t>1,150</w:t>
      </w:r>
    </w:p>
    <w:p w14:paraId="6AF5CF56" w14:textId="77777777" w:rsidR="00A80FEB" w:rsidRPr="005C29F8" w:rsidRDefault="00A80FEB" w:rsidP="004369B2">
      <w:pPr>
        <w:rPr>
          <w:color w:val="000000" w:themeColor="text1"/>
        </w:rPr>
      </w:pPr>
      <w:r w:rsidRPr="005C29F8">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5C29F8" w14:paraId="7F9D0F86" w14:textId="5773C98B" w:rsidTr="0033429D">
        <w:trPr>
          <w:trHeight w:val="287"/>
          <w:tblHeader/>
        </w:trPr>
        <w:tc>
          <w:tcPr>
            <w:tcW w:w="3406" w:type="pct"/>
            <w:shd w:val="clear" w:color="auto" w:fill="auto"/>
            <w:vAlign w:val="bottom"/>
          </w:tcPr>
          <w:p w14:paraId="732006A2" w14:textId="4E4F994E" w:rsidR="008751D3" w:rsidRPr="005C29F8" w:rsidRDefault="00043AAB" w:rsidP="0024351A">
            <w:pPr>
              <w:rPr>
                <w:rFonts w:cs="Arial"/>
                <w:b/>
                <w:color w:val="000000" w:themeColor="text1"/>
                <w:szCs w:val="16"/>
              </w:rPr>
            </w:pPr>
            <w:r>
              <w:rPr>
                <w:rFonts w:cs="Arial"/>
                <w:b/>
                <w:color w:val="000000" w:themeColor="text1"/>
                <w:szCs w:val="16"/>
              </w:rPr>
              <w:t xml:space="preserve">Outcome A </w:t>
            </w:r>
            <w:r w:rsidRPr="0033429D">
              <w:rPr>
                <w:rFonts w:cs="Arial"/>
                <w:b/>
                <w:bCs/>
                <w:color w:val="000000" w:themeColor="text1"/>
                <w:szCs w:val="16"/>
              </w:rPr>
              <w:t xml:space="preserve">Progress </w:t>
            </w:r>
            <w:r w:rsidR="009028CA">
              <w:rPr>
                <w:rFonts w:cs="Arial"/>
                <w:b/>
                <w:bCs/>
                <w:color w:val="000000" w:themeColor="text1"/>
                <w:szCs w:val="16"/>
              </w:rPr>
              <w:t>C</w:t>
            </w:r>
            <w:r w:rsidRPr="0033429D">
              <w:rPr>
                <w:rFonts w:cs="Arial"/>
                <w:b/>
                <w:bCs/>
                <w:color w:val="000000" w:themeColor="text1"/>
                <w:szCs w:val="16"/>
              </w:rPr>
              <w:t>ategor</w:t>
            </w:r>
            <w:r w:rsidR="00E91363">
              <w:rPr>
                <w:rFonts w:cs="Arial"/>
                <w:b/>
                <w:bCs/>
                <w:color w:val="000000" w:themeColor="text1"/>
                <w:szCs w:val="16"/>
              </w:rPr>
              <w:t>y</w:t>
            </w:r>
          </w:p>
        </w:tc>
        <w:tc>
          <w:tcPr>
            <w:tcW w:w="797" w:type="pct"/>
            <w:shd w:val="clear" w:color="auto" w:fill="auto"/>
            <w:vAlign w:val="bottom"/>
          </w:tcPr>
          <w:p w14:paraId="2EAB6060" w14:textId="77777777" w:rsidR="008751D3" w:rsidRPr="005C29F8" w:rsidRDefault="008751D3" w:rsidP="004369B2">
            <w:pPr>
              <w:jc w:val="center"/>
              <w:rPr>
                <w:rFonts w:cs="Arial"/>
                <w:b/>
                <w:color w:val="000000" w:themeColor="text1"/>
                <w:szCs w:val="16"/>
              </w:rPr>
            </w:pPr>
            <w:r w:rsidRPr="005C29F8">
              <w:rPr>
                <w:rFonts w:cs="Arial"/>
                <w:b/>
                <w:color w:val="000000" w:themeColor="text1"/>
                <w:szCs w:val="16"/>
              </w:rPr>
              <w:t>Number of children</w:t>
            </w:r>
          </w:p>
        </w:tc>
        <w:tc>
          <w:tcPr>
            <w:tcW w:w="797" w:type="pct"/>
            <w:shd w:val="clear" w:color="auto" w:fill="auto"/>
            <w:vAlign w:val="bottom"/>
          </w:tcPr>
          <w:p w14:paraId="1007C28C" w14:textId="52952731" w:rsidR="008751D3" w:rsidRPr="005C29F8" w:rsidRDefault="008751D3" w:rsidP="004369B2">
            <w:pPr>
              <w:jc w:val="center"/>
              <w:rPr>
                <w:rFonts w:cs="Arial"/>
                <w:b/>
                <w:color w:val="000000" w:themeColor="text1"/>
                <w:szCs w:val="16"/>
              </w:rPr>
            </w:pPr>
            <w:r w:rsidRPr="005C29F8">
              <w:rPr>
                <w:rFonts w:cs="Arial"/>
                <w:b/>
                <w:color w:val="000000" w:themeColor="text1"/>
                <w:szCs w:val="16"/>
              </w:rPr>
              <w:t>Percentage of Children</w:t>
            </w:r>
          </w:p>
        </w:tc>
      </w:tr>
      <w:tr w:rsidR="005C29F8" w:rsidRPr="005C29F8" w14:paraId="0D115F3B" w14:textId="14BF41AA" w:rsidTr="00AB0D6A">
        <w:trPr>
          <w:trHeight w:val="361"/>
        </w:trPr>
        <w:tc>
          <w:tcPr>
            <w:tcW w:w="3406" w:type="pct"/>
            <w:shd w:val="clear" w:color="auto" w:fill="auto"/>
            <w:vAlign w:val="center"/>
          </w:tcPr>
          <w:p w14:paraId="476980EA" w14:textId="77777777" w:rsidR="00A86385" w:rsidRPr="00FC0108" w:rsidRDefault="00A86385" w:rsidP="00A86385">
            <w:pPr>
              <w:rPr>
                <w:rFonts w:cs="Arial"/>
                <w:szCs w:val="16"/>
              </w:rPr>
            </w:pPr>
            <w:r w:rsidRPr="00FC0108">
              <w:rPr>
                <w:rFonts w:cs="Arial"/>
                <w:szCs w:val="16"/>
              </w:rPr>
              <w:t>a. Preschool children who did not improve functioning</w:t>
            </w:r>
          </w:p>
        </w:tc>
        <w:tc>
          <w:tcPr>
            <w:tcW w:w="797" w:type="pct"/>
            <w:shd w:val="clear" w:color="auto" w:fill="auto"/>
            <w:vAlign w:val="center"/>
          </w:tcPr>
          <w:p w14:paraId="358366F4" w14:textId="107FC5B1" w:rsidR="00A86385" w:rsidRPr="00FC0108" w:rsidRDefault="002B7490" w:rsidP="00A018D4">
            <w:pPr>
              <w:jc w:val="center"/>
              <w:rPr>
                <w:rFonts w:cs="Arial"/>
                <w:szCs w:val="16"/>
              </w:rPr>
            </w:pPr>
            <w:r w:rsidRPr="00FC0108">
              <w:rPr>
                <w:rFonts w:cs="Arial"/>
                <w:szCs w:val="16"/>
              </w:rPr>
              <w:t>6</w:t>
            </w:r>
          </w:p>
        </w:tc>
        <w:tc>
          <w:tcPr>
            <w:tcW w:w="797" w:type="pct"/>
            <w:shd w:val="clear" w:color="auto" w:fill="auto"/>
            <w:vAlign w:val="center"/>
          </w:tcPr>
          <w:p w14:paraId="0846D135" w14:textId="1043D337" w:rsidR="00A86385" w:rsidRPr="00FC0108" w:rsidRDefault="002B7490" w:rsidP="00A018D4">
            <w:pPr>
              <w:jc w:val="center"/>
              <w:rPr>
                <w:rFonts w:cs="Arial"/>
                <w:szCs w:val="16"/>
              </w:rPr>
            </w:pPr>
            <w:r w:rsidRPr="00FC0108">
              <w:rPr>
                <w:rFonts w:cs="Arial"/>
                <w:szCs w:val="16"/>
              </w:rPr>
              <w:t>0.52%</w:t>
            </w:r>
          </w:p>
        </w:tc>
      </w:tr>
      <w:tr w:rsidR="005C29F8" w:rsidRPr="005C29F8" w14:paraId="779019AB" w14:textId="1FD48572" w:rsidTr="00AB0D6A">
        <w:trPr>
          <w:trHeight w:val="361"/>
        </w:trPr>
        <w:tc>
          <w:tcPr>
            <w:tcW w:w="3406" w:type="pct"/>
            <w:shd w:val="clear" w:color="auto" w:fill="auto"/>
            <w:vAlign w:val="center"/>
          </w:tcPr>
          <w:p w14:paraId="6E7F23F0" w14:textId="77777777" w:rsidR="00A86385" w:rsidRPr="00FC0108" w:rsidRDefault="00A86385" w:rsidP="00A86385">
            <w:pPr>
              <w:rPr>
                <w:rFonts w:cs="Arial"/>
                <w:szCs w:val="16"/>
              </w:rPr>
            </w:pPr>
            <w:r w:rsidRPr="00FC0108">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FC0108" w:rsidRDefault="002B7490" w:rsidP="00A018D4">
            <w:pPr>
              <w:jc w:val="center"/>
              <w:rPr>
                <w:rFonts w:cs="Arial"/>
                <w:szCs w:val="16"/>
              </w:rPr>
            </w:pPr>
            <w:r w:rsidRPr="00FC0108">
              <w:rPr>
                <w:rFonts w:cs="Arial"/>
                <w:szCs w:val="16"/>
              </w:rPr>
              <w:t>170</w:t>
            </w:r>
          </w:p>
        </w:tc>
        <w:tc>
          <w:tcPr>
            <w:tcW w:w="797" w:type="pct"/>
            <w:shd w:val="clear" w:color="auto" w:fill="auto"/>
            <w:vAlign w:val="center"/>
          </w:tcPr>
          <w:p w14:paraId="371019D1" w14:textId="49035C13" w:rsidR="00A86385" w:rsidRPr="00FC0108" w:rsidRDefault="002B7490" w:rsidP="00A018D4">
            <w:pPr>
              <w:jc w:val="center"/>
              <w:rPr>
                <w:rFonts w:cs="Arial"/>
                <w:szCs w:val="16"/>
              </w:rPr>
            </w:pPr>
            <w:r w:rsidRPr="00FC0108">
              <w:rPr>
                <w:rFonts w:cs="Arial"/>
                <w:szCs w:val="16"/>
              </w:rPr>
              <w:t>14.78%</w:t>
            </w:r>
          </w:p>
        </w:tc>
      </w:tr>
      <w:tr w:rsidR="005C29F8" w:rsidRPr="005C29F8" w14:paraId="3A078806" w14:textId="7FBB31A0" w:rsidTr="00AB0D6A">
        <w:trPr>
          <w:trHeight w:val="361"/>
        </w:trPr>
        <w:tc>
          <w:tcPr>
            <w:tcW w:w="3406" w:type="pct"/>
            <w:shd w:val="clear" w:color="auto" w:fill="auto"/>
            <w:vAlign w:val="center"/>
          </w:tcPr>
          <w:p w14:paraId="6E35A4C3" w14:textId="77777777" w:rsidR="00A86385" w:rsidRPr="00FC0108" w:rsidRDefault="00A86385" w:rsidP="00A86385">
            <w:pPr>
              <w:rPr>
                <w:rFonts w:cs="Arial"/>
                <w:szCs w:val="16"/>
              </w:rPr>
            </w:pPr>
            <w:r w:rsidRPr="00FC0108">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FC0108" w:rsidRDefault="002B7490" w:rsidP="00A018D4">
            <w:pPr>
              <w:jc w:val="center"/>
              <w:rPr>
                <w:rFonts w:cs="Arial"/>
                <w:szCs w:val="16"/>
              </w:rPr>
            </w:pPr>
            <w:r w:rsidRPr="00FC0108">
              <w:rPr>
                <w:rFonts w:cs="Arial"/>
                <w:szCs w:val="16"/>
              </w:rPr>
              <w:t>471</w:t>
            </w:r>
          </w:p>
        </w:tc>
        <w:tc>
          <w:tcPr>
            <w:tcW w:w="797" w:type="pct"/>
            <w:shd w:val="clear" w:color="auto" w:fill="auto"/>
            <w:vAlign w:val="center"/>
          </w:tcPr>
          <w:p w14:paraId="4B6BCB00" w14:textId="047D3E20" w:rsidR="00A86385" w:rsidRPr="00FC0108" w:rsidRDefault="002B7490" w:rsidP="00A018D4">
            <w:pPr>
              <w:jc w:val="center"/>
              <w:rPr>
                <w:rFonts w:cs="Arial"/>
                <w:szCs w:val="16"/>
              </w:rPr>
            </w:pPr>
            <w:r w:rsidRPr="00FC0108">
              <w:rPr>
                <w:rFonts w:cs="Arial"/>
                <w:szCs w:val="16"/>
              </w:rPr>
              <w:t>40.96%</w:t>
            </w:r>
          </w:p>
        </w:tc>
      </w:tr>
      <w:tr w:rsidR="005C29F8" w:rsidRPr="005C29F8" w14:paraId="37EE0376" w14:textId="01578CDB" w:rsidTr="00AB0D6A">
        <w:trPr>
          <w:trHeight w:val="361"/>
        </w:trPr>
        <w:tc>
          <w:tcPr>
            <w:tcW w:w="3406" w:type="pct"/>
            <w:shd w:val="clear" w:color="auto" w:fill="auto"/>
            <w:vAlign w:val="center"/>
          </w:tcPr>
          <w:p w14:paraId="4DFA1510" w14:textId="77777777" w:rsidR="00A86385" w:rsidRPr="00FC0108" w:rsidRDefault="00A86385" w:rsidP="00A86385">
            <w:pPr>
              <w:rPr>
                <w:rFonts w:cs="Arial"/>
                <w:szCs w:val="16"/>
              </w:rPr>
            </w:pPr>
            <w:r w:rsidRPr="00FC0108">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FC0108" w:rsidRDefault="002B7490" w:rsidP="00A018D4">
            <w:pPr>
              <w:jc w:val="center"/>
              <w:rPr>
                <w:rFonts w:cs="Arial"/>
                <w:szCs w:val="16"/>
              </w:rPr>
            </w:pPr>
            <w:r w:rsidRPr="00FC0108">
              <w:rPr>
                <w:rFonts w:cs="Arial"/>
                <w:szCs w:val="16"/>
              </w:rPr>
              <w:t>355</w:t>
            </w:r>
          </w:p>
        </w:tc>
        <w:tc>
          <w:tcPr>
            <w:tcW w:w="797" w:type="pct"/>
            <w:shd w:val="clear" w:color="auto" w:fill="auto"/>
            <w:vAlign w:val="center"/>
          </w:tcPr>
          <w:p w14:paraId="16C35679" w14:textId="25F05A91" w:rsidR="00A86385" w:rsidRPr="00FC0108" w:rsidRDefault="002B7490" w:rsidP="00A018D4">
            <w:pPr>
              <w:jc w:val="center"/>
              <w:rPr>
                <w:rFonts w:cs="Arial"/>
                <w:szCs w:val="16"/>
              </w:rPr>
            </w:pPr>
            <w:r w:rsidRPr="00FC0108">
              <w:rPr>
                <w:rFonts w:cs="Arial"/>
                <w:szCs w:val="16"/>
              </w:rPr>
              <w:t>30.87%</w:t>
            </w:r>
          </w:p>
        </w:tc>
      </w:tr>
      <w:tr w:rsidR="005C29F8" w:rsidRPr="005C29F8" w14:paraId="2EAC8E4E" w14:textId="5ED91A2D" w:rsidTr="00AB0D6A">
        <w:trPr>
          <w:trHeight w:val="361"/>
        </w:trPr>
        <w:tc>
          <w:tcPr>
            <w:tcW w:w="3406" w:type="pct"/>
            <w:shd w:val="clear" w:color="auto" w:fill="auto"/>
            <w:vAlign w:val="center"/>
          </w:tcPr>
          <w:p w14:paraId="4107A866" w14:textId="77777777" w:rsidR="00A86385" w:rsidRPr="00FC0108" w:rsidRDefault="00A86385" w:rsidP="00A86385">
            <w:pPr>
              <w:rPr>
                <w:rFonts w:cs="Arial"/>
                <w:szCs w:val="16"/>
              </w:rPr>
            </w:pPr>
            <w:r w:rsidRPr="00FC0108">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FC0108" w:rsidRDefault="002B7490" w:rsidP="00A018D4">
            <w:pPr>
              <w:jc w:val="center"/>
              <w:rPr>
                <w:rFonts w:cs="Arial"/>
                <w:szCs w:val="16"/>
              </w:rPr>
            </w:pPr>
            <w:r w:rsidRPr="00FC0108">
              <w:rPr>
                <w:rFonts w:cs="Arial"/>
                <w:szCs w:val="16"/>
              </w:rPr>
              <w:t>148</w:t>
            </w:r>
          </w:p>
        </w:tc>
        <w:tc>
          <w:tcPr>
            <w:tcW w:w="797" w:type="pct"/>
            <w:shd w:val="clear" w:color="auto" w:fill="auto"/>
            <w:vAlign w:val="center"/>
          </w:tcPr>
          <w:p w14:paraId="49CE1ADC" w14:textId="7D7D7E9C" w:rsidR="00A86385" w:rsidRPr="00FC0108" w:rsidRDefault="002B7490" w:rsidP="00A018D4">
            <w:pPr>
              <w:jc w:val="center"/>
              <w:rPr>
                <w:rFonts w:cs="Arial"/>
                <w:szCs w:val="16"/>
              </w:rPr>
            </w:pPr>
            <w:r w:rsidRPr="00FC0108">
              <w:rPr>
                <w:rFonts w:cs="Arial"/>
                <w:szCs w:val="16"/>
              </w:rPr>
              <w:t>12.87%</w:t>
            </w:r>
          </w:p>
        </w:tc>
      </w:tr>
    </w:tbl>
    <w:p w14:paraId="2CDC19A8" w14:textId="77777777" w:rsidR="00A80FEB" w:rsidRPr="005C29F8"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7"/>
        <w:gridCol w:w="1234"/>
        <w:gridCol w:w="1232"/>
        <w:gridCol w:w="1234"/>
        <w:gridCol w:w="1232"/>
        <w:gridCol w:w="1234"/>
        <w:gridCol w:w="1232"/>
      </w:tblGrid>
      <w:tr w:rsidR="005C29F8" w:rsidRPr="005C29F8" w14:paraId="3D9EEDAD" w14:textId="30B2445F" w:rsidTr="00AB0D6A">
        <w:trPr>
          <w:trHeight w:val="354"/>
          <w:tblHeader/>
        </w:trPr>
        <w:tc>
          <w:tcPr>
            <w:tcW w:w="1040" w:type="pct"/>
            <w:shd w:val="clear" w:color="auto" w:fill="auto"/>
            <w:vAlign w:val="bottom"/>
          </w:tcPr>
          <w:p w14:paraId="12D11B46" w14:textId="1FAAAC6F" w:rsidR="00E13B95" w:rsidRPr="005C29F8" w:rsidRDefault="003E11AE" w:rsidP="0033429D">
            <w:pPr>
              <w:rPr>
                <w:rFonts w:cs="Arial"/>
                <w:color w:val="000000" w:themeColor="text1"/>
                <w:szCs w:val="16"/>
              </w:rPr>
            </w:pPr>
            <w:r w:rsidRPr="0033429D">
              <w:rPr>
                <w:rFonts w:cs="Arial"/>
                <w:b/>
                <w:color w:val="000000" w:themeColor="text1"/>
                <w:szCs w:val="16"/>
              </w:rPr>
              <w:t>Outcome A</w:t>
            </w:r>
          </w:p>
        </w:tc>
        <w:tc>
          <w:tcPr>
            <w:tcW w:w="531" w:type="pct"/>
            <w:shd w:val="clear" w:color="auto" w:fill="auto"/>
            <w:vAlign w:val="bottom"/>
          </w:tcPr>
          <w:p w14:paraId="7B100CB7" w14:textId="77777777" w:rsidR="00E13B95" w:rsidRPr="005C29F8" w:rsidRDefault="00E13B95" w:rsidP="00681BA6">
            <w:pPr>
              <w:jc w:val="center"/>
              <w:rPr>
                <w:rFonts w:cs="Arial"/>
                <w:b/>
                <w:color w:val="000000" w:themeColor="text1"/>
                <w:szCs w:val="16"/>
              </w:rPr>
            </w:pPr>
            <w:r w:rsidRPr="005C29F8">
              <w:rPr>
                <w:rFonts w:cs="Arial"/>
                <w:b/>
                <w:color w:val="000000" w:themeColor="text1"/>
                <w:szCs w:val="16"/>
              </w:rPr>
              <w:t>Numerator</w:t>
            </w:r>
          </w:p>
        </w:tc>
        <w:tc>
          <w:tcPr>
            <w:tcW w:w="572" w:type="pct"/>
            <w:shd w:val="clear" w:color="auto" w:fill="auto"/>
            <w:vAlign w:val="bottom"/>
          </w:tcPr>
          <w:p w14:paraId="31C4C2D7" w14:textId="77777777" w:rsidR="00E13B95" w:rsidRPr="005C29F8" w:rsidRDefault="00E13B95" w:rsidP="00681BA6">
            <w:pPr>
              <w:jc w:val="center"/>
              <w:rPr>
                <w:rFonts w:cs="Arial"/>
                <w:b/>
                <w:color w:val="000000" w:themeColor="text1"/>
                <w:szCs w:val="16"/>
              </w:rPr>
            </w:pPr>
            <w:r w:rsidRPr="005C29F8">
              <w:rPr>
                <w:rFonts w:cs="Arial"/>
                <w:b/>
                <w:color w:val="000000" w:themeColor="text1"/>
                <w:szCs w:val="16"/>
              </w:rPr>
              <w:t>Denominator</w:t>
            </w:r>
          </w:p>
        </w:tc>
        <w:tc>
          <w:tcPr>
            <w:tcW w:w="571" w:type="pct"/>
            <w:shd w:val="clear" w:color="auto" w:fill="auto"/>
            <w:vAlign w:val="bottom"/>
          </w:tcPr>
          <w:p w14:paraId="1634F3BC" w14:textId="08D078C4" w:rsidR="00E13B95" w:rsidRPr="005C29F8" w:rsidRDefault="00B954DC" w:rsidP="00681BA6">
            <w:pPr>
              <w:jc w:val="center"/>
              <w:rPr>
                <w:rFonts w:cs="Arial"/>
                <w:b/>
                <w:color w:val="000000" w:themeColor="text1"/>
                <w:szCs w:val="16"/>
              </w:rPr>
            </w:pPr>
            <w:r w:rsidRPr="005C29F8">
              <w:rPr>
                <w:rFonts w:cs="Arial"/>
                <w:b/>
                <w:color w:val="000000" w:themeColor="text1"/>
                <w:szCs w:val="16"/>
              </w:rPr>
              <w:t>FFY 2018 Data</w:t>
            </w:r>
          </w:p>
        </w:tc>
        <w:tc>
          <w:tcPr>
            <w:tcW w:w="572" w:type="pct"/>
            <w:shd w:val="clear" w:color="auto" w:fill="auto"/>
            <w:vAlign w:val="bottom"/>
          </w:tcPr>
          <w:p w14:paraId="41DCEE89" w14:textId="40B5ABBB" w:rsidR="00E13B95" w:rsidRPr="005C29F8" w:rsidRDefault="00E13B95" w:rsidP="00681BA6">
            <w:pPr>
              <w:jc w:val="center"/>
              <w:rPr>
                <w:rFonts w:cs="Arial"/>
                <w:b/>
                <w:color w:val="000000" w:themeColor="text1"/>
                <w:szCs w:val="16"/>
              </w:rPr>
            </w:pPr>
            <w:r w:rsidRPr="005C29F8">
              <w:rPr>
                <w:rFonts w:cs="Arial"/>
                <w:b/>
                <w:color w:val="000000" w:themeColor="text1"/>
                <w:szCs w:val="16"/>
              </w:rPr>
              <w:t>FFY 2019 Target</w:t>
            </w:r>
          </w:p>
        </w:tc>
        <w:tc>
          <w:tcPr>
            <w:tcW w:w="571" w:type="pct"/>
            <w:shd w:val="clear" w:color="auto" w:fill="auto"/>
            <w:vAlign w:val="bottom"/>
          </w:tcPr>
          <w:p w14:paraId="64737D68" w14:textId="1489FC12" w:rsidR="00E13B95" w:rsidRPr="005C29F8" w:rsidRDefault="00E13B95" w:rsidP="00681BA6">
            <w:pPr>
              <w:jc w:val="center"/>
              <w:rPr>
                <w:rFonts w:cs="Arial"/>
                <w:b/>
                <w:color w:val="000000" w:themeColor="text1"/>
                <w:szCs w:val="16"/>
              </w:rPr>
            </w:pPr>
            <w:r w:rsidRPr="005C29F8">
              <w:rPr>
                <w:rFonts w:cs="Arial"/>
                <w:b/>
                <w:color w:val="000000" w:themeColor="text1"/>
                <w:szCs w:val="16"/>
              </w:rPr>
              <w:t>FFY 2019 Data</w:t>
            </w:r>
          </w:p>
        </w:tc>
        <w:tc>
          <w:tcPr>
            <w:tcW w:w="572" w:type="pct"/>
            <w:shd w:val="clear" w:color="auto" w:fill="auto"/>
            <w:vAlign w:val="bottom"/>
          </w:tcPr>
          <w:p w14:paraId="4592E227" w14:textId="424684DB" w:rsidR="00E13B95" w:rsidRPr="005C29F8" w:rsidRDefault="00E13B95" w:rsidP="00681BA6">
            <w:pPr>
              <w:jc w:val="center"/>
              <w:rPr>
                <w:rFonts w:cs="Arial"/>
                <w:b/>
                <w:color w:val="000000" w:themeColor="text1"/>
                <w:szCs w:val="16"/>
              </w:rPr>
            </w:pPr>
            <w:r w:rsidRPr="005C29F8">
              <w:rPr>
                <w:rFonts w:cs="Arial"/>
                <w:b/>
                <w:color w:val="000000" w:themeColor="text1"/>
                <w:szCs w:val="16"/>
              </w:rPr>
              <w:t>Status</w:t>
            </w:r>
          </w:p>
        </w:tc>
        <w:tc>
          <w:tcPr>
            <w:tcW w:w="572" w:type="pct"/>
            <w:shd w:val="clear" w:color="auto" w:fill="auto"/>
            <w:vAlign w:val="bottom"/>
          </w:tcPr>
          <w:p w14:paraId="41F5B2E6" w14:textId="7085A5D7" w:rsidR="00E13B95" w:rsidRPr="005C29F8" w:rsidRDefault="00E13B95" w:rsidP="00681BA6">
            <w:pPr>
              <w:jc w:val="center"/>
              <w:rPr>
                <w:rFonts w:cs="Arial"/>
                <w:b/>
                <w:color w:val="000000" w:themeColor="text1"/>
                <w:szCs w:val="16"/>
              </w:rPr>
            </w:pPr>
            <w:r w:rsidRPr="005C29F8">
              <w:rPr>
                <w:rFonts w:cs="Arial"/>
                <w:b/>
                <w:color w:val="000000" w:themeColor="text1"/>
                <w:szCs w:val="16"/>
              </w:rPr>
              <w:t>Slippage</w:t>
            </w:r>
          </w:p>
        </w:tc>
      </w:tr>
      <w:tr w:rsidR="005C29F8" w:rsidRPr="005C29F8" w14:paraId="18B94B2E" w14:textId="09DCF8DA" w:rsidTr="00AB0D6A">
        <w:trPr>
          <w:trHeight w:val="361"/>
        </w:trPr>
        <w:tc>
          <w:tcPr>
            <w:tcW w:w="1040" w:type="pct"/>
            <w:shd w:val="clear" w:color="auto" w:fill="auto"/>
          </w:tcPr>
          <w:p w14:paraId="42653FFD" w14:textId="308747A7" w:rsidR="00A86385" w:rsidRPr="005C29F8" w:rsidRDefault="00A86385" w:rsidP="00A018D4">
            <w:pPr>
              <w:rPr>
                <w:rFonts w:cs="Arial"/>
                <w:color w:val="000000" w:themeColor="text1"/>
                <w:szCs w:val="16"/>
              </w:rPr>
            </w:pPr>
            <w:r w:rsidRPr="005C29F8">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00401663" w:rsidRPr="005C29F8">
              <w:rPr>
                <w:rFonts w:cs="Arial"/>
                <w:i/>
                <w:color w:val="000000" w:themeColor="text1"/>
                <w:szCs w:val="16"/>
              </w:rPr>
              <w:t>C</w:t>
            </w:r>
            <w:r w:rsidRPr="005C29F8">
              <w:rPr>
                <w:rFonts w:cs="Arial"/>
                <w:i/>
                <w:color w:val="000000" w:themeColor="text1"/>
                <w:szCs w:val="16"/>
              </w:rPr>
              <w:t>alculation:(c+d)/(a+b+c+d)</w:t>
            </w:r>
          </w:p>
        </w:tc>
        <w:tc>
          <w:tcPr>
            <w:tcW w:w="531" w:type="pct"/>
            <w:shd w:val="clear" w:color="auto" w:fill="auto"/>
            <w:vAlign w:val="center"/>
          </w:tcPr>
          <w:p w14:paraId="4154B7AF" w14:textId="22483590" w:rsidR="00A86385" w:rsidRPr="005C29F8" w:rsidRDefault="002B7490" w:rsidP="00A86385">
            <w:pPr>
              <w:jc w:val="center"/>
              <w:rPr>
                <w:rFonts w:cs="Arial"/>
                <w:color w:val="000000" w:themeColor="text1"/>
                <w:szCs w:val="16"/>
              </w:rPr>
            </w:pPr>
            <w:r w:rsidRPr="005C29F8">
              <w:rPr>
                <w:rFonts w:cs="Arial"/>
                <w:color w:val="000000" w:themeColor="text1"/>
                <w:szCs w:val="16"/>
              </w:rPr>
              <w:t>826</w:t>
            </w:r>
          </w:p>
        </w:tc>
        <w:tc>
          <w:tcPr>
            <w:tcW w:w="572" w:type="pct"/>
            <w:shd w:val="clear" w:color="auto" w:fill="auto"/>
            <w:vAlign w:val="center"/>
          </w:tcPr>
          <w:p w14:paraId="6A178831" w14:textId="564F7234" w:rsidR="00A86385" w:rsidRPr="005C29F8" w:rsidRDefault="002B7490" w:rsidP="00A86385">
            <w:pPr>
              <w:jc w:val="center"/>
              <w:rPr>
                <w:rFonts w:cs="Arial"/>
                <w:color w:val="000000" w:themeColor="text1"/>
                <w:szCs w:val="16"/>
              </w:rPr>
            </w:pPr>
            <w:r w:rsidRPr="005C29F8">
              <w:rPr>
                <w:rFonts w:cs="Arial"/>
                <w:color w:val="000000" w:themeColor="text1"/>
                <w:szCs w:val="16"/>
              </w:rPr>
              <w:t>1,002</w:t>
            </w:r>
          </w:p>
        </w:tc>
        <w:tc>
          <w:tcPr>
            <w:tcW w:w="571" w:type="pct"/>
            <w:shd w:val="clear" w:color="auto" w:fill="auto"/>
            <w:vAlign w:val="center"/>
          </w:tcPr>
          <w:p w14:paraId="5EEC0208" w14:textId="526E193A" w:rsidR="00A86385" w:rsidRPr="005C29F8" w:rsidRDefault="002B7490" w:rsidP="00A86385">
            <w:pPr>
              <w:jc w:val="center"/>
              <w:rPr>
                <w:rFonts w:cs="Arial"/>
                <w:color w:val="000000" w:themeColor="text1"/>
                <w:szCs w:val="16"/>
              </w:rPr>
            </w:pPr>
            <w:r w:rsidRPr="005C29F8">
              <w:rPr>
                <w:rFonts w:cs="Arial"/>
                <w:color w:val="000000" w:themeColor="text1"/>
                <w:szCs w:val="16"/>
              </w:rPr>
              <w:t>85.17%</w:t>
            </w:r>
          </w:p>
        </w:tc>
        <w:tc>
          <w:tcPr>
            <w:tcW w:w="572" w:type="pct"/>
            <w:shd w:val="clear" w:color="auto" w:fill="auto"/>
            <w:vAlign w:val="center"/>
          </w:tcPr>
          <w:p w14:paraId="4FDFC172" w14:textId="02E04CF5" w:rsidR="00A86385" w:rsidRPr="005C29F8" w:rsidRDefault="003D7F56">
            <w:pPr>
              <w:jc w:val="center"/>
              <w:rPr>
                <w:color w:val="000000" w:themeColor="text1"/>
              </w:rPr>
            </w:pPr>
            <w:r w:rsidRPr="005C29F8">
              <w:rPr>
                <w:color w:val="000000" w:themeColor="text1"/>
              </w:rPr>
              <w:t>86.00%</w:t>
            </w:r>
          </w:p>
        </w:tc>
        <w:tc>
          <w:tcPr>
            <w:tcW w:w="571" w:type="pct"/>
            <w:shd w:val="clear" w:color="auto" w:fill="auto"/>
            <w:vAlign w:val="center"/>
          </w:tcPr>
          <w:p w14:paraId="23D0B4EA" w14:textId="4DE98DDB" w:rsidR="00A86385" w:rsidRPr="005C29F8" w:rsidRDefault="002B7490" w:rsidP="00A86385">
            <w:pPr>
              <w:jc w:val="center"/>
              <w:rPr>
                <w:rFonts w:cs="Arial"/>
                <w:color w:val="000000" w:themeColor="text1"/>
                <w:szCs w:val="16"/>
              </w:rPr>
            </w:pPr>
            <w:r w:rsidRPr="005C29F8">
              <w:rPr>
                <w:rFonts w:cs="Arial"/>
                <w:color w:val="000000" w:themeColor="text1"/>
                <w:szCs w:val="16"/>
              </w:rPr>
              <w:t>82.44%</w:t>
            </w:r>
          </w:p>
        </w:tc>
        <w:tc>
          <w:tcPr>
            <w:tcW w:w="572" w:type="pct"/>
            <w:shd w:val="clear" w:color="auto" w:fill="auto"/>
            <w:vAlign w:val="center"/>
          </w:tcPr>
          <w:p w14:paraId="64F5CB78" w14:textId="13F3F70F" w:rsidR="00A86385" w:rsidRPr="005C29F8" w:rsidRDefault="002B7490" w:rsidP="00A86385">
            <w:pPr>
              <w:jc w:val="center"/>
              <w:rPr>
                <w:rFonts w:cs="Arial"/>
                <w:color w:val="000000" w:themeColor="text1"/>
                <w:szCs w:val="16"/>
              </w:rPr>
            </w:pPr>
            <w:r w:rsidRPr="005C29F8">
              <w:rPr>
                <w:rFonts w:cs="Arial"/>
                <w:color w:val="000000" w:themeColor="text1"/>
                <w:szCs w:val="16"/>
              </w:rPr>
              <w:t>Did Not Meet Target</w:t>
            </w:r>
          </w:p>
        </w:tc>
        <w:tc>
          <w:tcPr>
            <w:tcW w:w="572" w:type="pct"/>
            <w:shd w:val="clear" w:color="auto" w:fill="auto"/>
            <w:vAlign w:val="center"/>
          </w:tcPr>
          <w:p w14:paraId="7D4367C2" w14:textId="1159AE87" w:rsidR="00A86385" w:rsidRPr="005C29F8" w:rsidRDefault="002B7490" w:rsidP="00A86385">
            <w:pPr>
              <w:jc w:val="center"/>
              <w:rPr>
                <w:rFonts w:cs="Arial"/>
                <w:color w:val="000000" w:themeColor="text1"/>
                <w:szCs w:val="16"/>
              </w:rPr>
            </w:pPr>
            <w:r w:rsidRPr="005C29F8">
              <w:rPr>
                <w:rFonts w:cs="Arial"/>
                <w:color w:val="000000" w:themeColor="text1"/>
                <w:szCs w:val="16"/>
              </w:rPr>
              <w:t>Slippage</w:t>
            </w:r>
          </w:p>
        </w:tc>
      </w:tr>
      <w:tr w:rsidR="005C29F8" w:rsidRPr="005C29F8" w14:paraId="79C043DE" w14:textId="1DF06FE5" w:rsidTr="00AB0D6A">
        <w:trPr>
          <w:trHeight w:val="361"/>
        </w:trPr>
        <w:tc>
          <w:tcPr>
            <w:tcW w:w="1040" w:type="pct"/>
            <w:shd w:val="clear" w:color="auto" w:fill="auto"/>
          </w:tcPr>
          <w:p w14:paraId="03F6659D" w14:textId="04DBF049" w:rsidR="00A86385" w:rsidRPr="005C29F8" w:rsidRDefault="00A86385" w:rsidP="00A018D4">
            <w:pPr>
              <w:rPr>
                <w:rFonts w:cs="Arial"/>
                <w:color w:val="000000" w:themeColor="text1"/>
                <w:szCs w:val="16"/>
              </w:rPr>
            </w:pPr>
            <w:r w:rsidRPr="005C29F8">
              <w:rPr>
                <w:rFonts w:cs="Arial"/>
                <w:color w:val="000000" w:themeColor="text1"/>
                <w:szCs w:val="16"/>
              </w:rPr>
              <w:t xml:space="preserve">A2. The percent of preschool children who were functioning within age expectations in Outcome A by the time they turned 6 years of age or exited the program. </w:t>
            </w:r>
            <w:r w:rsidR="00401663" w:rsidRPr="005C29F8">
              <w:rPr>
                <w:rFonts w:cs="Arial"/>
                <w:i/>
                <w:color w:val="000000" w:themeColor="text1"/>
                <w:szCs w:val="16"/>
              </w:rPr>
              <w:t>C</w:t>
            </w:r>
            <w:r w:rsidRPr="005C29F8">
              <w:rPr>
                <w:rFonts w:cs="Arial"/>
                <w:i/>
                <w:color w:val="000000" w:themeColor="text1"/>
                <w:szCs w:val="16"/>
              </w:rPr>
              <w:t>alculation:</w:t>
            </w:r>
            <w:r w:rsidR="0083466B" w:rsidRPr="005C29F8">
              <w:rPr>
                <w:rFonts w:cs="Arial"/>
                <w:i/>
                <w:color w:val="000000" w:themeColor="text1"/>
                <w:szCs w:val="16"/>
              </w:rPr>
              <w:t xml:space="preserve"> </w:t>
            </w:r>
            <w:r w:rsidRPr="005C29F8">
              <w:rPr>
                <w:rFonts w:cs="Arial"/>
                <w:i/>
                <w:color w:val="000000" w:themeColor="text1"/>
                <w:szCs w:val="16"/>
              </w:rPr>
              <w:t>(d+e)/(a+b+c+d+e)</w:t>
            </w:r>
          </w:p>
        </w:tc>
        <w:tc>
          <w:tcPr>
            <w:tcW w:w="531" w:type="pct"/>
            <w:shd w:val="clear" w:color="auto" w:fill="auto"/>
            <w:vAlign w:val="center"/>
          </w:tcPr>
          <w:p w14:paraId="1EA4F3E8" w14:textId="01AC6416" w:rsidR="00A86385" w:rsidRPr="005C29F8" w:rsidRDefault="002B7490" w:rsidP="00A86385">
            <w:pPr>
              <w:jc w:val="center"/>
              <w:rPr>
                <w:rFonts w:cs="Arial"/>
                <w:color w:val="000000" w:themeColor="text1"/>
                <w:szCs w:val="16"/>
              </w:rPr>
            </w:pPr>
            <w:r w:rsidRPr="005C29F8">
              <w:rPr>
                <w:rFonts w:cs="Arial"/>
                <w:color w:val="000000" w:themeColor="text1"/>
                <w:szCs w:val="16"/>
              </w:rPr>
              <w:t>503</w:t>
            </w:r>
          </w:p>
        </w:tc>
        <w:tc>
          <w:tcPr>
            <w:tcW w:w="572" w:type="pct"/>
            <w:shd w:val="clear" w:color="auto" w:fill="auto"/>
            <w:vAlign w:val="center"/>
          </w:tcPr>
          <w:p w14:paraId="392DC3C7" w14:textId="706433AB" w:rsidR="00A86385" w:rsidRPr="005C29F8" w:rsidRDefault="002B7490" w:rsidP="00A86385">
            <w:pPr>
              <w:jc w:val="center"/>
              <w:rPr>
                <w:rFonts w:cs="Arial"/>
                <w:color w:val="000000" w:themeColor="text1"/>
                <w:szCs w:val="16"/>
              </w:rPr>
            </w:pPr>
            <w:r w:rsidRPr="005C29F8">
              <w:rPr>
                <w:rFonts w:cs="Arial"/>
                <w:color w:val="000000" w:themeColor="text1"/>
                <w:szCs w:val="16"/>
              </w:rPr>
              <w:t>1,150</w:t>
            </w:r>
          </w:p>
        </w:tc>
        <w:tc>
          <w:tcPr>
            <w:tcW w:w="571" w:type="pct"/>
            <w:shd w:val="clear" w:color="auto" w:fill="auto"/>
            <w:vAlign w:val="center"/>
          </w:tcPr>
          <w:p w14:paraId="480CDC79" w14:textId="4F1F0DEC" w:rsidR="00A86385" w:rsidRPr="005C29F8" w:rsidRDefault="002B7490" w:rsidP="00A86385">
            <w:pPr>
              <w:jc w:val="center"/>
              <w:rPr>
                <w:rFonts w:cs="Arial"/>
                <w:color w:val="000000" w:themeColor="text1"/>
                <w:szCs w:val="16"/>
              </w:rPr>
            </w:pPr>
            <w:r w:rsidRPr="005C29F8">
              <w:rPr>
                <w:rFonts w:cs="Arial"/>
                <w:color w:val="000000" w:themeColor="text1"/>
                <w:szCs w:val="16"/>
              </w:rPr>
              <w:t>46.03%</w:t>
            </w:r>
          </w:p>
        </w:tc>
        <w:tc>
          <w:tcPr>
            <w:tcW w:w="572" w:type="pct"/>
            <w:shd w:val="clear" w:color="auto" w:fill="auto"/>
            <w:vAlign w:val="center"/>
          </w:tcPr>
          <w:p w14:paraId="4E37244D" w14:textId="286AF534" w:rsidR="00A86385" w:rsidRPr="005C29F8" w:rsidRDefault="003D7F56">
            <w:pPr>
              <w:jc w:val="center"/>
              <w:rPr>
                <w:color w:val="000000" w:themeColor="text1"/>
              </w:rPr>
            </w:pPr>
            <w:r w:rsidRPr="005C29F8">
              <w:rPr>
                <w:color w:val="000000" w:themeColor="text1"/>
              </w:rPr>
              <w:t>50.00%</w:t>
            </w:r>
          </w:p>
        </w:tc>
        <w:tc>
          <w:tcPr>
            <w:tcW w:w="571" w:type="pct"/>
            <w:shd w:val="clear" w:color="auto" w:fill="auto"/>
            <w:vAlign w:val="center"/>
          </w:tcPr>
          <w:p w14:paraId="2BBC817C" w14:textId="65BC2730" w:rsidR="00A86385" w:rsidRPr="005C29F8" w:rsidRDefault="002B7490" w:rsidP="00A86385">
            <w:pPr>
              <w:jc w:val="center"/>
              <w:rPr>
                <w:rFonts w:cs="Arial"/>
                <w:color w:val="000000" w:themeColor="text1"/>
                <w:szCs w:val="16"/>
              </w:rPr>
            </w:pPr>
            <w:r w:rsidRPr="005C29F8">
              <w:rPr>
                <w:rFonts w:cs="Arial"/>
                <w:color w:val="000000" w:themeColor="text1"/>
                <w:szCs w:val="16"/>
              </w:rPr>
              <w:t>43.74%</w:t>
            </w:r>
          </w:p>
        </w:tc>
        <w:tc>
          <w:tcPr>
            <w:tcW w:w="572" w:type="pct"/>
            <w:shd w:val="clear" w:color="auto" w:fill="auto"/>
            <w:vAlign w:val="center"/>
          </w:tcPr>
          <w:p w14:paraId="3AC16CE0" w14:textId="7E3856A4" w:rsidR="00A86385" w:rsidRPr="005C29F8" w:rsidRDefault="002B7490" w:rsidP="00A86385">
            <w:pPr>
              <w:jc w:val="center"/>
              <w:rPr>
                <w:rFonts w:cs="Arial"/>
                <w:color w:val="000000" w:themeColor="text1"/>
                <w:szCs w:val="16"/>
              </w:rPr>
            </w:pPr>
            <w:r w:rsidRPr="005C29F8">
              <w:rPr>
                <w:rFonts w:cs="Arial"/>
                <w:color w:val="000000" w:themeColor="text1"/>
                <w:szCs w:val="16"/>
              </w:rPr>
              <w:t>Did Not Meet Target</w:t>
            </w:r>
          </w:p>
        </w:tc>
        <w:tc>
          <w:tcPr>
            <w:tcW w:w="572" w:type="pct"/>
            <w:shd w:val="clear" w:color="auto" w:fill="auto"/>
            <w:vAlign w:val="center"/>
          </w:tcPr>
          <w:p w14:paraId="2C0165C1" w14:textId="5260DB98" w:rsidR="00A86385" w:rsidRPr="005C29F8" w:rsidRDefault="002B7490" w:rsidP="00A86385">
            <w:pPr>
              <w:jc w:val="center"/>
              <w:rPr>
                <w:rFonts w:cs="Arial"/>
                <w:color w:val="000000" w:themeColor="text1"/>
                <w:szCs w:val="16"/>
              </w:rPr>
            </w:pPr>
            <w:r w:rsidRPr="005C29F8">
              <w:rPr>
                <w:rFonts w:cs="Arial"/>
                <w:color w:val="000000" w:themeColor="text1"/>
                <w:szCs w:val="16"/>
              </w:rPr>
              <w:t>Slippage</w:t>
            </w:r>
          </w:p>
        </w:tc>
      </w:tr>
    </w:tbl>
    <w:p w14:paraId="43C6FD6E" w14:textId="77777777" w:rsidR="00A80FEB" w:rsidRPr="005C29F8" w:rsidRDefault="00A80FEB" w:rsidP="004369B2">
      <w:pPr>
        <w:rPr>
          <w:color w:val="000000" w:themeColor="text1"/>
        </w:rPr>
      </w:pPr>
      <w:r w:rsidRPr="005C29F8">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5C29F8" w14:paraId="637A7029" w14:textId="2CDA80A7" w:rsidTr="0033429D">
        <w:trPr>
          <w:trHeight w:val="361"/>
          <w:tblHeader/>
        </w:trPr>
        <w:tc>
          <w:tcPr>
            <w:tcW w:w="3349" w:type="pct"/>
            <w:shd w:val="clear" w:color="auto" w:fill="auto"/>
            <w:vAlign w:val="bottom"/>
          </w:tcPr>
          <w:p w14:paraId="43F5435F" w14:textId="01DC1145" w:rsidR="00E13B95" w:rsidRPr="005C29F8" w:rsidRDefault="003E11AE" w:rsidP="0024351A">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sidR="009028CA">
              <w:rPr>
                <w:rFonts w:cs="Arial"/>
                <w:b/>
                <w:bCs/>
                <w:color w:val="000000" w:themeColor="text1"/>
                <w:szCs w:val="16"/>
              </w:rPr>
              <w:t>C</w:t>
            </w:r>
            <w:r w:rsidRPr="00227D4B">
              <w:rPr>
                <w:rFonts w:cs="Arial"/>
                <w:b/>
                <w:bCs/>
                <w:color w:val="000000" w:themeColor="text1"/>
                <w:szCs w:val="16"/>
              </w:rPr>
              <w:t>ategor</w:t>
            </w:r>
            <w:r w:rsidR="00E91363">
              <w:rPr>
                <w:rFonts w:cs="Arial"/>
                <w:b/>
                <w:bCs/>
                <w:color w:val="000000" w:themeColor="text1"/>
                <w:szCs w:val="16"/>
              </w:rPr>
              <w:t>y</w:t>
            </w:r>
          </w:p>
        </w:tc>
        <w:tc>
          <w:tcPr>
            <w:tcW w:w="826" w:type="pct"/>
            <w:shd w:val="clear" w:color="auto" w:fill="auto"/>
            <w:vAlign w:val="bottom"/>
          </w:tcPr>
          <w:p w14:paraId="33266842" w14:textId="77777777" w:rsidR="00E13B95" w:rsidRPr="005C29F8" w:rsidRDefault="00E13B95" w:rsidP="0024351A">
            <w:pPr>
              <w:jc w:val="center"/>
              <w:rPr>
                <w:rFonts w:cs="Arial"/>
                <w:b/>
                <w:color w:val="000000" w:themeColor="text1"/>
                <w:szCs w:val="16"/>
              </w:rPr>
            </w:pPr>
            <w:r w:rsidRPr="005C29F8">
              <w:rPr>
                <w:rFonts w:cs="Arial"/>
                <w:b/>
                <w:color w:val="000000" w:themeColor="text1"/>
                <w:szCs w:val="16"/>
              </w:rPr>
              <w:t>Number of Children</w:t>
            </w:r>
          </w:p>
        </w:tc>
        <w:tc>
          <w:tcPr>
            <w:tcW w:w="825" w:type="pct"/>
            <w:shd w:val="clear" w:color="auto" w:fill="auto"/>
            <w:vAlign w:val="bottom"/>
          </w:tcPr>
          <w:p w14:paraId="55864E39" w14:textId="3FAA808D" w:rsidR="00E13B95" w:rsidRPr="005C29F8" w:rsidRDefault="00E13B95" w:rsidP="0024351A">
            <w:pPr>
              <w:jc w:val="center"/>
              <w:rPr>
                <w:rFonts w:cs="Arial"/>
                <w:b/>
                <w:color w:val="000000" w:themeColor="text1"/>
                <w:szCs w:val="16"/>
              </w:rPr>
            </w:pPr>
            <w:r w:rsidRPr="005C29F8">
              <w:rPr>
                <w:rFonts w:cs="Arial"/>
                <w:b/>
                <w:color w:val="000000" w:themeColor="text1"/>
                <w:szCs w:val="16"/>
              </w:rPr>
              <w:t>Percentage of Children</w:t>
            </w:r>
          </w:p>
        </w:tc>
      </w:tr>
      <w:tr w:rsidR="005C29F8" w:rsidRPr="005C29F8" w14:paraId="5E399615" w14:textId="1C73CC75" w:rsidTr="00AB0D6A">
        <w:trPr>
          <w:trHeight w:val="361"/>
        </w:trPr>
        <w:tc>
          <w:tcPr>
            <w:tcW w:w="3349" w:type="pct"/>
            <w:shd w:val="clear" w:color="auto" w:fill="auto"/>
          </w:tcPr>
          <w:p w14:paraId="6B2DB9F8" w14:textId="77777777" w:rsidR="00A86385" w:rsidRPr="005C29F8" w:rsidRDefault="00A86385" w:rsidP="00A86385">
            <w:pPr>
              <w:rPr>
                <w:rFonts w:cs="Arial"/>
                <w:color w:val="000000" w:themeColor="text1"/>
                <w:szCs w:val="16"/>
              </w:rPr>
            </w:pPr>
            <w:r w:rsidRPr="005C29F8">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5C29F8" w:rsidRDefault="002B7490" w:rsidP="00A018D4">
            <w:pPr>
              <w:jc w:val="center"/>
              <w:rPr>
                <w:rFonts w:cs="Arial"/>
                <w:color w:val="000000" w:themeColor="text1"/>
                <w:szCs w:val="16"/>
              </w:rPr>
            </w:pPr>
            <w:r w:rsidRPr="005C29F8">
              <w:rPr>
                <w:rFonts w:cs="Arial"/>
                <w:color w:val="000000" w:themeColor="text1"/>
                <w:szCs w:val="16"/>
              </w:rPr>
              <w:t>10</w:t>
            </w:r>
          </w:p>
        </w:tc>
        <w:tc>
          <w:tcPr>
            <w:tcW w:w="825" w:type="pct"/>
            <w:shd w:val="clear" w:color="auto" w:fill="auto"/>
            <w:vAlign w:val="center"/>
          </w:tcPr>
          <w:p w14:paraId="21775FA0" w14:textId="7E6665F3" w:rsidR="00A86385" w:rsidRPr="005C29F8" w:rsidRDefault="002B7490" w:rsidP="00A018D4">
            <w:pPr>
              <w:jc w:val="center"/>
              <w:rPr>
                <w:rFonts w:cs="Arial"/>
                <w:color w:val="000000" w:themeColor="text1"/>
                <w:szCs w:val="16"/>
              </w:rPr>
            </w:pPr>
            <w:r w:rsidRPr="005C29F8">
              <w:rPr>
                <w:rFonts w:cs="Arial"/>
                <w:color w:val="000000" w:themeColor="text1"/>
                <w:szCs w:val="16"/>
              </w:rPr>
              <w:t>0.87%</w:t>
            </w:r>
          </w:p>
        </w:tc>
      </w:tr>
      <w:tr w:rsidR="005C29F8" w:rsidRPr="005C29F8" w14:paraId="0EABFD05" w14:textId="7B9C3CA9" w:rsidTr="00AB0D6A">
        <w:trPr>
          <w:trHeight w:val="361"/>
        </w:trPr>
        <w:tc>
          <w:tcPr>
            <w:tcW w:w="3349" w:type="pct"/>
            <w:shd w:val="clear" w:color="auto" w:fill="auto"/>
          </w:tcPr>
          <w:p w14:paraId="623F83AF" w14:textId="77777777" w:rsidR="00A86385" w:rsidRPr="005C29F8" w:rsidRDefault="00A86385" w:rsidP="00A86385">
            <w:pPr>
              <w:rPr>
                <w:rFonts w:cs="Arial"/>
                <w:color w:val="000000" w:themeColor="text1"/>
                <w:szCs w:val="16"/>
              </w:rPr>
            </w:pPr>
            <w:r w:rsidRPr="005C29F8">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5C29F8" w:rsidRDefault="002B7490" w:rsidP="00A018D4">
            <w:pPr>
              <w:jc w:val="center"/>
              <w:rPr>
                <w:rFonts w:cs="Arial"/>
                <w:color w:val="000000" w:themeColor="text1"/>
                <w:szCs w:val="16"/>
              </w:rPr>
            </w:pPr>
            <w:r w:rsidRPr="005C29F8">
              <w:rPr>
                <w:rFonts w:cs="Arial"/>
                <w:color w:val="000000" w:themeColor="text1"/>
                <w:szCs w:val="16"/>
              </w:rPr>
              <w:t>151</w:t>
            </w:r>
          </w:p>
        </w:tc>
        <w:tc>
          <w:tcPr>
            <w:tcW w:w="825" w:type="pct"/>
            <w:shd w:val="clear" w:color="auto" w:fill="auto"/>
            <w:vAlign w:val="center"/>
          </w:tcPr>
          <w:p w14:paraId="33D020CC" w14:textId="0314A001" w:rsidR="00A86385" w:rsidRPr="005C29F8" w:rsidRDefault="002B7490" w:rsidP="00A018D4">
            <w:pPr>
              <w:jc w:val="center"/>
              <w:rPr>
                <w:rFonts w:cs="Arial"/>
                <w:color w:val="000000" w:themeColor="text1"/>
                <w:szCs w:val="16"/>
              </w:rPr>
            </w:pPr>
            <w:r w:rsidRPr="005C29F8">
              <w:rPr>
                <w:rFonts w:cs="Arial"/>
                <w:color w:val="000000" w:themeColor="text1"/>
                <w:szCs w:val="16"/>
              </w:rPr>
              <w:t>13.13%</w:t>
            </w:r>
          </w:p>
        </w:tc>
      </w:tr>
      <w:tr w:rsidR="005C29F8" w:rsidRPr="005C29F8" w14:paraId="2AFEEE7C" w14:textId="52870042" w:rsidTr="00AB0D6A">
        <w:trPr>
          <w:trHeight w:val="361"/>
        </w:trPr>
        <w:tc>
          <w:tcPr>
            <w:tcW w:w="3349" w:type="pct"/>
            <w:shd w:val="clear" w:color="auto" w:fill="auto"/>
          </w:tcPr>
          <w:p w14:paraId="77166FC5" w14:textId="77777777" w:rsidR="00A86385" w:rsidRPr="005C29F8" w:rsidRDefault="00A86385" w:rsidP="00A86385">
            <w:pPr>
              <w:rPr>
                <w:rFonts w:cs="Arial"/>
                <w:color w:val="000000" w:themeColor="text1"/>
                <w:szCs w:val="16"/>
              </w:rPr>
            </w:pPr>
            <w:r w:rsidRPr="005C29F8">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5C29F8" w:rsidRDefault="002B7490" w:rsidP="00A018D4">
            <w:pPr>
              <w:jc w:val="center"/>
              <w:rPr>
                <w:rFonts w:cs="Arial"/>
                <w:color w:val="000000" w:themeColor="text1"/>
                <w:szCs w:val="16"/>
              </w:rPr>
            </w:pPr>
            <w:r w:rsidRPr="005C29F8">
              <w:rPr>
                <w:rFonts w:cs="Arial"/>
                <w:color w:val="000000" w:themeColor="text1"/>
                <w:szCs w:val="16"/>
              </w:rPr>
              <w:t>471</w:t>
            </w:r>
          </w:p>
        </w:tc>
        <w:tc>
          <w:tcPr>
            <w:tcW w:w="825" w:type="pct"/>
            <w:shd w:val="clear" w:color="auto" w:fill="auto"/>
            <w:vAlign w:val="center"/>
          </w:tcPr>
          <w:p w14:paraId="2021CF20" w14:textId="181B68B8" w:rsidR="00A86385" w:rsidRPr="005C29F8" w:rsidRDefault="002B7490" w:rsidP="00A018D4">
            <w:pPr>
              <w:jc w:val="center"/>
              <w:rPr>
                <w:rFonts w:cs="Arial"/>
                <w:color w:val="000000" w:themeColor="text1"/>
                <w:szCs w:val="16"/>
              </w:rPr>
            </w:pPr>
            <w:r w:rsidRPr="005C29F8">
              <w:rPr>
                <w:rFonts w:cs="Arial"/>
                <w:color w:val="000000" w:themeColor="text1"/>
                <w:szCs w:val="16"/>
              </w:rPr>
              <w:t>40.96%</w:t>
            </w:r>
          </w:p>
        </w:tc>
      </w:tr>
      <w:tr w:rsidR="005C29F8" w:rsidRPr="005C29F8" w14:paraId="5D450E84" w14:textId="4C13CEB9" w:rsidTr="00AB0D6A">
        <w:trPr>
          <w:trHeight w:val="361"/>
        </w:trPr>
        <w:tc>
          <w:tcPr>
            <w:tcW w:w="3349" w:type="pct"/>
            <w:shd w:val="clear" w:color="auto" w:fill="auto"/>
          </w:tcPr>
          <w:p w14:paraId="110FD587" w14:textId="77777777" w:rsidR="00A86385" w:rsidRPr="005C29F8" w:rsidRDefault="00A86385" w:rsidP="00A86385">
            <w:pPr>
              <w:rPr>
                <w:rFonts w:cs="Arial"/>
                <w:color w:val="000000" w:themeColor="text1"/>
                <w:szCs w:val="16"/>
              </w:rPr>
            </w:pPr>
            <w:r w:rsidRPr="005C29F8">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5C29F8" w:rsidRDefault="002B7490" w:rsidP="00A018D4">
            <w:pPr>
              <w:jc w:val="center"/>
              <w:rPr>
                <w:rFonts w:cs="Arial"/>
                <w:color w:val="000000" w:themeColor="text1"/>
                <w:szCs w:val="16"/>
              </w:rPr>
            </w:pPr>
            <w:r w:rsidRPr="005C29F8">
              <w:rPr>
                <w:rFonts w:cs="Arial"/>
                <w:color w:val="000000" w:themeColor="text1"/>
                <w:szCs w:val="16"/>
              </w:rPr>
              <w:t>387</w:t>
            </w:r>
          </w:p>
        </w:tc>
        <w:tc>
          <w:tcPr>
            <w:tcW w:w="825" w:type="pct"/>
            <w:shd w:val="clear" w:color="auto" w:fill="auto"/>
            <w:vAlign w:val="center"/>
          </w:tcPr>
          <w:p w14:paraId="2EEE6FB7" w14:textId="6E8D11C4" w:rsidR="00A86385" w:rsidRPr="005C29F8" w:rsidRDefault="002B7490" w:rsidP="00A018D4">
            <w:pPr>
              <w:jc w:val="center"/>
              <w:rPr>
                <w:rFonts w:cs="Arial"/>
                <w:color w:val="000000" w:themeColor="text1"/>
                <w:szCs w:val="16"/>
              </w:rPr>
            </w:pPr>
            <w:r w:rsidRPr="005C29F8">
              <w:rPr>
                <w:rFonts w:cs="Arial"/>
                <w:color w:val="000000" w:themeColor="text1"/>
                <w:szCs w:val="16"/>
              </w:rPr>
              <w:t>33.65%</w:t>
            </w:r>
          </w:p>
        </w:tc>
      </w:tr>
      <w:tr w:rsidR="005C29F8" w:rsidRPr="005C29F8" w14:paraId="108FFB57" w14:textId="0C409786" w:rsidTr="00AB0D6A">
        <w:trPr>
          <w:trHeight w:val="361"/>
        </w:trPr>
        <w:tc>
          <w:tcPr>
            <w:tcW w:w="3349" w:type="pct"/>
            <w:shd w:val="clear" w:color="auto" w:fill="auto"/>
          </w:tcPr>
          <w:p w14:paraId="3D4AD278" w14:textId="77777777" w:rsidR="00A86385" w:rsidRPr="005C29F8" w:rsidRDefault="00A86385" w:rsidP="00A86385">
            <w:pPr>
              <w:rPr>
                <w:rFonts w:cs="Arial"/>
                <w:color w:val="000000" w:themeColor="text1"/>
                <w:szCs w:val="16"/>
              </w:rPr>
            </w:pPr>
            <w:r w:rsidRPr="005C29F8">
              <w:rPr>
                <w:rFonts w:cs="Arial"/>
                <w:color w:val="000000" w:themeColor="text1"/>
                <w:szCs w:val="16"/>
              </w:rPr>
              <w:lastRenderedPageBreak/>
              <w:t>e. Preschool children who maintained functioning at a level comparable to same-aged peers</w:t>
            </w:r>
          </w:p>
        </w:tc>
        <w:tc>
          <w:tcPr>
            <w:tcW w:w="826" w:type="pct"/>
            <w:shd w:val="clear" w:color="auto" w:fill="auto"/>
            <w:vAlign w:val="center"/>
          </w:tcPr>
          <w:p w14:paraId="7A790A60" w14:textId="08E1839F" w:rsidR="00A86385" w:rsidRPr="005C29F8" w:rsidRDefault="002B7490" w:rsidP="00A018D4">
            <w:pPr>
              <w:jc w:val="center"/>
              <w:rPr>
                <w:rFonts w:cs="Arial"/>
                <w:color w:val="000000" w:themeColor="text1"/>
                <w:szCs w:val="16"/>
              </w:rPr>
            </w:pPr>
            <w:r w:rsidRPr="005C29F8">
              <w:rPr>
                <w:rFonts w:cs="Arial"/>
                <w:color w:val="000000" w:themeColor="text1"/>
                <w:szCs w:val="16"/>
              </w:rPr>
              <w:t>131</w:t>
            </w:r>
          </w:p>
        </w:tc>
        <w:tc>
          <w:tcPr>
            <w:tcW w:w="825" w:type="pct"/>
            <w:shd w:val="clear" w:color="auto" w:fill="auto"/>
            <w:vAlign w:val="center"/>
          </w:tcPr>
          <w:p w14:paraId="2501B391" w14:textId="1634A6F5" w:rsidR="00A86385" w:rsidRPr="005C29F8" w:rsidRDefault="002B7490" w:rsidP="00A018D4">
            <w:pPr>
              <w:jc w:val="center"/>
              <w:rPr>
                <w:rFonts w:cs="Arial"/>
                <w:color w:val="000000" w:themeColor="text1"/>
                <w:szCs w:val="16"/>
              </w:rPr>
            </w:pPr>
            <w:r w:rsidRPr="005C29F8">
              <w:rPr>
                <w:rFonts w:cs="Arial"/>
                <w:color w:val="000000" w:themeColor="text1"/>
                <w:szCs w:val="16"/>
              </w:rPr>
              <w:t>11.39%</w:t>
            </w:r>
          </w:p>
        </w:tc>
      </w:tr>
    </w:tbl>
    <w:p w14:paraId="7EA9F2D2" w14:textId="77777777" w:rsidR="00A80FEB" w:rsidRPr="005C29F8"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5C29F8" w:rsidRPr="005C29F8" w14:paraId="29447607" w14:textId="4B3B706C" w:rsidTr="00AB0D6A">
        <w:trPr>
          <w:tblHeader/>
        </w:trPr>
        <w:tc>
          <w:tcPr>
            <w:tcW w:w="1000" w:type="pct"/>
            <w:shd w:val="clear" w:color="auto" w:fill="auto"/>
            <w:vAlign w:val="bottom"/>
          </w:tcPr>
          <w:p w14:paraId="58D567A9" w14:textId="7BD30860" w:rsidR="00E13B95" w:rsidRPr="005C29F8" w:rsidRDefault="009028CA" w:rsidP="004369B2">
            <w:pPr>
              <w:rPr>
                <w:b/>
                <w:color w:val="000000" w:themeColor="text1"/>
              </w:rPr>
            </w:pPr>
            <w:r>
              <w:rPr>
                <w:b/>
                <w:color w:val="000000" w:themeColor="text1"/>
              </w:rPr>
              <w:t>Outcome B</w:t>
            </w:r>
          </w:p>
        </w:tc>
        <w:tc>
          <w:tcPr>
            <w:tcW w:w="584" w:type="pct"/>
            <w:shd w:val="clear" w:color="auto" w:fill="auto"/>
            <w:vAlign w:val="bottom"/>
          </w:tcPr>
          <w:p w14:paraId="0DF6A486" w14:textId="77777777" w:rsidR="00E13B95" w:rsidRPr="005C29F8" w:rsidRDefault="00E13B95" w:rsidP="004369B2">
            <w:pPr>
              <w:rPr>
                <w:b/>
                <w:color w:val="000000" w:themeColor="text1"/>
              </w:rPr>
            </w:pPr>
            <w:r w:rsidRPr="005C29F8">
              <w:rPr>
                <w:b/>
                <w:color w:val="000000" w:themeColor="text1"/>
              </w:rPr>
              <w:t>Numerator</w:t>
            </w:r>
          </w:p>
        </w:tc>
        <w:tc>
          <w:tcPr>
            <w:tcW w:w="585" w:type="pct"/>
            <w:shd w:val="clear" w:color="auto" w:fill="auto"/>
            <w:vAlign w:val="bottom"/>
          </w:tcPr>
          <w:p w14:paraId="4A127242" w14:textId="77777777" w:rsidR="00E13B95" w:rsidRPr="005C29F8" w:rsidRDefault="00E13B95" w:rsidP="004369B2">
            <w:pPr>
              <w:rPr>
                <w:b/>
                <w:color w:val="000000" w:themeColor="text1"/>
              </w:rPr>
            </w:pPr>
            <w:r w:rsidRPr="005C29F8">
              <w:rPr>
                <w:b/>
                <w:color w:val="000000" w:themeColor="text1"/>
              </w:rPr>
              <w:t>Denominator</w:t>
            </w:r>
          </w:p>
        </w:tc>
        <w:tc>
          <w:tcPr>
            <w:tcW w:w="543" w:type="pct"/>
            <w:shd w:val="clear" w:color="auto" w:fill="auto"/>
            <w:vAlign w:val="bottom"/>
          </w:tcPr>
          <w:p w14:paraId="03649132" w14:textId="758FF610" w:rsidR="00E13B95" w:rsidRPr="005C29F8" w:rsidRDefault="00B954DC" w:rsidP="004369B2">
            <w:pPr>
              <w:rPr>
                <w:b/>
                <w:color w:val="000000" w:themeColor="text1"/>
              </w:rPr>
            </w:pPr>
            <w:r w:rsidRPr="005C29F8">
              <w:rPr>
                <w:b/>
                <w:color w:val="000000" w:themeColor="text1"/>
              </w:rPr>
              <w:t>FFY  2018 Data</w:t>
            </w:r>
          </w:p>
        </w:tc>
        <w:tc>
          <w:tcPr>
            <w:tcW w:w="584" w:type="pct"/>
            <w:shd w:val="clear" w:color="auto" w:fill="auto"/>
            <w:vAlign w:val="bottom"/>
          </w:tcPr>
          <w:p w14:paraId="3AFAEBC5" w14:textId="2EDFB88D" w:rsidR="00E13B95" w:rsidRPr="005C29F8" w:rsidRDefault="00E13B95" w:rsidP="004369B2">
            <w:pPr>
              <w:rPr>
                <w:b/>
                <w:color w:val="000000" w:themeColor="text1"/>
              </w:rPr>
            </w:pPr>
            <w:r w:rsidRPr="005C29F8">
              <w:rPr>
                <w:b/>
                <w:color w:val="000000" w:themeColor="text1"/>
              </w:rPr>
              <w:t>FFY 2019 Target</w:t>
            </w:r>
          </w:p>
        </w:tc>
        <w:tc>
          <w:tcPr>
            <w:tcW w:w="584" w:type="pct"/>
            <w:shd w:val="clear" w:color="auto" w:fill="auto"/>
            <w:vAlign w:val="bottom"/>
          </w:tcPr>
          <w:p w14:paraId="40B6360D" w14:textId="57B7D310" w:rsidR="00E13B95" w:rsidRPr="005C29F8" w:rsidRDefault="00E13B95" w:rsidP="004369B2">
            <w:pPr>
              <w:rPr>
                <w:b/>
                <w:color w:val="000000" w:themeColor="text1"/>
              </w:rPr>
            </w:pPr>
            <w:r w:rsidRPr="005C29F8">
              <w:rPr>
                <w:b/>
                <w:color w:val="000000" w:themeColor="text1"/>
              </w:rPr>
              <w:t>FFY 2019 Data</w:t>
            </w:r>
          </w:p>
        </w:tc>
        <w:tc>
          <w:tcPr>
            <w:tcW w:w="486" w:type="pct"/>
            <w:shd w:val="clear" w:color="auto" w:fill="auto"/>
            <w:vAlign w:val="bottom"/>
          </w:tcPr>
          <w:p w14:paraId="17C85F8A" w14:textId="625B06E9" w:rsidR="00E13B95" w:rsidRPr="005C29F8" w:rsidRDefault="00E13B95" w:rsidP="004369B2">
            <w:pPr>
              <w:rPr>
                <w:b/>
                <w:color w:val="000000" w:themeColor="text1"/>
              </w:rPr>
            </w:pPr>
            <w:r w:rsidRPr="005C29F8">
              <w:rPr>
                <w:b/>
                <w:color w:val="000000" w:themeColor="text1"/>
              </w:rPr>
              <w:t>Status</w:t>
            </w:r>
          </w:p>
        </w:tc>
        <w:tc>
          <w:tcPr>
            <w:tcW w:w="635" w:type="pct"/>
            <w:shd w:val="clear" w:color="auto" w:fill="auto"/>
            <w:vAlign w:val="bottom"/>
          </w:tcPr>
          <w:p w14:paraId="4254BB19" w14:textId="15C403FF" w:rsidR="00E13B95" w:rsidRPr="005C29F8" w:rsidRDefault="00E13B95" w:rsidP="004369B2">
            <w:pPr>
              <w:rPr>
                <w:b/>
                <w:color w:val="000000" w:themeColor="text1"/>
              </w:rPr>
            </w:pPr>
            <w:r w:rsidRPr="005C29F8">
              <w:rPr>
                <w:b/>
                <w:color w:val="000000" w:themeColor="text1"/>
              </w:rPr>
              <w:t>Slippage</w:t>
            </w:r>
          </w:p>
        </w:tc>
      </w:tr>
      <w:tr w:rsidR="005C29F8" w:rsidRPr="005C29F8" w14:paraId="6493B1D4" w14:textId="479A7C15" w:rsidTr="00AB0D6A">
        <w:tc>
          <w:tcPr>
            <w:tcW w:w="999" w:type="pct"/>
            <w:shd w:val="clear" w:color="auto" w:fill="auto"/>
          </w:tcPr>
          <w:p w14:paraId="78BDD134" w14:textId="77BF78A5" w:rsidR="00A86385" w:rsidRPr="005C29F8" w:rsidRDefault="00A86385" w:rsidP="00A018D4">
            <w:pPr>
              <w:rPr>
                <w:rFonts w:cs="Arial"/>
                <w:color w:val="000000" w:themeColor="text1"/>
                <w:szCs w:val="16"/>
              </w:rPr>
            </w:pPr>
            <w:r w:rsidRPr="005C29F8">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00401663" w:rsidRPr="005C29F8">
              <w:rPr>
                <w:rFonts w:cs="Arial"/>
                <w:i/>
                <w:color w:val="000000" w:themeColor="text1"/>
                <w:szCs w:val="16"/>
              </w:rPr>
              <w:t>C</w:t>
            </w:r>
            <w:r w:rsidRPr="005C29F8">
              <w:rPr>
                <w:rFonts w:cs="Arial"/>
                <w:i/>
                <w:color w:val="000000" w:themeColor="text1"/>
                <w:szCs w:val="16"/>
              </w:rPr>
              <w:t>alculation: (c+d)/(a+b+c+d)</w:t>
            </w:r>
          </w:p>
        </w:tc>
        <w:tc>
          <w:tcPr>
            <w:tcW w:w="585" w:type="pct"/>
            <w:shd w:val="clear" w:color="auto" w:fill="auto"/>
            <w:vAlign w:val="center"/>
          </w:tcPr>
          <w:p w14:paraId="250FBF70" w14:textId="269E9F95" w:rsidR="00A86385" w:rsidRPr="005C29F8" w:rsidRDefault="002B7490" w:rsidP="00A018D4">
            <w:pPr>
              <w:jc w:val="center"/>
              <w:rPr>
                <w:rFonts w:cs="Arial"/>
                <w:color w:val="000000" w:themeColor="text1"/>
                <w:szCs w:val="16"/>
              </w:rPr>
            </w:pPr>
            <w:r w:rsidRPr="005C29F8">
              <w:rPr>
                <w:rFonts w:cs="Arial"/>
                <w:color w:val="000000" w:themeColor="text1"/>
                <w:szCs w:val="16"/>
              </w:rPr>
              <w:t>858</w:t>
            </w:r>
          </w:p>
        </w:tc>
        <w:tc>
          <w:tcPr>
            <w:tcW w:w="585" w:type="pct"/>
            <w:shd w:val="clear" w:color="auto" w:fill="auto"/>
            <w:vAlign w:val="center"/>
          </w:tcPr>
          <w:p w14:paraId="682FF5CA" w14:textId="4D1E8D34" w:rsidR="00A86385" w:rsidRPr="005C29F8" w:rsidRDefault="002B7490" w:rsidP="00A018D4">
            <w:pPr>
              <w:jc w:val="center"/>
              <w:rPr>
                <w:rFonts w:cs="Arial"/>
                <w:color w:val="000000" w:themeColor="text1"/>
                <w:szCs w:val="16"/>
              </w:rPr>
            </w:pPr>
            <w:r w:rsidRPr="005C29F8">
              <w:rPr>
                <w:rFonts w:cs="Arial"/>
                <w:color w:val="000000" w:themeColor="text1"/>
                <w:szCs w:val="16"/>
              </w:rPr>
              <w:t>1,019</w:t>
            </w:r>
          </w:p>
        </w:tc>
        <w:tc>
          <w:tcPr>
            <w:tcW w:w="543" w:type="pct"/>
            <w:shd w:val="clear" w:color="auto" w:fill="auto"/>
            <w:vAlign w:val="center"/>
          </w:tcPr>
          <w:p w14:paraId="07D855DC" w14:textId="52076A3B" w:rsidR="00A86385" w:rsidRPr="005C29F8" w:rsidRDefault="002B7490" w:rsidP="00A018D4">
            <w:pPr>
              <w:jc w:val="center"/>
              <w:rPr>
                <w:rFonts w:cs="Arial"/>
                <w:color w:val="000000" w:themeColor="text1"/>
                <w:szCs w:val="16"/>
              </w:rPr>
            </w:pPr>
            <w:r w:rsidRPr="005C29F8">
              <w:rPr>
                <w:rFonts w:cs="Arial"/>
                <w:color w:val="000000" w:themeColor="text1"/>
                <w:szCs w:val="16"/>
              </w:rPr>
              <w:t>83.56%</w:t>
            </w:r>
          </w:p>
        </w:tc>
        <w:tc>
          <w:tcPr>
            <w:tcW w:w="584" w:type="pct"/>
            <w:shd w:val="clear" w:color="auto" w:fill="auto"/>
            <w:vAlign w:val="center"/>
          </w:tcPr>
          <w:p w14:paraId="2830610A" w14:textId="6D7B3DE8" w:rsidR="00A86385" w:rsidRPr="005C29F8" w:rsidRDefault="002B7490" w:rsidP="00A018D4">
            <w:pPr>
              <w:jc w:val="center"/>
              <w:rPr>
                <w:rFonts w:cs="Arial"/>
                <w:color w:val="000000" w:themeColor="text1"/>
                <w:szCs w:val="16"/>
              </w:rPr>
            </w:pPr>
            <w:r w:rsidRPr="005C29F8">
              <w:rPr>
                <w:rFonts w:cs="Arial"/>
                <w:color w:val="000000" w:themeColor="text1"/>
                <w:szCs w:val="16"/>
              </w:rPr>
              <w:t>85.00%</w:t>
            </w:r>
          </w:p>
        </w:tc>
        <w:tc>
          <w:tcPr>
            <w:tcW w:w="584" w:type="pct"/>
            <w:shd w:val="clear" w:color="auto" w:fill="auto"/>
            <w:vAlign w:val="center"/>
          </w:tcPr>
          <w:p w14:paraId="12F538E0" w14:textId="1332D172" w:rsidR="00A86385" w:rsidRPr="005C29F8" w:rsidRDefault="002B7490" w:rsidP="00A018D4">
            <w:pPr>
              <w:jc w:val="center"/>
              <w:rPr>
                <w:rFonts w:cs="Arial"/>
                <w:color w:val="000000" w:themeColor="text1"/>
                <w:szCs w:val="16"/>
              </w:rPr>
            </w:pPr>
            <w:r w:rsidRPr="005C29F8">
              <w:rPr>
                <w:rFonts w:cs="Arial"/>
                <w:color w:val="000000" w:themeColor="text1"/>
                <w:szCs w:val="16"/>
              </w:rPr>
              <w:t>84.20%</w:t>
            </w:r>
          </w:p>
        </w:tc>
        <w:tc>
          <w:tcPr>
            <w:tcW w:w="486" w:type="pct"/>
            <w:shd w:val="clear" w:color="auto" w:fill="auto"/>
            <w:vAlign w:val="center"/>
          </w:tcPr>
          <w:p w14:paraId="68592CBC" w14:textId="66F66CA8" w:rsidR="00A86385"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635" w:type="pct"/>
            <w:shd w:val="clear" w:color="auto" w:fill="auto"/>
            <w:vAlign w:val="center"/>
          </w:tcPr>
          <w:p w14:paraId="0C970ED8" w14:textId="7AA3F255" w:rsidR="00A86385"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r w:rsidR="005C29F8" w:rsidRPr="005C29F8" w14:paraId="41A2A4C8" w14:textId="1A212673" w:rsidTr="00AB0D6A">
        <w:tc>
          <w:tcPr>
            <w:tcW w:w="999" w:type="pct"/>
            <w:shd w:val="clear" w:color="auto" w:fill="auto"/>
          </w:tcPr>
          <w:p w14:paraId="2E31776D" w14:textId="77B62396" w:rsidR="00A86385" w:rsidRPr="005C29F8" w:rsidRDefault="00A86385" w:rsidP="00A018D4">
            <w:pPr>
              <w:rPr>
                <w:rFonts w:cs="Arial"/>
                <w:color w:val="000000" w:themeColor="text1"/>
                <w:szCs w:val="16"/>
              </w:rPr>
            </w:pPr>
            <w:r w:rsidRPr="005C29F8">
              <w:rPr>
                <w:rFonts w:cs="Arial"/>
                <w:color w:val="000000" w:themeColor="text1"/>
                <w:szCs w:val="16"/>
              </w:rPr>
              <w:t xml:space="preserve">B2. The percent of preschool children who were functioning within age expectations in Outcome B by the time they turned 6 years of age or exited the program. </w:t>
            </w:r>
            <w:r w:rsidR="00401663" w:rsidRPr="005C29F8">
              <w:rPr>
                <w:rFonts w:cs="Arial"/>
                <w:i/>
                <w:color w:val="000000" w:themeColor="text1"/>
                <w:szCs w:val="16"/>
              </w:rPr>
              <w:t>C</w:t>
            </w:r>
            <w:r w:rsidRPr="005C29F8">
              <w:rPr>
                <w:rFonts w:cs="Arial"/>
                <w:i/>
                <w:color w:val="000000" w:themeColor="text1"/>
                <w:szCs w:val="16"/>
              </w:rPr>
              <w:t>alculation: (d+e)/(a+b+c+d+e)</w:t>
            </w:r>
          </w:p>
        </w:tc>
        <w:tc>
          <w:tcPr>
            <w:tcW w:w="585" w:type="pct"/>
            <w:shd w:val="clear" w:color="auto" w:fill="auto"/>
            <w:vAlign w:val="center"/>
          </w:tcPr>
          <w:p w14:paraId="3ABF54A2" w14:textId="3376A45C" w:rsidR="00A86385" w:rsidRPr="005C29F8" w:rsidRDefault="002B7490" w:rsidP="00A018D4">
            <w:pPr>
              <w:jc w:val="center"/>
              <w:rPr>
                <w:rFonts w:cs="Arial"/>
                <w:color w:val="000000" w:themeColor="text1"/>
                <w:szCs w:val="16"/>
              </w:rPr>
            </w:pPr>
            <w:r w:rsidRPr="005C29F8">
              <w:rPr>
                <w:rFonts w:cs="Arial"/>
                <w:color w:val="000000" w:themeColor="text1"/>
                <w:szCs w:val="16"/>
              </w:rPr>
              <w:t>518</w:t>
            </w:r>
          </w:p>
        </w:tc>
        <w:tc>
          <w:tcPr>
            <w:tcW w:w="585" w:type="pct"/>
            <w:shd w:val="clear" w:color="auto" w:fill="auto"/>
            <w:vAlign w:val="center"/>
          </w:tcPr>
          <w:p w14:paraId="591EA1FE" w14:textId="556EFD96" w:rsidR="00A86385" w:rsidRPr="005C29F8" w:rsidRDefault="002B7490" w:rsidP="00A018D4">
            <w:pPr>
              <w:jc w:val="center"/>
              <w:rPr>
                <w:rFonts w:cs="Arial"/>
                <w:color w:val="000000" w:themeColor="text1"/>
                <w:szCs w:val="16"/>
              </w:rPr>
            </w:pPr>
            <w:r w:rsidRPr="005C29F8">
              <w:rPr>
                <w:rFonts w:cs="Arial"/>
                <w:color w:val="000000" w:themeColor="text1"/>
                <w:szCs w:val="16"/>
              </w:rPr>
              <w:t>1,150</w:t>
            </w:r>
          </w:p>
        </w:tc>
        <w:tc>
          <w:tcPr>
            <w:tcW w:w="543" w:type="pct"/>
            <w:shd w:val="clear" w:color="auto" w:fill="auto"/>
            <w:vAlign w:val="center"/>
          </w:tcPr>
          <w:p w14:paraId="0B86042E" w14:textId="01488A08" w:rsidR="00A86385" w:rsidRPr="005C29F8" w:rsidRDefault="002B7490" w:rsidP="00A018D4">
            <w:pPr>
              <w:jc w:val="center"/>
              <w:rPr>
                <w:rFonts w:cs="Arial"/>
                <w:color w:val="000000" w:themeColor="text1"/>
                <w:szCs w:val="16"/>
              </w:rPr>
            </w:pPr>
            <w:r w:rsidRPr="005C29F8">
              <w:rPr>
                <w:rFonts w:cs="Arial"/>
                <w:color w:val="000000" w:themeColor="text1"/>
                <w:szCs w:val="16"/>
              </w:rPr>
              <w:t>46.60%</w:t>
            </w:r>
          </w:p>
        </w:tc>
        <w:tc>
          <w:tcPr>
            <w:tcW w:w="584" w:type="pct"/>
            <w:shd w:val="clear" w:color="auto" w:fill="auto"/>
            <w:vAlign w:val="center"/>
          </w:tcPr>
          <w:p w14:paraId="33474719" w14:textId="0E1ED729" w:rsidR="00A86385" w:rsidRPr="005C29F8" w:rsidRDefault="002B7490" w:rsidP="00A018D4">
            <w:pPr>
              <w:jc w:val="center"/>
              <w:rPr>
                <w:rFonts w:cs="Arial"/>
                <w:color w:val="000000" w:themeColor="text1"/>
                <w:szCs w:val="16"/>
              </w:rPr>
            </w:pPr>
            <w:r w:rsidRPr="005C29F8">
              <w:rPr>
                <w:rFonts w:cs="Arial"/>
                <w:color w:val="000000" w:themeColor="text1"/>
                <w:szCs w:val="16"/>
              </w:rPr>
              <w:t>49.00%</w:t>
            </w:r>
          </w:p>
        </w:tc>
        <w:tc>
          <w:tcPr>
            <w:tcW w:w="584" w:type="pct"/>
            <w:shd w:val="clear" w:color="auto" w:fill="auto"/>
            <w:vAlign w:val="center"/>
          </w:tcPr>
          <w:p w14:paraId="073970A2" w14:textId="5A7FF3FA" w:rsidR="00A86385" w:rsidRPr="005C29F8" w:rsidRDefault="002B7490" w:rsidP="00A018D4">
            <w:pPr>
              <w:jc w:val="center"/>
              <w:rPr>
                <w:rFonts w:cs="Arial"/>
                <w:color w:val="000000" w:themeColor="text1"/>
                <w:szCs w:val="16"/>
              </w:rPr>
            </w:pPr>
            <w:r w:rsidRPr="005C29F8">
              <w:rPr>
                <w:rFonts w:cs="Arial"/>
                <w:color w:val="000000" w:themeColor="text1"/>
                <w:szCs w:val="16"/>
              </w:rPr>
              <w:t>45.04%</w:t>
            </w:r>
          </w:p>
        </w:tc>
        <w:tc>
          <w:tcPr>
            <w:tcW w:w="486" w:type="pct"/>
            <w:shd w:val="clear" w:color="auto" w:fill="auto"/>
            <w:vAlign w:val="center"/>
          </w:tcPr>
          <w:p w14:paraId="2B7E9ACC" w14:textId="45CB2456" w:rsidR="00A86385"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635" w:type="pct"/>
            <w:shd w:val="clear" w:color="auto" w:fill="auto"/>
            <w:vAlign w:val="center"/>
          </w:tcPr>
          <w:p w14:paraId="04CCC32D" w14:textId="64DEC314" w:rsidR="00A86385" w:rsidRPr="005C29F8" w:rsidRDefault="002B7490" w:rsidP="00A018D4">
            <w:pPr>
              <w:jc w:val="center"/>
              <w:rPr>
                <w:rFonts w:cs="Arial"/>
                <w:color w:val="000000" w:themeColor="text1"/>
                <w:szCs w:val="16"/>
              </w:rPr>
            </w:pPr>
            <w:r w:rsidRPr="005C29F8">
              <w:rPr>
                <w:rFonts w:cs="Arial"/>
                <w:color w:val="000000" w:themeColor="text1"/>
                <w:szCs w:val="16"/>
              </w:rPr>
              <w:t>Slippage</w:t>
            </w:r>
          </w:p>
        </w:tc>
      </w:tr>
    </w:tbl>
    <w:p w14:paraId="12AAE7F9" w14:textId="77777777" w:rsidR="00A80FEB" w:rsidRPr="005C29F8" w:rsidRDefault="00A80FEB" w:rsidP="004369B2">
      <w:pPr>
        <w:rPr>
          <w:color w:val="000000" w:themeColor="text1"/>
        </w:rPr>
      </w:pPr>
      <w:r w:rsidRPr="005C29F8">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5C29F8" w14:paraId="5A5015FC" w14:textId="4FA08BD6" w:rsidTr="0033429D">
        <w:trPr>
          <w:trHeight w:val="361"/>
          <w:tblHeader/>
        </w:trPr>
        <w:tc>
          <w:tcPr>
            <w:tcW w:w="3349" w:type="pct"/>
            <w:shd w:val="clear" w:color="auto" w:fill="auto"/>
            <w:vAlign w:val="bottom"/>
          </w:tcPr>
          <w:p w14:paraId="4191FDB2" w14:textId="72ED8C9D" w:rsidR="002F2379" w:rsidRPr="005C29F8" w:rsidRDefault="009028CA" w:rsidP="0024351A">
            <w:pPr>
              <w:rPr>
                <w:rFonts w:cs="Arial"/>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sidR="00E91363">
              <w:rPr>
                <w:rFonts w:cs="Arial"/>
                <w:b/>
                <w:bCs/>
                <w:color w:val="000000" w:themeColor="text1"/>
                <w:szCs w:val="16"/>
              </w:rPr>
              <w:t>y</w:t>
            </w:r>
          </w:p>
        </w:tc>
        <w:tc>
          <w:tcPr>
            <w:tcW w:w="826" w:type="pct"/>
            <w:shd w:val="clear" w:color="auto" w:fill="auto"/>
            <w:vAlign w:val="bottom"/>
          </w:tcPr>
          <w:p w14:paraId="18BE5F06" w14:textId="77777777" w:rsidR="002F2379" w:rsidRPr="005C29F8" w:rsidRDefault="002F2379" w:rsidP="0024351A">
            <w:pPr>
              <w:jc w:val="center"/>
              <w:rPr>
                <w:rFonts w:cs="Arial"/>
                <w:b/>
                <w:color w:val="000000" w:themeColor="text1"/>
                <w:szCs w:val="16"/>
              </w:rPr>
            </w:pPr>
            <w:r w:rsidRPr="005C29F8">
              <w:rPr>
                <w:rFonts w:cs="Arial"/>
                <w:b/>
                <w:color w:val="000000" w:themeColor="text1"/>
                <w:szCs w:val="16"/>
              </w:rPr>
              <w:t>Number of Children</w:t>
            </w:r>
          </w:p>
        </w:tc>
        <w:tc>
          <w:tcPr>
            <w:tcW w:w="825" w:type="pct"/>
            <w:shd w:val="clear" w:color="auto" w:fill="auto"/>
            <w:vAlign w:val="bottom"/>
          </w:tcPr>
          <w:p w14:paraId="5D2176F1" w14:textId="0AB04833" w:rsidR="002F2379" w:rsidRPr="005C29F8" w:rsidRDefault="002F2379" w:rsidP="0024351A">
            <w:pPr>
              <w:jc w:val="center"/>
              <w:rPr>
                <w:rFonts w:cs="Arial"/>
                <w:b/>
                <w:color w:val="000000" w:themeColor="text1"/>
                <w:szCs w:val="16"/>
              </w:rPr>
            </w:pPr>
            <w:r w:rsidRPr="005C29F8">
              <w:rPr>
                <w:rFonts w:cs="Arial"/>
                <w:b/>
                <w:color w:val="000000" w:themeColor="text1"/>
                <w:szCs w:val="16"/>
              </w:rPr>
              <w:t>Percentage of Children</w:t>
            </w:r>
          </w:p>
        </w:tc>
      </w:tr>
      <w:tr w:rsidR="005C29F8" w:rsidRPr="005C29F8" w14:paraId="091128D7" w14:textId="67DCF276" w:rsidTr="00AB0D6A">
        <w:trPr>
          <w:trHeight w:val="361"/>
        </w:trPr>
        <w:tc>
          <w:tcPr>
            <w:tcW w:w="3349" w:type="pct"/>
            <w:shd w:val="clear" w:color="auto" w:fill="auto"/>
          </w:tcPr>
          <w:p w14:paraId="4D685636" w14:textId="77777777" w:rsidR="00A86385" w:rsidRPr="005C29F8" w:rsidRDefault="00A86385" w:rsidP="00A86385">
            <w:pPr>
              <w:rPr>
                <w:rFonts w:cs="Arial"/>
                <w:color w:val="000000" w:themeColor="text1"/>
                <w:szCs w:val="16"/>
              </w:rPr>
            </w:pPr>
            <w:r w:rsidRPr="005C29F8">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5C29F8" w:rsidRDefault="002B7490" w:rsidP="00A018D4">
            <w:pPr>
              <w:jc w:val="center"/>
              <w:rPr>
                <w:rFonts w:cs="Arial"/>
                <w:color w:val="000000" w:themeColor="text1"/>
                <w:szCs w:val="16"/>
              </w:rPr>
            </w:pPr>
            <w:r w:rsidRPr="005C29F8">
              <w:rPr>
                <w:rFonts w:cs="Arial"/>
                <w:color w:val="000000" w:themeColor="text1"/>
                <w:szCs w:val="16"/>
              </w:rPr>
              <w:t>4</w:t>
            </w:r>
          </w:p>
        </w:tc>
        <w:tc>
          <w:tcPr>
            <w:tcW w:w="825" w:type="pct"/>
            <w:shd w:val="clear" w:color="auto" w:fill="auto"/>
            <w:vAlign w:val="center"/>
          </w:tcPr>
          <w:p w14:paraId="224E7CD3" w14:textId="5C0B6B10" w:rsidR="00A86385" w:rsidRPr="005C29F8" w:rsidRDefault="002B7490" w:rsidP="00A018D4">
            <w:pPr>
              <w:jc w:val="center"/>
              <w:rPr>
                <w:rFonts w:cs="Arial"/>
                <w:color w:val="000000" w:themeColor="text1"/>
                <w:szCs w:val="16"/>
              </w:rPr>
            </w:pPr>
            <w:r w:rsidRPr="005C29F8">
              <w:rPr>
                <w:rFonts w:cs="Arial"/>
                <w:color w:val="000000" w:themeColor="text1"/>
                <w:szCs w:val="16"/>
              </w:rPr>
              <w:t>0.35%</w:t>
            </w:r>
          </w:p>
        </w:tc>
      </w:tr>
      <w:tr w:rsidR="005C29F8" w:rsidRPr="005C29F8" w14:paraId="0DFF86FC" w14:textId="381769F8" w:rsidTr="00AB0D6A">
        <w:trPr>
          <w:trHeight w:val="361"/>
        </w:trPr>
        <w:tc>
          <w:tcPr>
            <w:tcW w:w="3349" w:type="pct"/>
            <w:shd w:val="clear" w:color="auto" w:fill="auto"/>
          </w:tcPr>
          <w:p w14:paraId="72586C03" w14:textId="77777777" w:rsidR="00A86385" w:rsidRPr="005C29F8" w:rsidRDefault="00A86385" w:rsidP="00A86385">
            <w:pPr>
              <w:rPr>
                <w:rFonts w:cs="Arial"/>
                <w:color w:val="000000" w:themeColor="text1"/>
                <w:szCs w:val="16"/>
              </w:rPr>
            </w:pPr>
            <w:r w:rsidRPr="005C29F8">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5C29F8" w:rsidRDefault="002B7490" w:rsidP="00A018D4">
            <w:pPr>
              <w:jc w:val="center"/>
              <w:rPr>
                <w:rFonts w:cs="Arial"/>
                <w:color w:val="000000" w:themeColor="text1"/>
                <w:szCs w:val="16"/>
              </w:rPr>
            </w:pPr>
            <w:r w:rsidRPr="005C29F8">
              <w:rPr>
                <w:rFonts w:cs="Arial"/>
                <w:color w:val="000000" w:themeColor="text1"/>
                <w:szCs w:val="16"/>
              </w:rPr>
              <w:t>140</w:t>
            </w:r>
          </w:p>
        </w:tc>
        <w:tc>
          <w:tcPr>
            <w:tcW w:w="825" w:type="pct"/>
            <w:shd w:val="clear" w:color="auto" w:fill="auto"/>
            <w:vAlign w:val="center"/>
          </w:tcPr>
          <w:p w14:paraId="75491539" w14:textId="4C6956ED" w:rsidR="00A86385" w:rsidRPr="005C29F8" w:rsidRDefault="002B7490" w:rsidP="00A018D4">
            <w:pPr>
              <w:jc w:val="center"/>
              <w:rPr>
                <w:rFonts w:cs="Arial"/>
                <w:color w:val="000000" w:themeColor="text1"/>
                <w:szCs w:val="16"/>
              </w:rPr>
            </w:pPr>
            <w:r w:rsidRPr="005C29F8">
              <w:rPr>
                <w:rFonts w:cs="Arial"/>
                <w:color w:val="000000" w:themeColor="text1"/>
                <w:szCs w:val="16"/>
              </w:rPr>
              <w:t>12.17%</w:t>
            </w:r>
          </w:p>
        </w:tc>
      </w:tr>
      <w:tr w:rsidR="005C29F8" w:rsidRPr="005C29F8" w14:paraId="055A4C9A" w14:textId="0FC02C83" w:rsidTr="00AB0D6A">
        <w:trPr>
          <w:trHeight w:val="395"/>
        </w:trPr>
        <w:tc>
          <w:tcPr>
            <w:tcW w:w="3349" w:type="pct"/>
            <w:shd w:val="clear" w:color="auto" w:fill="auto"/>
          </w:tcPr>
          <w:p w14:paraId="1EEA20E7" w14:textId="77777777" w:rsidR="00A86385" w:rsidRPr="005C29F8" w:rsidRDefault="00A86385" w:rsidP="00A86385">
            <w:pPr>
              <w:rPr>
                <w:rFonts w:cs="Arial"/>
                <w:color w:val="000000" w:themeColor="text1"/>
                <w:szCs w:val="16"/>
              </w:rPr>
            </w:pPr>
            <w:r w:rsidRPr="005C29F8">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5C29F8" w:rsidRDefault="002B7490" w:rsidP="00A018D4">
            <w:pPr>
              <w:jc w:val="center"/>
              <w:rPr>
                <w:rFonts w:cs="Arial"/>
                <w:color w:val="000000" w:themeColor="text1"/>
                <w:szCs w:val="16"/>
              </w:rPr>
            </w:pPr>
            <w:r w:rsidRPr="005C29F8">
              <w:rPr>
                <w:rFonts w:cs="Arial"/>
                <w:color w:val="000000" w:themeColor="text1"/>
                <w:szCs w:val="16"/>
              </w:rPr>
              <w:t>336</w:t>
            </w:r>
          </w:p>
        </w:tc>
        <w:tc>
          <w:tcPr>
            <w:tcW w:w="825" w:type="pct"/>
            <w:shd w:val="clear" w:color="auto" w:fill="auto"/>
            <w:vAlign w:val="center"/>
          </w:tcPr>
          <w:p w14:paraId="5A785A5B" w14:textId="096612D9" w:rsidR="00A86385" w:rsidRPr="005C29F8" w:rsidRDefault="002B7490" w:rsidP="00A018D4">
            <w:pPr>
              <w:jc w:val="center"/>
              <w:rPr>
                <w:rFonts w:cs="Arial"/>
                <w:color w:val="000000" w:themeColor="text1"/>
                <w:szCs w:val="16"/>
              </w:rPr>
            </w:pPr>
            <w:r w:rsidRPr="005C29F8">
              <w:rPr>
                <w:rFonts w:cs="Arial"/>
                <w:color w:val="000000" w:themeColor="text1"/>
                <w:szCs w:val="16"/>
              </w:rPr>
              <w:t>29.22%</w:t>
            </w:r>
          </w:p>
        </w:tc>
      </w:tr>
      <w:tr w:rsidR="005C29F8" w:rsidRPr="005C29F8" w14:paraId="116C43B5" w14:textId="562F3ACF" w:rsidTr="00AB0D6A">
        <w:trPr>
          <w:trHeight w:val="361"/>
        </w:trPr>
        <w:tc>
          <w:tcPr>
            <w:tcW w:w="3349" w:type="pct"/>
            <w:shd w:val="clear" w:color="auto" w:fill="auto"/>
          </w:tcPr>
          <w:p w14:paraId="74396990" w14:textId="77777777" w:rsidR="00A86385" w:rsidRPr="005C29F8" w:rsidRDefault="00A86385" w:rsidP="00A86385">
            <w:pPr>
              <w:rPr>
                <w:rFonts w:cs="Arial"/>
                <w:color w:val="000000" w:themeColor="text1"/>
                <w:szCs w:val="16"/>
              </w:rPr>
            </w:pPr>
            <w:r w:rsidRPr="005C29F8">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5C29F8" w:rsidRDefault="002B7490" w:rsidP="00A018D4">
            <w:pPr>
              <w:jc w:val="center"/>
              <w:rPr>
                <w:rFonts w:cs="Arial"/>
                <w:color w:val="000000" w:themeColor="text1"/>
                <w:szCs w:val="16"/>
              </w:rPr>
            </w:pPr>
            <w:r w:rsidRPr="005C29F8">
              <w:rPr>
                <w:rFonts w:cs="Arial"/>
                <w:color w:val="000000" w:themeColor="text1"/>
                <w:szCs w:val="16"/>
              </w:rPr>
              <w:t>445</w:t>
            </w:r>
          </w:p>
        </w:tc>
        <w:tc>
          <w:tcPr>
            <w:tcW w:w="825" w:type="pct"/>
            <w:shd w:val="clear" w:color="auto" w:fill="auto"/>
            <w:vAlign w:val="center"/>
          </w:tcPr>
          <w:p w14:paraId="6CF00AA9" w14:textId="2DDC2AAD" w:rsidR="00A86385" w:rsidRPr="005C29F8" w:rsidRDefault="002B7490" w:rsidP="00A018D4">
            <w:pPr>
              <w:jc w:val="center"/>
              <w:rPr>
                <w:rFonts w:cs="Arial"/>
                <w:color w:val="000000" w:themeColor="text1"/>
                <w:szCs w:val="16"/>
              </w:rPr>
            </w:pPr>
            <w:r w:rsidRPr="005C29F8">
              <w:rPr>
                <w:rFonts w:cs="Arial"/>
                <w:color w:val="000000" w:themeColor="text1"/>
                <w:szCs w:val="16"/>
              </w:rPr>
              <w:t>38.70%</w:t>
            </w:r>
          </w:p>
        </w:tc>
      </w:tr>
      <w:tr w:rsidR="005C29F8" w:rsidRPr="005C29F8" w14:paraId="4BA9BE51" w14:textId="4FD5F213" w:rsidTr="00AB0D6A">
        <w:trPr>
          <w:trHeight w:val="361"/>
        </w:trPr>
        <w:tc>
          <w:tcPr>
            <w:tcW w:w="3349" w:type="pct"/>
            <w:shd w:val="clear" w:color="auto" w:fill="auto"/>
          </w:tcPr>
          <w:p w14:paraId="016E3D57" w14:textId="77777777" w:rsidR="00A86385" w:rsidRPr="005C29F8" w:rsidRDefault="00A86385" w:rsidP="00A86385">
            <w:pPr>
              <w:rPr>
                <w:rFonts w:cs="Arial"/>
                <w:color w:val="000000" w:themeColor="text1"/>
                <w:szCs w:val="16"/>
              </w:rPr>
            </w:pPr>
            <w:r w:rsidRPr="005C29F8">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5C29F8" w:rsidRDefault="002B7490" w:rsidP="00A018D4">
            <w:pPr>
              <w:jc w:val="center"/>
              <w:rPr>
                <w:rFonts w:cs="Arial"/>
                <w:color w:val="000000" w:themeColor="text1"/>
                <w:szCs w:val="16"/>
              </w:rPr>
            </w:pPr>
            <w:r w:rsidRPr="005C29F8">
              <w:rPr>
                <w:rFonts w:cs="Arial"/>
                <w:color w:val="000000" w:themeColor="text1"/>
                <w:szCs w:val="16"/>
              </w:rPr>
              <w:t>225</w:t>
            </w:r>
          </w:p>
        </w:tc>
        <w:tc>
          <w:tcPr>
            <w:tcW w:w="825" w:type="pct"/>
            <w:shd w:val="clear" w:color="auto" w:fill="auto"/>
            <w:vAlign w:val="center"/>
          </w:tcPr>
          <w:p w14:paraId="5DB4A655" w14:textId="2961CB8C" w:rsidR="00A86385" w:rsidRPr="005C29F8" w:rsidRDefault="002B7490" w:rsidP="00A018D4">
            <w:pPr>
              <w:jc w:val="center"/>
              <w:rPr>
                <w:rFonts w:cs="Arial"/>
                <w:color w:val="000000" w:themeColor="text1"/>
                <w:szCs w:val="16"/>
              </w:rPr>
            </w:pPr>
            <w:r w:rsidRPr="005C29F8">
              <w:rPr>
                <w:rFonts w:cs="Arial"/>
                <w:color w:val="000000" w:themeColor="text1"/>
                <w:szCs w:val="16"/>
              </w:rPr>
              <w:t>19.57%</w:t>
            </w:r>
          </w:p>
        </w:tc>
      </w:tr>
    </w:tbl>
    <w:p w14:paraId="49F715FF" w14:textId="77777777" w:rsidR="00A80FEB" w:rsidRPr="005C29F8"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5C29F8" w:rsidRPr="005C29F8" w14:paraId="6D854191" w14:textId="189CF04C" w:rsidTr="00AB0D6A">
        <w:trPr>
          <w:trHeight w:val="354"/>
          <w:tblHeader/>
        </w:trPr>
        <w:tc>
          <w:tcPr>
            <w:tcW w:w="999" w:type="pct"/>
            <w:shd w:val="clear" w:color="auto" w:fill="auto"/>
            <w:vAlign w:val="bottom"/>
          </w:tcPr>
          <w:p w14:paraId="2713B90C" w14:textId="70596E6D" w:rsidR="002F2379" w:rsidRPr="0033429D" w:rsidRDefault="009028CA" w:rsidP="0033429D">
            <w:pPr>
              <w:rPr>
                <w:rFonts w:cs="Arial"/>
                <w:b/>
                <w:bCs/>
                <w:color w:val="000000" w:themeColor="text1"/>
                <w:szCs w:val="16"/>
              </w:rPr>
            </w:pPr>
            <w:r w:rsidRPr="0033429D">
              <w:rPr>
                <w:rFonts w:cs="Arial"/>
                <w:b/>
                <w:bCs/>
                <w:color w:val="000000" w:themeColor="text1"/>
                <w:szCs w:val="16"/>
              </w:rPr>
              <w:t>Outcome C</w:t>
            </w:r>
          </w:p>
        </w:tc>
        <w:tc>
          <w:tcPr>
            <w:tcW w:w="584" w:type="pct"/>
            <w:shd w:val="clear" w:color="auto" w:fill="auto"/>
            <w:vAlign w:val="bottom"/>
          </w:tcPr>
          <w:p w14:paraId="3AAEB9EE" w14:textId="77777777" w:rsidR="002F2379" w:rsidRPr="005C29F8" w:rsidRDefault="002F2379" w:rsidP="00681BA6">
            <w:pPr>
              <w:jc w:val="center"/>
              <w:rPr>
                <w:rFonts w:cs="Arial"/>
                <w:b/>
                <w:color w:val="000000" w:themeColor="text1"/>
                <w:szCs w:val="16"/>
              </w:rPr>
            </w:pPr>
            <w:r w:rsidRPr="005C29F8">
              <w:rPr>
                <w:rFonts w:cs="Arial"/>
                <w:b/>
                <w:color w:val="000000" w:themeColor="text1"/>
                <w:szCs w:val="16"/>
              </w:rPr>
              <w:t>Numerator</w:t>
            </w:r>
          </w:p>
        </w:tc>
        <w:tc>
          <w:tcPr>
            <w:tcW w:w="584" w:type="pct"/>
            <w:shd w:val="clear" w:color="auto" w:fill="auto"/>
            <w:vAlign w:val="bottom"/>
          </w:tcPr>
          <w:p w14:paraId="5C1FBE9E" w14:textId="77777777" w:rsidR="002F2379" w:rsidRPr="005C29F8" w:rsidRDefault="002F2379" w:rsidP="00681BA6">
            <w:pPr>
              <w:jc w:val="center"/>
              <w:rPr>
                <w:rFonts w:cs="Arial"/>
                <w:b/>
                <w:color w:val="000000" w:themeColor="text1"/>
                <w:szCs w:val="16"/>
              </w:rPr>
            </w:pPr>
            <w:r w:rsidRPr="005C29F8">
              <w:rPr>
                <w:rFonts w:cs="Arial"/>
                <w:b/>
                <w:color w:val="000000" w:themeColor="text1"/>
                <w:szCs w:val="16"/>
              </w:rPr>
              <w:t>Denominator</w:t>
            </w:r>
          </w:p>
        </w:tc>
        <w:tc>
          <w:tcPr>
            <w:tcW w:w="543" w:type="pct"/>
            <w:shd w:val="clear" w:color="auto" w:fill="auto"/>
            <w:vAlign w:val="bottom"/>
          </w:tcPr>
          <w:p w14:paraId="7E124690" w14:textId="1D530EC3" w:rsidR="002F2379" w:rsidRPr="005C29F8" w:rsidRDefault="00B954DC" w:rsidP="00681BA6">
            <w:pPr>
              <w:jc w:val="center"/>
              <w:rPr>
                <w:rFonts w:cs="Arial"/>
                <w:b/>
                <w:color w:val="000000" w:themeColor="text1"/>
                <w:szCs w:val="16"/>
              </w:rPr>
            </w:pPr>
            <w:r w:rsidRPr="005C29F8">
              <w:rPr>
                <w:rFonts w:cs="Arial"/>
                <w:b/>
                <w:color w:val="000000" w:themeColor="text1"/>
                <w:szCs w:val="16"/>
              </w:rPr>
              <w:t>FFY  2018 Data</w:t>
            </w:r>
          </w:p>
        </w:tc>
        <w:tc>
          <w:tcPr>
            <w:tcW w:w="584" w:type="pct"/>
            <w:shd w:val="clear" w:color="auto" w:fill="auto"/>
            <w:vAlign w:val="bottom"/>
          </w:tcPr>
          <w:p w14:paraId="7E59D447" w14:textId="166A1AD2" w:rsidR="002F2379" w:rsidRPr="005C29F8" w:rsidRDefault="002F2379" w:rsidP="00681BA6">
            <w:pPr>
              <w:jc w:val="center"/>
              <w:rPr>
                <w:rFonts w:cs="Arial"/>
                <w:b/>
                <w:color w:val="000000" w:themeColor="text1"/>
                <w:szCs w:val="16"/>
              </w:rPr>
            </w:pPr>
            <w:r w:rsidRPr="005C29F8">
              <w:rPr>
                <w:rFonts w:cs="Arial"/>
                <w:b/>
                <w:color w:val="000000" w:themeColor="text1"/>
                <w:szCs w:val="16"/>
              </w:rPr>
              <w:t>FFY 2019 Target</w:t>
            </w:r>
          </w:p>
        </w:tc>
        <w:tc>
          <w:tcPr>
            <w:tcW w:w="625" w:type="pct"/>
            <w:shd w:val="clear" w:color="auto" w:fill="auto"/>
            <w:vAlign w:val="bottom"/>
          </w:tcPr>
          <w:p w14:paraId="48E0A776" w14:textId="7F93A4CE" w:rsidR="002F2379" w:rsidRPr="005C29F8" w:rsidRDefault="002F2379" w:rsidP="00681BA6">
            <w:pPr>
              <w:jc w:val="center"/>
              <w:rPr>
                <w:rFonts w:cs="Arial"/>
                <w:b/>
                <w:color w:val="000000" w:themeColor="text1"/>
                <w:szCs w:val="16"/>
              </w:rPr>
            </w:pPr>
            <w:r w:rsidRPr="005C29F8">
              <w:rPr>
                <w:rFonts w:cs="Arial"/>
                <w:b/>
                <w:color w:val="000000" w:themeColor="text1"/>
                <w:szCs w:val="16"/>
              </w:rPr>
              <w:t>FFY 2019 Data</w:t>
            </w:r>
          </w:p>
        </w:tc>
        <w:tc>
          <w:tcPr>
            <w:tcW w:w="459" w:type="pct"/>
            <w:shd w:val="clear" w:color="auto" w:fill="auto"/>
            <w:vAlign w:val="bottom"/>
          </w:tcPr>
          <w:p w14:paraId="1271E5C2" w14:textId="7C29A2B3" w:rsidR="002F2379" w:rsidRPr="005C29F8" w:rsidRDefault="002F2379" w:rsidP="00681BA6">
            <w:pPr>
              <w:jc w:val="center"/>
              <w:rPr>
                <w:rFonts w:cs="Arial"/>
                <w:b/>
                <w:color w:val="000000" w:themeColor="text1"/>
                <w:szCs w:val="16"/>
              </w:rPr>
            </w:pPr>
            <w:r w:rsidRPr="005C29F8">
              <w:rPr>
                <w:rFonts w:cs="Arial"/>
                <w:b/>
                <w:color w:val="000000" w:themeColor="text1"/>
                <w:szCs w:val="16"/>
              </w:rPr>
              <w:t>Status</w:t>
            </w:r>
          </w:p>
        </w:tc>
        <w:tc>
          <w:tcPr>
            <w:tcW w:w="622" w:type="pct"/>
            <w:shd w:val="clear" w:color="auto" w:fill="auto"/>
            <w:vAlign w:val="bottom"/>
          </w:tcPr>
          <w:p w14:paraId="57BB5D90" w14:textId="5C773F81" w:rsidR="002F2379" w:rsidRPr="005C29F8" w:rsidRDefault="002F2379" w:rsidP="00681BA6">
            <w:pPr>
              <w:jc w:val="center"/>
              <w:rPr>
                <w:rFonts w:cs="Arial"/>
                <w:b/>
                <w:color w:val="000000" w:themeColor="text1"/>
                <w:szCs w:val="16"/>
              </w:rPr>
            </w:pPr>
            <w:r w:rsidRPr="005C29F8">
              <w:rPr>
                <w:rFonts w:cs="Arial"/>
                <w:b/>
                <w:color w:val="000000" w:themeColor="text1"/>
                <w:szCs w:val="16"/>
              </w:rPr>
              <w:t>Slippage</w:t>
            </w:r>
          </w:p>
        </w:tc>
      </w:tr>
      <w:tr w:rsidR="005C29F8" w:rsidRPr="005C29F8" w14:paraId="060DACA6" w14:textId="4A0141DE" w:rsidTr="00AB0D6A">
        <w:trPr>
          <w:trHeight w:val="361"/>
        </w:trPr>
        <w:tc>
          <w:tcPr>
            <w:tcW w:w="999" w:type="pct"/>
            <w:shd w:val="clear" w:color="auto" w:fill="auto"/>
          </w:tcPr>
          <w:p w14:paraId="53F10B71" w14:textId="77777777" w:rsidR="00757D21" w:rsidRDefault="00A86385" w:rsidP="00E526FC">
            <w:pPr>
              <w:rPr>
                <w:rFonts w:cs="Arial"/>
                <w:color w:val="000000" w:themeColor="text1"/>
                <w:szCs w:val="16"/>
              </w:rPr>
            </w:pPr>
            <w:r w:rsidRPr="005C29F8">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5C29F8" w:rsidRDefault="00757D21" w:rsidP="00E526FC">
            <w:pPr>
              <w:rPr>
                <w:rFonts w:cs="Arial"/>
                <w:color w:val="000000" w:themeColor="text1"/>
                <w:szCs w:val="16"/>
              </w:rPr>
            </w:pPr>
            <w:r w:rsidRPr="00227D4B">
              <w:rPr>
                <w:rFonts w:cs="Arial"/>
                <w:i/>
                <w:iCs/>
                <w:color w:val="C00000"/>
                <w:szCs w:val="16"/>
              </w:rPr>
              <w:t>Calculation:(c+d)/(a+b+c+d)</w:t>
            </w:r>
            <w:r w:rsidR="00A86385" w:rsidRPr="005C29F8">
              <w:rPr>
                <w:rFonts w:cs="Arial"/>
                <w:color w:val="000000" w:themeColor="text1"/>
                <w:szCs w:val="16"/>
              </w:rPr>
              <w:t xml:space="preserve"> </w:t>
            </w:r>
          </w:p>
        </w:tc>
        <w:tc>
          <w:tcPr>
            <w:tcW w:w="584" w:type="pct"/>
            <w:shd w:val="clear" w:color="auto" w:fill="auto"/>
            <w:vAlign w:val="center"/>
          </w:tcPr>
          <w:p w14:paraId="06847B86" w14:textId="57D8DF81" w:rsidR="00A86385" w:rsidRPr="005C29F8" w:rsidRDefault="002B7490" w:rsidP="00A018D4">
            <w:pPr>
              <w:jc w:val="center"/>
              <w:rPr>
                <w:rFonts w:cs="Arial"/>
                <w:color w:val="000000" w:themeColor="text1"/>
                <w:szCs w:val="16"/>
              </w:rPr>
            </w:pPr>
            <w:r w:rsidRPr="005C29F8">
              <w:rPr>
                <w:rFonts w:cs="Arial"/>
                <w:color w:val="000000" w:themeColor="text1"/>
                <w:szCs w:val="16"/>
              </w:rPr>
              <w:t>781</w:t>
            </w:r>
          </w:p>
        </w:tc>
        <w:tc>
          <w:tcPr>
            <w:tcW w:w="584" w:type="pct"/>
            <w:shd w:val="clear" w:color="auto" w:fill="auto"/>
            <w:vAlign w:val="center"/>
          </w:tcPr>
          <w:p w14:paraId="238365C6" w14:textId="3568431D" w:rsidR="00A86385" w:rsidRPr="005C29F8" w:rsidRDefault="002B7490" w:rsidP="00A018D4">
            <w:pPr>
              <w:jc w:val="center"/>
              <w:rPr>
                <w:rFonts w:cs="Arial"/>
                <w:color w:val="000000" w:themeColor="text1"/>
                <w:szCs w:val="16"/>
              </w:rPr>
            </w:pPr>
            <w:r w:rsidRPr="005C29F8">
              <w:rPr>
                <w:rFonts w:cs="Arial"/>
                <w:color w:val="000000" w:themeColor="text1"/>
                <w:szCs w:val="16"/>
              </w:rPr>
              <w:t>925</w:t>
            </w:r>
          </w:p>
        </w:tc>
        <w:tc>
          <w:tcPr>
            <w:tcW w:w="543" w:type="pct"/>
            <w:shd w:val="clear" w:color="auto" w:fill="auto"/>
            <w:vAlign w:val="center"/>
          </w:tcPr>
          <w:p w14:paraId="4D92698F" w14:textId="1CB8B6A4" w:rsidR="00A86385" w:rsidRPr="005C29F8" w:rsidRDefault="002B7490" w:rsidP="00A018D4">
            <w:pPr>
              <w:jc w:val="center"/>
              <w:rPr>
                <w:rFonts w:cs="Arial"/>
                <w:color w:val="000000" w:themeColor="text1"/>
                <w:szCs w:val="16"/>
              </w:rPr>
            </w:pPr>
            <w:r w:rsidRPr="005C29F8">
              <w:rPr>
                <w:rFonts w:cs="Arial"/>
                <w:color w:val="000000" w:themeColor="text1"/>
                <w:szCs w:val="16"/>
              </w:rPr>
              <w:t>86.17%</w:t>
            </w:r>
          </w:p>
        </w:tc>
        <w:tc>
          <w:tcPr>
            <w:tcW w:w="584" w:type="pct"/>
            <w:shd w:val="clear" w:color="auto" w:fill="auto"/>
            <w:vAlign w:val="center"/>
          </w:tcPr>
          <w:p w14:paraId="282346A8" w14:textId="638BF2E5" w:rsidR="00A86385" w:rsidRPr="005C29F8" w:rsidRDefault="002B7490" w:rsidP="00A018D4">
            <w:pPr>
              <w:jc w:val="center"/>
              <w:rPr>
                <w:rFonts w:cs="Arial"/>
                <w:color w:val="000000" w:themeColor="text1"/>
                <w:szCs w:val="16"/>
              </w:rPr>
            </w:pPr>
            <w:r w:rsidRPr="005C29F8">
              <w:rPr>
                <w:rFonts w:cs="Arial"/>
                <w:color w:val="000000" w:themeColor="text1"/>
                <w:szCs w:val="16"/>
              </w:rPr>
              <w:t>86.00%</w:t>
            </w:r>
          </w:p>
        </w:tc>
        <w:tc>
          <w:tcPr>
            <w:tcW w:w="625" w:type="pct"/>
            <w:shd w:val="clear" w:color="auto" w:fill="auto"/>
            <w:vAlign w:val="center"/>
          </w:tcPr>
          <w:p w14:paraId="02E42936" w14:textId="312E4B4A" w:rsidR="00A86385" w:rsidRPr="005C29F8" w:rsidRDefault="002B7490" w:rsidP="00A018D4">
            <w:pPr>
              <w:jc w:val="center"/>
              <w:rPr>
                <w:rFonts w:cs="Arial"/>
                <w:color w:val="000000" w:themeColor="text1"/>
                <w:szCs w:val="16"/>
              </w:rPr>
            </w:pPr>
            <w:r w:rsidRPr="005C29F8">
              <w:rPr>
                <w:rFonts w:cs="Arial"/>
                <w:color w:val="000000" w:themeColor="text1"/>
                <w:szCs w:val="16"/>
              </w:rPr>
              <w:t>84.43%</w:t>
            </w:r>
          </w:p>
        </w:tc>
        <w:tc>
          <w:tcPr>
            <w:tcW w:w="459" w:type="pct"/>
            <w:shd w:val="clear" w:color="auto" w:fill="auto"/>
            <w:vAlign w:val="center"/>
          </w:tcPr>
          <w:p w14:paraId="1B13A98E" w14:textId="3F3B6900" w:rsidR="00A86385"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622" w:type="pct"/>
            <w:shd w:val="clear" w:color="auto" w:fill="auto"/>
            <w:vAlign w:val="center"/>
          </w:tcPr>
          <w:p w14:paraId="2D48B259" w14:textId="3185C0C7" w:rsidR="00A86385" w:rsidRPr="005C29F8" w:rsidRDefault="002B7490" w:rsidP="00A018D4">
            <w:pPr>
              <w:jc w:val="center"/>
              <w:rPr>
                <w:rFonts w:cs="Arial"/>
                <w:color w:val="000000" w:themeColor="text1"/>
                <w:szCs w:val="16"/>
              </w:rPr>
            </w:pPr>
            <w:r w:rsidRPr="005C29F8">
              <w:rPr>
                <w:rFonts w:cs="Arial"/>
                <w:color w:val="000000" w:themeColor="text1"/>
                <w:szCs w:val="16"/>
              </w:rPr>
              <w:t>Slippage</w:t>
            </w:r>
          </w:p>
        </w:tc>
      </w:tr>
      <w:tr w:rsidR="005C29F8" w:rsidRPr="005C29F8" w14:paraId="01CBC0C6" w14:textId="58EECBDC" w:rsidTr="00AB0D6A">
        <w:trPr>
          <w:trHeight w:val="361"/>
        </w:trPr>
        <w:tc>
          <w:tcPr>
            <w:tcW w:w="999" w:type="pct"/>
            <w:shd w:val="clear" w:color="auto" w:fill="auto"/>
          </w:tcPr>
          <w:p w14:paraId="080A6F16" w14:textId="77777777" w:rsidR="00A86385" w:rsidRDefault="00A86385" w:rsidP="00E526FC">
            <w:pPr>
              <w:rPr>
                <w:rFonts w:cs="Arial"/>
                <w:color w:val="000000" w:themeColor="text1"/>
                <w:szCs w:val="16"/>
              </w:rPr>
            </w:pPr>
            <w:r w:rsidRPr="005C29F8">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5C29F8" w:rsidRDefault="00757D21" w:rsidP="00E526FC">
            <w:pPr>
              <w:rPr>
                <w:rFonts w:cs="Arial"/>
                <w:color w:val="000000" w:themeColor="text1"/>
                <w:szCs w:val="16"/>
              </w:rPr>
            </w:pPr>
            <w:r w:rsidRPr="00227D4B">
              <w:rPr>
                <w:rFonts w:cs="Arial"/>
                <w:i/>
                <w:iCs/>
                <w:color w:val="C00000"/>
                <w:szCs w:val="16"/>
              </w:rPr>
              <w:t>Calculation: (d+e)/(a+b+c+d+e)</w:t>
            </w:r>
          </w:p>
        </w:tc>
        <w:tc>
          <w:tcPr>
            <w:tcW w:w="584" w:type="pct"/>
            <w:shd w:val="clear" w:color="auto" w:fill="auto"/>
            <w:vAlign w:val="center"/>
          </w:tcPr>
          <w:p w14:paraId="55881F07" w14:textId="24379895" w:rsidR="00E526FC" w:rsidRPr="005C29F8" w:rsidRDefault="002B7490" w:rsidP="00A018D4">
            <w:pPr>
              <w:jc w:val="center"/>
              <w:rPr>
                <w:rFonts w:cs="Arial"/>
                <w:color w:val="000000" w:themeColor="text1"/>
                <w:szCs w:val="16"/>
              </w:rPr>
            </w:pPr>
            <w:r w:rsidRPr="005C29F8">
              <w:rPr>
                <w:rFonts w:cs="Arial"/>
                <w:color w:val="000000" w:themeColor="text1"/>
                <w:szCs w:val="16"/>
              </w:rPr>
              <w:t>670</w:t>
            </w:r>
          </w:p>
        </w:tc>
        <w:tc>
          <w:tcPr>
            <w:tcW w:w="584" w:type="pct"/>
            <w:shd w:val="clear" w:color="auto" w:fill="auto"/>
            <w:vAlign w:val="center"/>
          </w:tcPr>
          <w:p w14:paraId="621B2290" w14:textId="0CB78FA1" w:rsidR="00E526FC" w:rsidRPr="005C29F8" w:rsidRDefault="002B7490" w:rsidP="00A018D4">
            <w:pPr>
              <w:jc w:val="center"/>
              <w:rPr>
                <w:rFonts w:cs="Arial"/>
                <w:color w:val="000000" w:themeColor="text1"/>
                <w:szCs w:val="16"/>
              </w:rPr>
            </w:pPr>
            <w:r w:rsidRPr="005C29F8">
              <w:rPr>
                <w:rFonts w:cs="Arial"/>
                <w:color w:val="000000" w:themeColor="text1"/>
                <w:szCs w:val="16"/>
              </w:rPr>
              <w:t>1,150</w:t>
            </w:r>
          </w:p>
        </w:tc>
        <w:tc>
          <w:tcPr>
            <w:tcW w:w="543" w:type="pct"/>
            <w:shd w:val="clear" w:color="auto" w:fill="auto"/>
            <w:vAlign w:val="center"/>
          </w:tcPr>
          <w:p w14:paraId="62DBFBFA" w14:textId="0CDB12CF" w:rsidR="00A86385" w:rsidRPr="005C29F8" w:rsidRDefault="002B7490" w:rsidP="00A018D4">
            <w:pPr>
              <w:jc w:val="center"/>
              <w:rPr>
                <w:rFonts w:cs="Arial"/>
                <w:color w:val="000000" w:themeColor="text1"/>
                <w:szCs w:val="16"/>
              </w:rPr>
            </w:pPr>
            <w:r w:rsidRPr="005C29F8">
              <w:rPr>
                <w:rFonts w:cs="Arial"/>
                <w:color w:val="000000" w:themeColor="text1"/>
                <w:szCs w:val="16"/>
              </w:rPr>
              <w:t>60.67%</w:t>
            </w:r>
          </w:p>
        </w:tc>
        <w:tc>
          <w:tcPr>
            <w:tcW w:w="584" w:type="pct"/>
            <w:shd w:val="clear" w:color="auto" w:fill="auto"/>
            <w:vAlign w:val="center"/>
          </w:tcPr>
          <w:p w14:paraId="63A1936F" w14:textId="04F440D6" w:rsidR="00A86385" w:rsidRPr="005C29F8" w:rsidRDefault="002B7490" w:rsidP="00A018D4">
            <w:pPr>
              <w:jc w:val="center"/>
              <w:rPr>
                <w:rFonts w:cs="Arial"/>
                <w:color w:val="000000" w:themeColor="text1"/>
                <w:szCs w:val="16"/>
              </w:rPr>
            </w:pPr>
            <w:r w:rsidRPr="005C29F8">
              <w:rPr>
                <w:rFonts w:cs="Arial"/>
                <w:color w:val="000000" w:themeColor="text1"/>
                <w:szCs w:val="16"/>
              </w:rPr>
              <w:t>63.00%</w:t>
            </w:r>
          </w:p>
        </w:tc>
        <w:tc>
          <w:tcPr>
            <w:tcW w:w="625" w:type="pct"/>
            <w:shd w:val="clear" w:color="auto" w:fill="auto"/>
            <w:vAlign w:val="center"/>
          </w:tcPr>
          <w:p w14:paraId="4609D20B" w14:textId="7D9B89C4" w:rsidR="00A86385" w:rsidRPr="005C29F8" w:rsidRDefault="002B7490" w:rsidP="00A018D4">
            <w:pPr>
              <w:jc w:val="center"/>
              <w:rPr>
                <w:rFonts w:cs="Arial"/>
                <w:color w:val="000000" w:themeColor="text1"/>
                <w:szCs w:val="16"/>
              </w:rPr>
            </w:pPr>
            <w:r w:rsidRPr="005C29F8">
              <w:rPr>
                <w:rFonts w:cs="Arial"/>
                <w:color w:val="000000" w:themeColor="text1"/>
                <w:szCs w:val="16"/>
              </w:rPr>
              <w:t>58.26%</w:t>
            </w:r>
          </w:p>
        </w:tc>
        <w:tc>
          <w:tcPr>
            <w:tcW w:w="459" w:type="pct"/>
            <w:shd w:val="clear" w:color="auto" w:fill="auto"/>
            <w:vAlign w:val="center"/>
          </w:tcPr>
          <w:p w14:paraId="5F56D20D" w14:textId="6A83021F" w:rsidR="00A86385"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622" w:type="pct"/>
            <w:shd w:val="clear" w:color="auto" w:fill="auto"/>
            <w:vAlign w:val="center"/>
          </w:tcPr>
          <w:p w14:paraId="5C0F945B" w14:textId="613A8501" w:rsidR="00A86385" w:rsidRPr="005C29F8" w:rsidRDefault="002B7490" w:rsidP="00A018D4">
            <w:pPr>
              <w:jc w:val="center"/>
              <w:rPr>
                <w:rFonts w:cs="Arial"/>
                <w:color w:val="000000" w:themeColor="text1"/>
                <w:szCs w:val="16"/>
              </w:rPr>
            </w:pPr>
            <w:r w:rsidRPr="005C29F8">
              <w:rPr>
                <w:rFonts w:cs="Arial"/>
                <w:color w:val="000000" w:themeColor="text1"/>
                <w:szCs w:val="16"/>
              </w:rPr>
              <w:t>Slippage</w:t>
            </w:r>
          </w:p>
        </w:tc>
      </w:tr>
    </w:tbl>
    <w:p w14:paraId="105291D6" w14:textId="2B417D4B" w:rsidR="009B37A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5C29F8" w14:paraId="61620C7C" w14:textId="77777777" w:rsidTr="003138F9">
        <w:trPr>
          <w:tblHeader/>
        </w:trPr>
        <w:tc>
          <w:tcPr>
            <w:tcW w:w="375" w:type="pct"/>
            <w:vAlign w:val="bottom"/>
          </w:tcPr>
          <w:p w14:paraId="0AA39E44" w14:textId="77777777" w:rsidR="005033CE" w:rsidRPr="005C29F8" w:rsidRDefault="005033CE" w:rsidP="004369B2">
            <w:pPr>
              <w:jc w:val="center"/>
              <w:rPr>
                <w:color w:val="000000" w:themeColor="text1"/>
              </w:rPr>
            </w:pPr>
            <w:r w:rsidRPr="005C29F8">
              <w:rPr>
                <w:b/>
                <w:color w:val="000000" w:themeColor="text1"/>
              </w:rPr>
              <w:t>Part</w:t>
            </w:r>
          </w:p>
        </w:tc>
        <w:tc>
          <w:tcPr>
            <w:tcW w:w="4625" w:type="pct"/>
            <w:shd w:val="clear" w:color="auto" w:fill="auto"/>
          </w:tcPr>
          <w:p w14:paraId="41FB5113" w14:textId="77777777" w:rsidR="005033CE" w:rsidRPr="005C29F8" w:rsidRDefault="005033CE" w:rsidP="004369B2">
            <w:pPr>
              <w:jc w:val="center"/>
              <w:rPr>
                <w:color w:val="000000" w:themeColor="text1"/>
              </w:rPr>
            </w:pPr>
            <w:r w:rsidRPr="005C29F8">
              <w:rPr>
                <w:b/>
                <w:color w:val="000000" w:themeColor="text1"/>
              </w:rPr>
              <w:t>Reasons for slippage, if applicable</w:t>
            </w:r>
          </w:p>
        </w:tc>
      </w:tr>
      <w:tr w:rsidR="005C29F8" w:rsidRPr="005C29F8" w14:paraId="27E1C634" w14:textId="77777777" w:rsidTr="003138F9">
        <w:tc>
          <w:tcPr>
            <w:tcW w:w="375" w:type="pct"/>
            <w:vAlign w:val="center"/>
          </w:tcPr>
          <w:p w14:paraId="0985CEF0" w14:textId="77777777" w:rsidR="005033CE" w:rsidRPr="005C29F8" w:rsidRDefault="005033CE" w:rsidP="004369B2">
            <w:pPr>
              <w:jc w:val="center"/>
              <w:rPr>
                <w:b/>
                <w:color w:val="000000" w:themeColor="text1"/>
              </w:rPr>
            </w:pPr>
            <w:r w:rsidRPr="005C29F8">
              <w:rPr>
                <w:b/>
                <w:color w:val="000000" w:themeColor="text1"/>
              </w:rPr>
              <w:t>A1</w:t>
            </w:r>
          </w:p>
        </w:tc>
        <w:tc>
          <w:tcPr>
            <w:tcW w:w="4625" w:type="pct"/>
            <w:shd w:val="clear" w:color="auto" w:fill="auto"/>
          </w:tcPr>
          <w:p w14:paraId="6D607127" w14:textId="1BD8E744" w:rsidR="005033CE" w:rsidRPr="005C29F8" w:rsidRDefault="008C5922" w:rsidP="004369B2">
            <w:pPr>
              <w:rPr>
                <w:color w:val="000000" w:themeColor="text1"/>
              </w:rPr>
            </w:pPr>
            <w:r w:rsidRPr="005C29F8">
              <w:rPr>
                <w:rFonts w:cs="Arial"/>
                <w:color w:val="000000" w:themeColor="text1"/>
                <w:szCs w:val="16"/>
              </w:rPr>
              <w:t xml:space="preserve">MA DESE’s goal is to meet and exceed the rigorous targets that have been established for this measure. We are mindful that there can be a variety of reasons for changes in the data, including data quality, changes in programs, and/or changes in the population being </w:t>
            </w:r>
            <w:r w:rsidRPr="005C29F8">
              <w:rPr>
                <w:rFonts w:cs="Arial"/>
                <w:color w:val="000000" w:themeColor="text1"/>
                <w:szCs w:val="16"/>
              </w:rPr>
              <w:lastRenderedPageBreak/>
              <w:t xml:space="preserve">served. </w:t>
            </w:r>
            <w:r w:rsidRPr="005C29F8">
              <w:rPr>
                <w:rFonts w:cs="Arial"/>
                <w:color w:val="000000" w:themeColor="text1"/>
                <w:szCs w:val="16"/>
              </w:rPr>
              <w:br/>
              <w:t xml:space="preserve">To better understand the extent of slippage, we compared the results using the Early Childhood Technical Assistance Center (ECTA) Meaningful Differences Calculator to determine whether there was a statistical difference year-to-year (http://ectacenter.org/eco/pages/childoutcomes-calc.asp). Proportional differences from FFY 2018 to FFY 2019 were not found to be significant, based on a 90% confidence interval. </w:t>
            </w:r>
            <w:r w:rsidRPr="005C29F8">
              <w:rPr>
                <w:rFonts w:cs="Arial"/>
                <w:color w:val="000000" w:themeColor="text1"/>
                <w:szCs w:val="16"/>
              </w:rPr>
              <w:br/>
              <w:t xml:space="preserve">While results for FFY 2019 were statistically stable, the reasons for slightly lower outcomes this past year are being considered. It seems reasonable to infer that programming adjustments due to COVID-19 during the latter part of the 2019-20 school year -- providing services to children remotely when buildings were closed -- may have had an impact on overall child outcomes for FFY 2019. </w:t>
            </w:r>
            <w:r w:rsidRPr="005C29F8">
              <w:rPr>
                <w:rFonts w:cs="Arial"/>
                <w:color w:val="000000" w:themeColor="text1"/>
                <w:szCs w:val="16"/>
              </w:rPr>
              <w:br/>
              <w:t xml:space="preserve">With regard to COVID-19 specifically, the potential impact on data completeness, validity, and reliability have all been considered. In terms of data completeness, the number of useable records increased slightly as compared to FFY 2018 and the number of districts reporting was stable. As such, completeness is not perceived to be a factor. Furthermore, the validity of the data were not likely impacted, as the COS Process served as the outcome measure as in prior years. </w:t>
            </w:r>
            <w:r w:rsidRPr="005C29F8">
              <w:rPr>
                <w:rFonts w:cs="Arial"/>
                <w:color w:val="000000" w:themeColor="text1"/>
                <w:szCs w:val="16"/>
              </w:rPr>
              <w:br/>
              <w:t>In terms of reliability, data collection processes from March through June 2020 differed from prior years due to building closures and remote service delivery. Specifically, district teams’ ability to convene meetings for COS ratings with all stakeholders present, full access to all prior assessments/ documentation, and day-to-day interactions with students and families may all have been affected to some extent. Therefore, it is reasonable to suggest that the overall reliability of the measure compared to prior years may have been impacted by the COVID-19 modifications.</w:t>
            </w:r>
            <w:r w:rsidRPr="005C29F8">
              <w:rPr>
                <w:rFonts w:cs="Arial"/>
                <w:color w:val="000000" w:themeColor="text1"/>
                <w:szCs w:val="16"/>
              </w:rPr>
              <w:br/>
              <w:t xml:space="preserve">To help mitigate these impacts, MA DESE moved quickly to offer guidance via departmental FAQs and links to practical resources such as ECTA’s guidance for conducting the COS process remotely, extended deadlines for data submission on a case-by-case basis, and provided technical assistance to districts via phone and email throughout the process. </w:t>
            </w:r>
          </w:p>
        </w:tc>
      </w:tr>
      <w:tr w:rsidR="005C29F8" w:rsidRPr="005C29F8" w14:paraId="2C5A03FF" w14:textId="77777777" w:rsidTr="003138F9">
        <w:tc>
          <w:tcPr>
            <w:tcW w:w="375" w:type="pct"/>
            <w:vAlign w:val="center"/>
          </w:tcPr>
          <w:p w14:paraId="1B7D7510" w14:textId="77777777" w:rsidR="005033CE" w:rsidRPr="005C29F8" w:rsidRDefault="005033CE" w:rsidP="004369B2">
            <w:pPr>
              <w:jc w:val="center"/>
              <w:rPr>
                <w:b/>
                <w:color w:val="000000" w:themeColor="text1"/>
              </w:rPr>
            </w:pPr>
            <w:r w:rsidRPr="005C29F8">
              <w:rPr>
                <w:b/>
                <w:color w:val="000000" w:themeColor="text1"/>
              </w:rPr>
              <w:lastRenderedPageBreak/>
              <w:t>A2</w:t>
            </w:r>
          </w:p>
        </w:tc>
        <w:tc>
          <w:tcPr>
            <w:tcW w:w="4625" w:type="pct"/>
            <w:shd w:val="clear" w:color="auto" w:fill="auto"/>
          </w:tcPr>
          <w:p w14:paraId="370094D2" w14:textId="465BB469" w:rsidR="005033CE" w:rsidRPr="005C29F8" w:rsidRDefault="008C5922" w:rsidP="00E21107">
            <w:pPr>
              <w:rPr>
                <w:rFonts w:cs="Arial"/>
                <w:color w:val="000000" w:themeColor="text1"/>
                <w:szCs w:val="16"/>
              </w:rPr>
            </w:pPr>
            <w:r w:rsidRPr="005C29F8">
              <w:rPr>
                <w:rFonts w:cs="Arial"/>
                <w:color w:val="000000" w:themeColor="text1"/>
                <w:szCs w:val="16"/>
              </w:rPr>
              <w:t xml:space="preserve">MA DESE’s goal is to meet and exceed the rigorous targets that have been established for this measure.  We are mindful that there can be a variety of reasons for changes in the data, including data quality, changes in programs, and/or changes in the population being served. </w:t>
            </w:r>
            <w:r w:rsidRPr="005C29F8">
              <w:rPr>
                <w:rFonts w:cs="Arial"/>
                <w:color w:val="000000" w:themeColor="text1"/>
                <w:szCs w:val="16"/>
              </w:rPr>
              <w:br/>
              <w:t xml:space="preserve">To better understand the extent of slippage, we compared the results using the Early Childhood Technical Assistance Center (ECTA) Meaningful Differences Calculator to determine whether there was a statistical difference year-to-year (http://ectacenter.org/eco/pages/childoutcomes-calc.asp). Proportional differences from FFY 2018 to FFY 2019 were not found to be significant, based on a 90% confidence interval. </w:t>
            </w:r>
            <w:r w:rsidRPr="005C29F8">
              <w:rPr>
                <w:rFonts w:cs="Arial"/>
                <w:color w:val="000000" w:themeColor="text1"/>
                <w:szCs w:val="16"/>
              </w:rPr>
              <w:br/>
              <w:t xml:space="preserve">While results for FFY 2019 were statistically stable, the reasons for slightly lower outcomes this past year are being considered. It seems reasonable to infer that programming adjustments due to COVID-19 during the latter part of the 2018-19 school year -- providing services to children remotely when buildings were closed -- may have had an impact on overall child outcomes for FFY 2019. </w:t>
            </w:r>
            <w:r w:rsidRPr="005C29F8">
              <w:rPr>
                <w:rFonts w:cs="Arial"/>
                <w:color w:val="000000" w:themeColor="text1"/>
                <w:szCs w:val="16"/>
              </w:rPr>
              <w:br/>
              <w:t xml:space="preserve">With regard to COVID-19 specifically, the potential impact on data completeness, validity, and reliability have all been considered.  In terms of data completeness, the number of useable records increased slightly as compared to FFY 2018 and the number of districts reporting was stable. As such, completeness is not perceived to be a factor. Furthermore, the validity of the data were not likely impacted, as the COS Process served as the outcome measure as in prior years. </w:t>
            </w:r>
            <w:r w:rsidRPr="005C29F8">
              <w:rPr>
                <w:rFonts w:cs="Arial"/>
                <w:color w:val="000000" w:themeColor="text1"/>
                <w:szCs w:val="16"/>
              </w:rPr>
              <w:br/>
              <w:t>In terms of reliability, data collection processes from March through June 2020 differed from prior years due to building closures and remote service delivery. Specifically, district teams’ ability to convene meetings for COS ratings with all stakeholders present, full access to all prior assessments/ documentation, and day-to-day interactions with students and families may all have been affected to some extent. Therefore, it is reasonable to suggest that the overall reliability of the measure compared to prior years may have been impacted by the COVID-19 modifications.</w:t>
            </w:r>
            <w:r w:rsidRPr="005C29F8">
              <w:rPr>
                <w:rFonts w:cs="Arial"/>
                <w:color w:val="000000" w:themeColor="text1"/>
                <w:szCs w:val="16"/>
              </w:rPr>
              <w:br/>
              <w:t xml:space="preserve">To help mitigate these impacts, MA DESE moved quickly to offer guidance via departmental FAQs and links to practical resources such as ECTA’s guidance for conducting the COS process remotely, extended deadlines for data submission on a case-by-case basis, and provided technical assistance to districts via phone and email throughout the process. </w:t>
            </w:r>
          </w:p>
        </w:tc>
      </w:tr>
      <w:tr w:rsidR="005C29F8" w:rsidRPr="005C29F8" w14:paraId="24215C17" w14:textId="77777777" w:rsidTr="003138F9">
        <w:tc>
          <w:tcPr>
            <w:tcW w:w="375" w:type="pct"/>
            <w:vAlign w:val="center"/>
          </w:tcPr>
          <w:p w14:paraId="3D5C0F58" w14:textId="77777777" w:rsidR="005033CE" w:rsidRPr="005C29F8" w:rsidRDefault="005033CE" w:rsidP="004369B2">
            <w:pPr>
              <w:jc w:val="center"/>
              <w:rPr>
                <w:b/>
                <w:color w:val="000000" w:themeColor="text1"/>
              </w:rPr>
            </w:pPr>
            <w:r w:rsidRPr="005C29F8">
              <w:rPr>
                <w:b/>
                <w:color w:val="000000" w:themeColor="text1"/>
              </w:rPr>
              <w:t>B2</w:t>
            </w:r>
          </w:p>
        </w:tc>
        <w:tc>
          <w:tcPr>
            <w:tcW w:w="4625" w:type="pct"/>
            <w:shd w:val="clear" w:color="auto" w:fill="auto"/>
          </w:tcPr>
          <w:p w14:paraId="0FC56E33" w14:textId="577E037B" w:rsidR="005033CE" w:rsidRPr="005C29F8" w:rsidRDefault="008C5922" w:rsidP="00E21107">
            <w:pPr>
              <w:rPr>
                <w:rFonts w:cs="Arial"/>
                <w:i/>
                <w:color w:val="000000" w:themeColor="text1"/>
                <w:szCs w:val="16"/>
              </w:rPr>
            </w:pPr>
            <w:r w:rsidRPr="005C29F8">
              <w:rPr>
                <w:rFonts w:cs="Arial"/>
                <w:color w:val="000000" w:themeColor="text1"/>
                <w:szCs w:val="16"/>
              </w:rPr>
              <w:t xml:space="preserve">MA DESE’s goal is to meet and exceed the rigorous targets that have been established for this measure. We are mindful that there can be a variety of reasons for changes in the data, including data quality, changes in programs, and/or changes in the population being served. </w:t>
            </w:r>
            <w:r w:rsidRPr="005C29F8">
              <w:rPr>
                <w:rFonts w:cs="Arial"/>
                <w:color w:val="000000" w:themeColor="text1"/>
                <w:szCs w:val="16"/>
              </w:rPr>
              <w:br/>
              <w:t xml:space="preserve">To better understand the extent of slippage, we compared the results using the Early Childhood Technical Assistance Center (ECTA) Meaningful Differences Calculator to determine whether there was a statistical difference year-to-year (http://ectacenter.org/eco/pages/childoutcomes-calc.asp). Proportional differences from FFY 2018 to FFY 2019 were not found to be significant, based on a 90% confidence interval. </w:t>
            </w:r>
            <w:r w:rsidRPr="005C29F8">
              <w:rPr>
                <w:rFonts w:cs="Arial"/>
                <w:color w:val="000000" w:themeColor="text1"/>
                <w:szCs w:val="16"/>
              </w:rPr>
              <w:br/>
              <w:t xml:space="preserve">While results for FFY 2019 were statistically stable, the reasons for slightly lower outcomes this past year are being considered. It seems reasonable to infer that programming adjustments due to COVID-19 during the latter part of the 2019-20 school year -- providing services to children remotely when buildings were closed -- may have had an impact on overall child outcomes for FFY 2019. </w:t>
            </w:r>
            <w:r w:rsidRPr="005C29F8">
              <w:rPr>
                <w:rFonts w:cs="Arial"/>
                <w:color w:val="000000" w:themeColor="text1"/>
                <w:szCs w:val="16"/>
              </w:rPr>
              <w:br/>
              <w:t xml:space="preserve">With regard to COVID-19 specifically, the potential impact on data completeness, validity, and reliability have all been considered. In terms of data completeness, the number of useable records increased slightly as compared to FFY 2018 and the number of districts reporting was stable. As such, completeness is not perceived to be a factor. Furthermore, the validity of the data were not likely impacted, as the COS Process served as the outcome measure as in prior years. </w:t>
            </w:r>
            <w:r w:rsidRPr="005C29F8">
              <w:rPr>
                <w:rFonts w:cs="Arial"/>
                <w:color w:val="000000" w:themeColor="text1"/>
                <w:szCs w:val="16"/>
              </w:rPr>
              <w:br/>
              <w:t>In terms of reliability, data collection processes from March through June 2020 differed from prior years due to building closures and remote service delivery. Specifically, district teams’ ability to convene meetings for COS ratings with all stakeholders present, full access to all prior assessments/ documentation, and day-to-day interactions with students and families may all have been affected to some extent. Therefore, it is reasonable to suggest that the overall reliability of the measure compared to prior years may have been impacted by the COVID-19 modifications.</w:t>
            </w:r>
            <w:r w:rsidRPr="005C29F8">
              <w:rPr>
                <w:rFonts w:cs="Arial"/>
                <w:color w:val="000000" w:themeColor="text1"/>
                <w:szCs w:val="16"/>
              </w:rPr>
              <w:br/>
              <w:t xml:space="preserve">To help mitigate these impacts, MA DESE moved quickly to offer guidance via departmental FAQs and links to practical resources such as ECTA’s guidance for conducting the COS process remotely, extended deadlines for data submission on a case-by-case basis, and provided technical assistance to districts via phone and email throughout the process. </w:t>
            </w:r>
          </w:p>
        </w:tc>
      </w:tr>
      <w:tr w:rsidR="005C29F8" w:rsidRPr="005C29F8" w14:paraId="52A26FBD" w14:textId="77777777" w:rsidTr="003138F9">
        <w:tc>
          <w:tcPr>
            <w:tcW w:w="375" w:type="pct"/>
            <w:vAlign w:val="center"/>
          </w:tcPr>
          <w:p w14:paraId="2ED6B5B9" w14:textId="77777777" w:rsidR="005033CE" w:rsidRPr="005C29F8" w:rsidRDefault="005033CE" w:rsidP="004369B2">
            <w:pPr>
              <w:jc w:val="center"/>
              <w:rPr>
                <w:b/>
                <w:color w:val="000000" w:themeColor="text1"/>
              </w:rPr>
            </w:pPr>
            <w:r w:rsidRPr="005C29F8">
              <w:rPr>
                <w:b/>
                <w:color w:val="000000" w:themeColor="text1"/>
              </w:rPr>
              <w:t>C1</w:t>
            </w:r>
          </w:p>
        </w:tc>
        <w:tc>
          <w:tcPr>
            <w:tcW w:w="4625" w:type="pct"/>
            <w:shd w:val="clear" w:color="auto" w:fill="auto"/>
          </w:tcPr>
          <w:p w14:paraId="7E064C1A" w14:textId="356EB505" w:rsidR="005033CE" w:rsidRPr="005C29F8" w:rsidRDefault="005033CE" w:rsidP="00E21107">
            <w:pPr>
              <w:rPr>
                <w:rFonts w:cs="Arial"/>
                <w:color w:val="000000" w:themeColor="text1"/>
                <w:szCs w:val="16"/>
              </w:rPr>
            </w:pPr>
            <w:r w:rsidRPr="005C29F8">
              <w:rPr>
                <w:rFonts w:cs="Arial"/>
                <w:color w:val="000000" w:themeColor="text1"/>
                <w:szCs w:val="16"/>
              </w:rPr>
              <w:t xml:space="preserve">MA DESE’s goal is to meet and exceed the rigorous targets that have been established for this measure. We are mindful that there can be a variety of reasons for changes in the data, including data quality, changes in programs, and/or changes in the population being served. </w:t>
            </w:r>
            <w:r w:rsidRPr="005C29F8">
              <w:rPr>
                <w:rFonts w:cs="Arial"/>
                <w:color w:val="000000" w:themeColor="text1"/>
                <w:szCs w:val="16"/>
              </w:rPr>
              <w:br/>
              <w:t xml:space="preserve">To better understand the extent of slippage, we compared the results using the Early Childhood Technical Assistance Center (ECTA) Meaningful Differences Calculator to determine whether there was a statistical difference year-to-year (http://ectacenter.org/eco/pages/childoutcomes-calc.asp). Proportional differences from FFY 2018 to FFY 2019 were not found to be significant, based on a 90% confidence interval. </w:t>
            </w:r>
            <w:r w:rsidRPr="005C29F8">
              <w:rPr>
                <w:rFonts w:cs="Arial"/>
                <w:color w:val="000000" w:themeColor="text1"/>
                <w:szCs w:val="16"/>
              </w:rPr>
              <w:br/>
              <w:t xml:space="preserve">While results for FFY 2019 were statistically stable, the reasons for slightly lower outcomes this past year are being considered. It seems reasonable to infer that programming adjustments due to COVID-19 during the latter part of the 2019-20 school year -- providing services to children remotely when buildings were closed -- may have had an impact on overall child outcomes for FFY 2019. </w:t>
            </w:r>
            <w:r w:rsidRPr="005C29F8">
              <w:rPr>
                <w:rFonts w:cs="Arial"/>
                <w:color w:val="000000" w:themeColor="text1"/>
                <w:szCs w:val="16"/>
              </w:rPr>
              <w:br/>
            </w:r>
            <w:r w:rsidRPr="005C29F8">
              <w:rPr>
                <w:rFonts w:cs="Arial"/>
                <w:color w:val="000000" w:themeColor="text1"/>
                <w:szCs w:val="16"/>
              </w:rPr>
              <w:lastRenderedPageBreak/>
              <w:t xml:space="preserve">With regard to COVID-19 specifically, the potential impact on data completeness, validity, and reliability have all been considered. In terms of data completeness, the number of useable records increased slightly as compared to FFY 2018 and the number of districts reporting was stable. As such, completeness is not perceived to be a factor. Furthermore, the validity of the data were not likely impacted, as the COS Process served as the outcome measure as in prior years. </w:t>
            </w:r>
            <w:r w:rsidRPr="005C29F8">
              <w:rPr>
                <w:rFonts w:cs="Arial"/>
                <w:color w:val="000000" w:themeColor="text1"/>
                <w:szCs w:val="16"/>
              </w:rPr>
              <w:br/>
              <w:t>In terms of reliability, data collection processes from March through June 2020 differed from prior years due to building closures and remote service delivery. Specifically, district teams’ ability to convene meetings for COS ratings with all stakeholders present, full access to all prior assessments/ documentation, and day-to-day interactions with students and families may all have been affected to some extent. Therefore, it is reasonable to suggest that the overall reliability of the measure compared to prior years may have been impacted by the COVID-19 modifications.</w:t>
            </w:r>
            <w:r w:rsidRPr="005C29F8">
              <w:rPr>
                <w:rFonts w:cs="Arial"/>
                <w:color w:val="000000" w:themeColor="text1"/>
                <w:szCs w:val="16"/>
              </w:rPr>
              <w:br/>
              <w:t xml:space="preserve">To help mitigate these impacts, MA DESE moved quickly to offer guidance via departmental FAQs and links to practical resources such as ECTA’s guidance for conducting the COS process remotely, extended deadlines for data submission on a case-by-case basis, and provided technical assistance to districts via phone and email throughout the process. </w:t>
            </w:r>
          </w:p>
        </w:tc>
      </w:tr>
      <w:tr w:rsidR="005C29F8" w:rsidRPr="005C29F8" w14:paraId="78369361" w14:textId="77777777" w:rsidTr="003138F9">
        <w:tc>
          <w:tcPr>
            <w:tcW w:w="375" w:type="pct"/>
            <w:vAlign w:val="center"/>
          </w:tcPr>
          <w:p w14:paraId="3CA58DE3" w14:textId="77777777" w:rsidR="005033CE" w:rsidRPr="005C29F8" w:rsidRDefault="005033CE" w:rsidP="004369B2">
            <w:pPr>
              <w:jc w:val="center"/>
              <w:rPr>
                <w:b/>
                <w:color w:val="000000" w:themeColor="text1"/>
              </w:rPr>
            </w:pPr>
            <w:r w:rsidRPr="005C29F8">
              <w:rPr>
                <w:b/>
                <w:color w:val="000000" w:themeColor="text1"/>
              </w:rPr>
              <w:lastRenderedPageBreak/>
              <w:t>C2</w:t>
            </w:r>
          </w:p>
        </w:tc>
        <w:tc>
          <w:tcPr>
            <w:tcW w:w="4625" w:type="pct"/>
            <w:shd w:val="clear" w:color="auto" w:fill="auto"/>
          </w:tcPr>
          <w:p w14:paraId="36410A58" w14:textId="082DFC3E" w:rsidR="005033CE" w:rsidRPr="005C29F8" w:rsidRDefault="005033CE" w:rsidP="00E21107">
            <w:pPr>
              <w:rPr>
                <w:rFonts w:cs="Arial"/>
                <w:color w:val="000000" w:themeColor="text1"/>
                <w:szCs w:val="16"/>
              </w:rPr>
            </w:pPr>
            <w:r w:rsidRPr="005C29F8">
              <w:rPr>
                <w:rFonts w:cs="Arial"/>
                <w:color w:val="000000" w:themeColor="text1"/>
                <w:szCs w:val="16"/>
              </w:rPr>
              <w:t xml:space="preserve">MA DESE’s goal is to meet and exceed the rigorous targets that have been established for this measure. We are mindful that there can be a variety of reasons for changes in the data, including data quality, changes in programs, and/or changes in the population being served. </w:t>
            </w:r>
            <w:r w:rsidRPr="005C29F8">
              <w:rPr>
                <w:rFonts w:cs="Arial"/>
                <w:color w:val="000000" w:themeColor="text1"/>
                <w:szCs w:val="16"/>
              </w:rPr>
              <w:br/>
              <w:t xml:space="preserve">To better understand the extent of slippage, we compared the results using the Early Childhood Technical Assistance Center (ECTA) Meaningful Differences Calculator to determine whether there was a statistical difference year-to-year (http://ectacenter.org/eco/pages/childoutcomes-calc.asp). Proportional differences from FFY 2018 to FFY 2019 were not found to be significant, based on a 90% confidence interval. </w:t>
            </w:r>
            <w:r w:rsidRPr="005C29F8">
              <w:rPr>
                <w:rFonts w:cs="Arial"/>
                <w:color w:val="000000" w:themeColor="text1"/>
                <w:szCs w:val="16"/>
              </w:rPr>
              <w:br/>
              <w:t xml:space="preserve">While results for FFY 2019 were statistically stable, the reasons for slightly lower outcomes this past year are being considered. It seems reasonable to infer that programming adjustments due to COVID-19 during the latter part of the 2019-20 school year -- providing services to children remotely when buildings were closed -- may have had an impact on overall child outcomes for FFY 2019. </w:t>
            </w:r>
            <w:r w:rsidRPr="005C29F8">
              <w:rPr>
                <w:rFonts w:cs="Arial"/>
                <w:color w:val="000000" w:themeColor="text1"/>
                <w:szCs w:val="16"/>
              </w:rPr>
              <w:br/>
              <w:t xml:space="preserve">With regard to COVID-19 specifically, the potential impact on data completeness, validity, and reliability have all been considered. In terms of data completeness, the number of useable records increased slightly as compared to FFY 2018 and the number of districts reporting was stable. As such, completeness is not perceived to be a factor. Furthermore, the validity of the data were not likely impacted, as the COS Process served as the outcome measure as in prior years. </w:t>
            </w:r>
            <w:r w:rsidRPr="005C29F8">
              <w:rPr>
                <w:rFonts w:cs="Arial"/>
                <w:color w:val="000000" w:themeColor="text1"/>
                <w:szCs w:val="16"/>
              </w:rPr>
              <w:br/>
              <w:t>In terms of reliability, data collection processes from March through June 2020 differed from prior years due to building closures and remote service delivery. Specifically, district teams’ ability to convene meetings for COS ratings with all stakeholders present, full access to all prior assessments/ documentation, and day-to-day interactions with students and families may all have been affected to some extent. Therefore, it is reasonable to suggest that the overall reliability of the measure compared to prior years may have been impacted by the COVID-19 modifications.</w:t>
            </w:r>
            <w:r w:rsidRPr="005C29F8">
              <w:rPr>
                <w:rFonts w:cs="Arial"/>
                <w:color w:val="000000" w:themeColor="text1"/>
                <w:szCs w:val="16"/>
              </w:rPr>
              <w:br/>
              <w:t xml:space="preserve">To help mitigate these impacts, MA DESE moved quickly to offer guidance via departmental FAQs and links to practical resources such as ECTA’s guidance for conducting the COS process remotely, extended deadlines for data submission on a case-by-case basis, and provided technical assistance to districts via phone and email throughout the process. </w:t>
            </w:r>
          </w:p>
        </w:tc>
      </w:tr>
    </w:tbl>
    <w:p w14:paraId="399E6348" w14:textId="36EEF00B" w:rsidR="004B2C2D" w:rsidRPr="005C29F8" w:rsidRDefault="004B2C2D" w:rsidP="007D435F">
      <w:pPr>
        <w:rPr>
          <w:rFonts w:cs="Arial"/>
          <w:b/>
          <w:color w:val="000000" w:themeColor="text1"/>
          <w:szCs w:val="16"/>
        </w:rPr>
      </w:pPr>
      <w:r w:rsidRPr="005C29F8">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Default="004B2C2D" w:rsidP="007D435F">
      <w:pPr>
        <w:rPr>
          <w:rFonts w:cs="Arial"/>
          <w:color w:val="000000" w:themeColor="text1"/>
          <w:szCs w:val="16"/>
        </w:rPr>
      </w:pPr>
      <w:r w:rsidRPr="005C29F8">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5C29F8"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33429D" w:rsidRDefault="001D6B3B" w:rsidP="00A80FEB">
            <w:pPr>
              <w:rPr>
                <w:rFonts w:cs="Arial"/>
                <w:b/>
                <w:bCs/>
                <w:color w:val="000000" w:themeColor="text1"/>
                <w:szCs w:val="16"/>
              </w:rPr>
            </w:pPr>
            <w:r w:rsidRPr="0033429D">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5C29F8" w:rsidRDefault="00B461E1" w:rsidP="001011BB">
            <w:pPr>
              <w:jc w:val="center"/>
              <w:rPr>
                <w:rFonts w:cs="Arial"/>
                <w:b/>
                <w:color w:val="000000" w:themeColor="text1"/>
                <w:szCs w:val="16"/>
              </w:rPr>
            </w:pPr>
            <w:r w:rsidRPr="005C29F8">
              <w:rPr>
                <w:rFonts w:cs="Arial"/>
                <w:b/>
                <w:color w:val="000000" w:themeColor="text1"/>
                <w:szCs w:val="16"/>
              </w:rPr>
              <w:t>Yes / No</w:t>
            </w:r>
          </w:p>
        </w:tc>
      </w:tr>
      <w:tr w:rsidR="005C29F8" w:rsidRPr="005C29F8" w14:paraId="58275667" w14:textId="54710A2D" w:rsidTr="000A4757">
        <w:tc>
          <w:tcPr>
            <w:tcW w:w="3855" w:type="pct"/>
            <w:shd w:val="clear" w:color="auto" w:fill="auto"/>
          </w:tcPr>
          <w:p w14:paraId="390A3887" w14:textId="13D1E4BC" w:rsidR="00B461E1" w:rsidRPr="005C29F8" w:rsidRDefault="00B461E1" w:rsidP="00A80FEB">
            <w:pPr>
              <w:rPr>
                <w:rFonts w:cs="Arial"/>
                <w:color w:val="000000" w:themeColor="text1"/>
                <w:szCs w:val="16"/>
              </w:rPr>
            </w:pPr>
            <w:r w:rsidRPr="005C29F8">
              <w:rPr>
                <w:rFonts w:cs="Arial"/>
                <w:color w:val="000000" w:themeColor="text1"/>
                <w:szCs w:val="16"/>
              </w:rPr>
              <w:t xml:space="preserve">Was sampling used? </w:t>
            </w:r>
          </w:p>
        </w:tc>
        <w:tc>
          <w:tcPr>
            <w:tcW w:w="1145" w:type="pct"/>
            <w:shd w:val="clear" w:color="auto" w:fill="auto"/>
          </w:tcPr>
          <w:p w14:paraId="057F9293" w14:textId="70B8666C" w:rsidR="00B461E1" w:rsidRPr="005C29F8" w:rsidRDefault="002B7490" w:rsidP="00A018D4">
            <w:pPr>
              <w:jc w:val="center"/>
              <w:rPr>
                <w:rFonts w:cs="Arial"/>
                <w:color w:val="000000" w:themeColor="text1"/>
                <w:szCs w:val="16"/>
              </w:rPr>
            </w:pPr>
            <w:r w:rsidRPr="005C29F8">
              <w:rPr>
                <w:rFonts w:cs="Arial"/>
                <w:color w:val="000000" w:themeColor="text1"/>
                <w:szCs w:val="16"/>
              </w:rPr>
              <w:t>YES</w:t>
            </w:r>
          </w:p>
        </w:tc>
      </w:tr>
      <w:tr w:rsidR="005C29F8" w:rsidRPr="005C29F8" w14:paraId="54DAEF42" w14:textId="13BC5FDB" w:rsidTr="000A4757">
        <w:tc>
          <w:tcPr>
            <w:tcW w:w="3855" w:type="pct"/>
            <w:shd w:val="clear" w:color="auto" w:fill="auto"/>
          </w:tcPr>
          <w:p w14:paraId="1445CD20" w14:textId="64BEAB10" w:rsidR="00B461E1" w:rsidRPr="005C29F8" w:rsidRDefault="007524CC" w:rsidP="00A80FEB">
            <w:pPr>
              <w:rPr>
                <w:rFonts w:cs="Arial"/>
                <w:color w:val="000000" w:themeColor="text1"/>
                <w:szCs w:val="16"/>
              </w:rPr>
            </w:pPr>
            <w:r w:rsidRPr="005C29F8">
              <w:rPr>
                <w:rFonts w:cs="Arial"/>
                <w:color w:val="000000" w:themeColor="text1"/>
                <w:szCs w:val="16"/>
              </w:rPr>
              <w:t>If yes, has your previously-approved sampling plan changed?</w:t>
            </w:r>
          </w:p>
        </w:tc>
        <w:tc>
          <w:tcPr>
            <w:tcW w:w="1145" w:type="pct"/>
            <w:shd w:val="clear" w:color="auto" w:fill="auto"/>
          </w:tcPr>
          <w:p w14:paraId="09B83BCE" w14:textId="045767BD" w:rsidR="00B461E1" w:rsidRPr="005C29F8" w:rsidRDefault="002B7490" w:rsidP="00A018D4">
            <w:pPr>
              <w:jc w:val="center"/>
              <w:rPr>
                <w:rFonts w:cs="Arial"/>
                <w:color w:val="000000" w:themeColor="text1"/>
                <w:szCs w:val="16"/>
              </w:rPr>
            </w:pPr>
            <w:r w:rsidRPr="005C29F8">
              <w:rPr>
                <w:rFonts w:cs="Arial"/>
                <w:color w:val="000000" w:themeColor="text1"/>
                <w:szCs w:val="16"/>
              </w:rPr>
              <w:t>NO</w:t>
            </w:r>
          </w:p>
        </w:tc>
      </w:tr>
    </w:tbl>
    <w:p w14:paraId="399B1376" w14:textId="398F46A1" w:rsidR="009B37A2" w:rsidRPr="005C29F8" w:rsidRDefault="009B37A2" w:rsidP="00A80FEB">
      <w:pPr>
        <w:rPr>
          <w:rFonts w:cs="Arial"/>
          <w:b/>
          <w:color w:val="000000" w:themeColor="text1"/>
          <w:szCs w:val="16"/>
        </w:rPr>
      </w:pPr>
      <w:r w:rsidRPr="005C29F8">
        <w:rPr>
          <w:rFonts w:cs="Arial"/>
          <w:b/>
          <w:color w:val="000000" w:themeColor="text1"/>
          <w:szCs w:val="16"/>
        </w:rPr>
        <w:t>Describe the sampling methodology outlining how the design will yield valid and reliable estimates.</w:t>
      </w:r>
    </w:p>
    <w:p w14:paraId="17A02697" w14:textId="5630E0B9" w:rsidR="004B2C2D" w:rsidRDefault="002B7490" w:rsidP="00A80FEB">
      <w:pPr>
        <w:rPr>
          <w:rFonts w:cs="Arial"/>
          <w:color w:val="000000" w:themeColor="text1"/>
          <w:szCs w:val="16"/>
        </w:rPr>
      </w:pPr>
      <w:r w:rsidRPr="005C29F8">
        <w:rPr>
          <w:rFonts w:cs="Arial"/>
          <w:color w:val="000000" w:themeColor="text1"/>
          <w:szCs w:val="16"/>
        </w:rPr>
        <w:t xml:space="preserve">MA DESE and the MA Department of Early Education and Care (EEC) collaboratively selected a cohort model for the purpose of this indicator’s reporting activities. Massachusetts divides districts into four cohorts, with each cohort being representative of the State. Further information about this OSEP-approved cohort model can be found at: http://www.doe.mass.edu/sped/spp/datacollection.html. According to the cohort schedule, LEAs collect entry data for students once every four years as part of their assigned cohort. Data collection and reporting activities for those participating LEAs continue for approximately three years following entry data, until all originally assessed students have exited from or terminated early childhood special education services. Once all the children from the cohort have exited from early childhood special education, the LEA participates in the next cycle of data collection efforts with a new cohort of entering eligible students. </w:t>
      </w:r>
      <w:r w:rsidRPr="005C29F8">
        <w:rPr>
          <w:rFonts w:cs="Arial"/>
          <w:color w:val="000000" w:themeColor="text1"/>
          <w:szCs w:val="16"/>
        </w:rPr>
        <w:br/>
      </w:r>
      <w:r w:rsidRPr="005C29F8">
        <w:rPr>
          <w:rFonts w:cs="Arial"/>
          <w:color w:val="000000" w:themeColor="text1"/>
          <w:szCs w:val="16"/>
        </w:rPr>
        <w:br/>
        <w:t>In addition to the cohort model described above, MA DESE collects additional early childhood outcomes data as part of the Massachusetts State Systemic Improvement Plan (SSIP). Through SSIP, MA DESE is currently working with 32 districts to implement the Pyramid Model for Promoting the Social and Emotional Development of Infants and Young Children (the Pyramid Model) to support improved social-emotional outcomes. Participating SSIP districts began collecting and reporting Indicator 7 data every year starting in FFY 2015, and other districts have continued to be represented in the approved cohort collection model. (The number of participating SSIP districts was 19 at that time, and had since expanded to 30 districts as of the FFY19 reporting year.) The SSIP districts include several of the largest districts in Massachusetts. Progress on Indicator 7 as it relates to the State Identified Measurable Result (SIMR) for Indicator 17 for SSIP districts specifically is reported in the appropriate section of this report.</w:t>
      </w:r>
      <w:r w:rsidRPr="005C29F8">
        <w:rPr>
          <w:rFonts w:cs="Arial"/>
          <w:color w:val="000000" w:themeColor="text1"/>
          <w:szCs w:val="16"/>
        </w:rPr>
        <w:br/>
      </w:r>
      <w:r w:rsidRPr="005C29F8">
        <w:rPr>
          <w:rFonts w:cs="Arial"/>
          <w:color w:val="000000" w:themeColor="text1"/>
          <w:szCs w:val="16"/>
        </w:rPr>
        <w:br/>
        <w:t xml:space="preserve">In August 2016, MA DESE changed the data collection parameters for districts collecting only entry data beginning with Cohort 4. Districts collected entry data on students who began receiving special education services between August 1 and May 31 of the following year. This change continued for FFY 2019, with districts in this reporting cycle collecting data between August 1, 2019 and May 31, 2020. This expanded data collection window, combined with the SSIP districts' data mentioned above, and improved and more frequent outreach by MA DESE to districts over the past several years about the data collection activities, have likely contributed to an increase in the number of usable records for Indicator 7 in FFY 2017 (64%), a 61% increase from FFY 2017 to FFY 2018, and a 10% increase from FFY 2018 to FFY 2019. </w:t>
      </w:r>
      <w:r w:rsidRPr="005C29F8">
        <w:rPr>
          <w:rFonts w:cs="Arial"/>
          <w:color w:val="000000" w:themeColor="text1"/>
          <w:szCs w:val="16"/>
        </w:rPr>
        <w:br/>
      </w:r>
      <w:r w:rsidRPr="005C29F8">
        <w:rPr>
          <w:rFonts w:cs="Arial"/>
          <w:color w:val="000000" w:themeColor="text1"/>
          <w:szCs w:val="16"/>
        </w:rPr>
        <w:br/>
        <w:t>MA DESE continues to work toward increasing districts’ capacity for reporting high-quality data to ensure valid and reliable results. During FFY 2019, MA DESE and EEC conducted hands-on training sessions in coordination with the Early Childhood Technical Assistance Center (ECTA) to help build statewide capacity among its master cadre of coaches to support LEAs in collecting and using data via the Child Outcomes Summary Process. Training opportunities with the coaches are continuing in FFY 2020.</w:t>
      </w:r>
    </w:p>
    <w:p w14:paraId="4EF81044" w14:textId="5EE5725F" w:rsidR="004B2C2D" w:rsidRPr="005C29F8" w:rsidRDefault="004B2C2D" w:rsidP="00A80FEB">
      <w:pPr>
        <w:rPr>
          <w:rFonts w:cs="Arial"/>
          <w:b/>
          <w:color w:val="000000" w:themeColor="text1"/>
          <w:szCs w:val="16"/>
        </w:rPr>
      </w:pPr>
      <w:r w:rsidRPr="005C29F8">
        <w:rPr>
          <w:rFonts w:cs="Arial"/>
          <w:b/>
          <w:color w:val="000000" w:themeColor="text1"/>
          <w:szCs w:val="16"/>
        </w:rPr>
        <w:t>Did you use the Early Childhood Outcomes Center (ECO) Child Outcomes Summary Form (COS) process? (yes/no)</w:t>
      </w:r>
    </w:p>
    <w:p w14:paraId="6C4FBAA6" w14:textId="1B6DC98D" w:rsidR="004B2C2D" w:rsidRDefault="004B2C2D" w:rsidP="00A80FEB">
      <w:pPr>
        <w:rPr>
          <w:rFonts w:cs="Arial"/>
          <w:color w:val="000000" w:themeColor="text1"/>
          <w:szCs w:val="16"/>
        </w:rPr>
      </w:pPr>
      <w:r w:rsidRPr="005C29F8">
        <w:rPr>
          <w:rFonts w:cs="Arial"/>
          <w:color w:val="000000" w:themeColor="text1"/>
          <w:szCs w:val="16"/>
        </w:rPr>
        <w:t>YES</w:t>
      </w:r>
    </w:p>
    <w:p w14:paraId="015A471A" w14:textId="77777777" w:rsidR="004611C1" w:rsidRPr="005C29F8" w:rsidRDefault="004611C1" w:rsidP="00401663">
      <w:pPr>
        <w:rPr>
          <w:rFonts w:cs="Arial"/>
          <w:b/>
          <w:color w:val="000000" w:themeColor="text1"/>
          <w:szCs w:val="16"/>
        </w:rPr>
      </w:pPr>
      <w:bookmarkStart w:id="36" w:name="_Toc382082381"/>
      <w:bookmarkStart w:id="37" w:name="_Toc392159306"/>
      <w:r w:rsidRPr="005C29F8">
        <w:rPr>
          <w:rFonts w:cs="Arial"/>
          <w:b/>
          <w:color w:val="000000" w:themeColor="text1"/>
          <w:szCs w:val="16"/>
        </w:rPr>
        <w:lastRenderedPageBreak/>
        <w:t>List the instruments and procedures used to gather data for this indicator.</w:t>
      </w:r>
    </w:p>
    <w:p w14:paraId="48A16E25" w14:textId="1F2C8CE0" w:rsidR="009B37A2" w:rsidRPr="005C29F8" w:rsidRDefault="002B7490" w:rsidP="007D435F">
      <w:pPr>
        <w:rPr>
          <w:rFonts w:cs="Arial"/>
          <w:color w:val="000000" w:themeColor="text1"/>
          <w:szCs w:val="16"/>
        </w:rPr>
      </w:pPr>
      <w:r w:rsidRPr="005C29F8">
        <w:rPr>
          <w:rFonts w:cs="Arial"/>
          <w:color w:val="000000" w:themeColor="text1"/>
          <w:szCs w:val="16"/>
        </w:rPr>
        <w:t xml:space="preserve">MA DESE uses the Child Outcomes Summary (COS) process and collects data using a cohort model described above. </w:t>
      </w:r>
    </w:p>
    <w:p w14:paraId="393ECB24" w14:textId="77777777" w:rsidR="00221EC9" w:rsidRPr="005C29F8" w:rsidRDefault="00221EC9" w:rsidP="004369B2">
      <w:pPr>
        <w:rPr>
          <w:b/>
          <w:color w:val="000000" w:themeColor="text1"/>
        </w:rPr>
      </w:pPr>
      <w:r w:rsidRPr="005C29F8">
        <w:rPr>
          <w:b/>
          <w:color w:val="000000" w:themeColor="text1"/>
        </w:rPr>
        <w:t>Provide additional information about this indicator (optional)</w:t>
      </w:r>
    </w:p>
    <w:p w14:paraId="0215673F" w14:textId="7230C48B" w:rsidR="009B37A2" w:rsidRDefault="002B7490" w:rsidP="007D435F">
      <w:pPr>
        <w:rPr>
          <w:rFonts w:cs="Arial"/>
          <w:color w:val="000000" w:themeColor="text1"/>
          <w:szCs w:val="16"/>
        </w:rPr>
      </w:pPr>
      <w:r w:rsidRPr="005C29F8">
        <w:rPr>
          <w:rFonts w:cs="Arial"/>
          <w:color w:val="000000" w:themeColor="text1"/>
          <w:szCs w:val="16"/>
        </w:rPr>
        <w:t>MA DESE continues to provide professional development and technical assistance to LEAs for this indicator in two ways, to support both data quality and to improve child outcomes: 1) assistance with the Child Outcomes Summary (COS) process, including training to improve general knowledge about child development and functional assessments; and 2) training, including coaching, to implement evidence-based practices to improve child-level outcomes.</w:t>
      </w:r>
      <w:r w:rsidRPr="005C29F8">
        <w:rPr>
          <w:rFonts w:cs="Arial"/>
          <w:color w:val="000000" w:themeColor="text1"/>
          <w:szCs w:val="16"/>
        </w:rPr>
        <w:br/>
      </w:r>
      <w:r w:rsidRPr="005C29F8">
        <w:rPr>
          <w:rFonts w:cs="Arial"/>
          <w:color w:val="000000" w:themeColor="text1"/>
          <w:szCs w:val="16"/>
        </w:rPr>
        <w:br/>
        <w:t xml:space="preserve">During FFY 2019, MA DESE designed and delivered hands-on training sessions in coordination with ECTA to help build statewide capacity among its master cadre of external coaches. The goal of the sessions, which are continuing in FFY 2020, is to continue to build coaches’ capacity for supporting all LEAs in collecting, reporting, and using high-quality data, and in particular, assisting LEAs in using program-level child outcomes data for program planning and improvement. </w:t>
      </w:r>
    </w:p>
    <w:p w14:paraId="729220FB" w14:textId="2C05A12E" w:rsidR="000A2C83" w:rsidRPr="0033429D" w:rsidRDefault="00C96236" w:rsidP="008645AD">
      <w:pPr>
        <w:pStyle w:val="Heading2"/>
      </w:pPr>
      <w:r w:rsidRPr="0033429D">
        <w:t>7</w:t>
      </w:r>
      <w:r w:rsidR="00444A9D" w:rsidRPr="0033429D">
        <w:t xml:space="preserve"> </w:t>
      </w:r>
      <w:r w:rsidRPr="0033429D">
        <w:t xml:space="preserve">- </w:t>
      </w:r>
      <w:r w:rsidR="000A2C83" w:rsidRPr="0033429D">
        <w:t>Prior FFY Required Actions</w:t>
      </w:r>
    </w:p>
    <w:p w14:paraId="6B082508" w14:textId="28E3454C" w:rsidR="000A2C83" w:rsidRPr="005C29F8" w:rsidRDefault="002B7490" w:rsidP="000A2C83">
      <w:pPr>
        <w:rPr>
          <w:rFonts w:cs="Arial"/>
          <w:color w:val="000000" w:themeColor="text1"/>
          <w:szCs w:val="16"/>
        </w:rPr>
      </w:pPr>
      <w:r w:rsidRPr="005C29F8">
        <w:rPr>
          <w:rFonts w:cs="Arial"/>
          <w:color w:val="000000" w:themeColor="text1"/>
          <w:szCs w:val="16"/>
        </w:rPr>
        <w:t>None</w:t>
      </w:r>
    </w:p>
    <w:p w14:paraId="342951AE" w14:textId="530DEEBF" w:rsidR="00B1280F" w:rsidRPr="005C29F8" w:rsidRDefault="00B1280F" w:rsidP="000A2C83">
      <w:pPr>
        <w:rPr>
          <w:rFonts w:cs="Arial"/>
          <w:color w:val="000000" w:themeColor="text1"/>
          <w:szCs w:val="16"/>
        </w:rPr>
      </w:pPr>
    </w:p>
    <w:p w14:paraId="311D27F5" w14:textId="36383184" w:rsidR="000A2C83" w:rsidRPr="005C29F8" w:rsidRDefault="000A2C83" w:rsidP="000A2C83">
      <w:pPr>
        <w:rPr>
          <w:rFonts w:cs="Arial"/>
          <w:color w:val="000000" w:themeColor="text1"/>
          <w:szCs w:val="16"/>
        </w:rPr>
      </w:pPr>
      <w:r w:rsidRPr="005C29F8">
        <w:rPr>
          <w:rFonts w:cs="Arial"/>
          <w:color w:val="000000" w:themeColor="text1"/>
          <w:szCs w:val="16"/>
        </w:rPr>
        <w:t xml:space="preserve"> </w:t>
      </w:r>
    </w:p>
    <w:p w14:paraId="4844645A" w14:textId="6F051FE6" w:rsidR="00221EC9" w:rsidRPr="0033429D" w:rsidRDefault="00C96236" w:rsidP="008645AD">
      <w:pPr>
        <w:pStyle w:val="Heading2"/>
      </w:pPr>
      <w:r w:rsidRPr="0033429D">
        <w:t>7 - OSEP Response</w:t>
      </w:r>
    </w:p>
    <w:p w14:paraId="408E3220" w14:textId="3BF99ADA" w:rsidR="009B37A2" w:rsidRPr="005C29F8" w:rsidRDefault="009B37A2" w:rsidP="001F692C">
      <w:pPr>
        <w:rPr>
          <w:rFonts w:cs="Arial"/>
          <w:color w:val="000000" w:themeColor="text1"/>
          <w:szCs w:val="16"/>
        </w:rPr>
      </w:pPr>
    </w:p>
    <w:p w14:paraId="50C7CF43" w14:textId="32A5B19E" w:rsidR="00221EC9" w:rsidRPr="0033429D" w:rsidRDefault="00C96236" w:rsidP="008645AD">
      <w:pPr>
        <w:pStyle w:val="Heading2"/>
      </w:pPr>
      <w:r w:rsidRPr="0033429D">
        <w:t>7 - Required Actions</w:t>
      </w:r>
    </w:p>
    <w:p w14:paraId="44281A32" w14:textId="371D4770" w:rsidR="009B37A2" w:rsidRPr="005C29F8" w:rsidRDefault="009B37A2" w:rsidP="001F692C">
      <w:pPr>
        <w:rPr>
          <w:rFonts w:cs="Arial"/>
          <w:color w:val="000000" w:themeColor="text1"/>
          <w:szCs w:val="16"/>
        </w:rPr>
      </w:pPr>
    </w:p>
    <w:p w14:paraId="4FFE0FC1" w14:textId="77777777" w:rsidR="00102FA3" w:rsidRPr="005C29F8" w:rsidRDefault="00102FA3">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3BCCFF07" w14:textId="34122B32" w:rsidR="00B3462E" w:rsidRPr="005C29F8" w:rsidRDefault="00B3462E" w:rsidP="000444E2">
      <w:pPr>
        <w:pStyle w:val="Heading1"/>
        <w:rPr>
          <w:color w:val="000000" w:themeColor="text1"/>
          <w:sz w:val="22"/>
        </w:rPr>
      </w:pPr>
      <w:r w:rsidRPr="005C29F8">
        <w:rPr>
          <w:color w:val="000000" w:themeColor="text1"/>
          <w:sz w:val="22"/>
        </w:rPr>
        <w:lastRenderedPageBreak/>
        <w:t>Indicator 8: Parent involvement</w:t>
      </w:r>
      <w:bookmarkEnd w:id="36"/>
      <w:bookmarkEnd w:id="37"/>
    </w:p>
    <w:p w14:paraId="66FBCA03" w14:textId="77777777" w:rsidR="00B654C1" w:rsidRPr="005C29F8" w:rsidRDefault="00B654C1" w:rsidP="00A018D4">
      <w:pPr>
        <w:rPr>
          <w:color w:val="000000" w:themeColor="text1"/>
          <w:szCs w:val="20"/>
        </w:rPr>
      </w:pPr>
      <w:bookmarkStart w:id="38" w:name="_Toc392159307"/>
      <w:r w:rsidRPr="005C29F8">
        <w:rPr>
          <w:b/>
          <w:color w:val="000000" w:themeColor="text1"/>
          <w:sz w:val="20"/>
          <w:szCs w:val="20"/>
        </w:rPr>
        <w:t>Instructions and Measurement</w:t>
      </w:r>
    </w:p>
    <w:p w14:paraId="42608CC1" w14:textId="182D7ADF" w:rsidR="00CC634E" w:rsidRPr="005C29F8" w:rsidRDefault="00CC634E" w:rsidP="004369B2">
      <w:pPr>
        <w:rPr>
          <w:color w:val="000000" w:themeColor="text1"/>
        </w:rPr>
      </w:pPr>
      <w:r w:rsidRPr="005C29F8">
        <w:rPr>
          <w:b/>
          <w:color w:val="000000" w:themeColor="text1"/>
        </w:rPr>
        <w:t>Monitoring Priority:</w:t>
      </w:r>
      <w:r w:rsidRPr="005C29F8">
        <w:rPr>
          <w:color w:val="000000" w:themeColor="text1"/>
        </w:rPr>
        <w:t xml:space="preserve"> FAPE in the LRE</w:t>
      </w:r>
    </w:p>
    <w:p w14:paraId="090EFEAD" w14:textId="77777777" w:rsidR="009C613A" w:rsidRPr="005C29F8" w:rsidRDefault="00CC634E" w:rsidP="006424B2">
      <w:pPr>
        <w:rPr>
          <w:rFonts w:cs="Arial"/>
          <w:color w:val="000000" w:themeColor="text1"/>
          <w:szCs w:val="16"/>
        </w:rPr>
      </w:pPr>
      <w:r w:rsidRPr="005C29F8">
        <w:rPr>
          <w:rFonts w:cs="Arial"/>
          <w:b/>
          <w:color w:val="000000" w:themeColor="text1"/>
          <w:szCs w:val="16"/>
        </w:rPr>
        <w:t>Results indicator:</w:t>
      </w:r>
      <w:r w:rsidR="00131842" w:rsidRPr="005C29F8">
        <w:rPr>
          <w:rFonts w:cs="Arial"/>
          <w:color w:val="000000" w:themeColor="text1"/>
          <w:szCs w:val="16"/>
        </w:rPr>
        <w:t xml:space="preserve"> </w:t>
      </w:r>
      <w:r w:rsidRPr="005C29F8">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5C29F8" w:rsidRDefault="00CC634E" w:rsidP="006424B2">
      <w:pPr>
        <w:rPr>
          <w:rFonts w:cs="Arial"/>
          <w:color w:val="000000" w:themeColor="text1"/>
          <w:szCs w:val="16"/>
        </w:rPr>
      </w:pPr>
      <w:r w:rsidRPr="005C29F8">
        <w:rPr>
          <w:rFonts w:cs="Arial"/>
          <w:color w:val="000000" w:themeColor="text1"/>
          <w:szCs w:val="16"/>
        </w:rPr>
        <w:t>(20 U.S.C. 1416(a)(3)(A))</w:t>
      </w:r>
    </w:p>
    <w:p w14:paraId="59F98396" w14:textId="77777777" w:rsidR="009C613A" w:rsidRPr="005C29F8" w:rsidRDefault="009C613A" w:rsidP="004369B2">
      <w:pPr>
        <w:rPr>
          <w:color w:val="000000" w:themeColor="text1"/>
        </w:rPr>
      </w:pPr>
      <w:r w:rsidRPr="005C29F8">
        <w:rPr>
          <w:b/>
          <w:color w:val="000000" w:themeColor="text1"/>
        </w:rPr>
        <w:t>Data Source</w:t>
      </w:r>
    </w:p>
    <w:p w14:paraId="543A03AF" w14:textId="13B8F95C" w:rsidR="009C613A" w:rsidRPr="005C29F8" w:rsidRDefault="009C613A" w:rsidP="00286BDF">
      <w:pPr>
        <w:rPr>
          <w:rFonts w:cs="Arial"/>
          <w:color w:val="000000" w:themeColor="text1"/>
          <w:szCs w:val="16"/>
        </w:rPr>
      </w:pPr>
      <w:r w:rsidRPr="005C29F8">
        <w:rPr>
          <w:rFonts w:cs="Arial"/>
          <w:color w:val="000000" w:themeColor="text1"/>
          <w:szCs w:val="16"/>
        </w:rPr>
        <w:t>State selected data source.</w:t>
      </w:r>
    </w:p>
    <w:p w14:paraId="50AC2385" w14:textId="77777777" w:rsidR="009C613A" w:rsidRPr="005C29F8" w:rsidRDefault="009C613A" w:rsidP="004369B2">
      <w:pPr>
        <w:rPr>
          <w:color w:val="000000" w:themeColor="text1"/>
        </w:rPr>
      </w:pPr>
      <w:r w:rsidRPr="005C29F8">
        <w:rPr>
          <w:b/>
          <w:color w:val="000000" w:themeColor="text1"/>
        </w:rPr>
        <w:t>Measurement</w:t>
      </w:r>
    </w:p>
    <w:p w14:paraId="5E1A0E28" w14:textId="46D6A5D9" w:rsidR="009C613A" w:rsidRPr="005C29F8" w:rsidRDefault="009C613A" w:rsidP="00286BDF">
      <w:pPr>
        <w:rPr>
          <w:rFonts w:cs="Arial"/>
          <w:color w:val="000000" w:themeColor="text1"/>
          <w:szCs w:val="16"/>
        </w:rPr>
      </w:pPr>
      <w:r w:rsidRPr="005C29F8">
        <w:rPr>
          <w:rFonts w:cs="Arial"/>
          <w:color w:val="000000" w:themeColor="text1"/>
          <w:szCs w:val="16"/>
        </w:rPr>
        <w:t>Percent</w:t>
      </w:r>
      <w:r w:rsidRPr="005C29F8">
        <w:rPr>
          <w:rFonts w:cs="Arial"/>
          <w:color w:val="000000" w:themeColor="text1"/>
          <w:szCs w:val="16"/>
          <w:shd w:val="clear" w:color="auto" w:fill="FFFFFF"/>
        </w:rPr>
        <w:t xml:space="preserve"> = </w:t>
      </w:r>
      <w:r w:rsidR="00655C91" w:rsidRPr="005C29F8">
        <w:rPr>
          <w:rFonts w:cs="Arial"/>
          <w:color w:val="000000" w:themeColor="text1"/>
          <w:szCs w:val="16"/>
          <w:shd w:val="clear" w:color="auto" w:fill="FFFFFF"/>
        </w:rPr>
        <w:t>[</w:t>
      </w:r>
      <w:r w:rsidRPr="005C29F8">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5C29F8">
        <w:rPr>
          <w:rFonts w:cs="Arial"/>
          <w:color w:val="000000" w:themeColor="text1"/>
          <w:szCs w:val="16"/>
          <w:shd w:val="clear" w:color="auto" w:fill="FFFFFF"/>
        </w:rPr>
        <w:t>]</w:t>
      </w:r>
      <w:r w:rsidRPr="005C29F8">
        <w:rPr>
          <w:rFonts w:cs="Arial"/>
          <w:color w:val="000000" w:themeColor="text1"/>
          <w:szCs w:val="16"/>
          <w:shd w:val="clear" w:color="auto" w:fill="FFFFFF"/>
        </w:rPr>
        <w:t xml:space="preserve"> times 100.</w:t>
      </w:r>
    </w:p>
    <w:p w14:paraId="289E0D18" w14:textId="5D04C177" w:rsidR="009C613A" w:rsidRPr="005C29F8" w:rsidRDefault="009C613A" w:rsidP="004369B2">
      <w:pPr>
        <w:rPr>
          <w:color w:val="000000" w:themeColor="text1"/>
        </w:rPr>
      </w:pPr>
      <w:r w:rsidRPr="005C29F8">
        <w:rPr>
          <w:b/>
          <w:color w:val="000000" w:themeColor="text1"/>
        </w:rPr>
        <w:t>Instructions</w:t>
      </w:r>
    </w:p>
    <w:p w14:paraId="60A1EAFB" w14:textId="77777777" w:rsidR="002D7AD6" w:rsidRPr="005C29F8" w:rsidRDefault="002D7AD6" w:rsidP="00286BDF">
      <w:pPr>
        <w:rPr>
          <w:rFonts w:cs="Arial"/>
          <w:color w:val="000000" w:themeColor="text1"/>
          <w:szCs w:val="16"/>
        </w:rPr>
      </w:pPr>
      <w:r w:rsidRPr="005C29F8">
        <w:rPr>
          <w:rFonts w:cs="Arial"/>
          <w:color w:val="000000" w:themeColor="text1"/>
          <w:szCs w:val="16"/>
        </w:rPr>
        <w:t>Sampling </w:t>
      </w:r>
      <w:r w:rsidRPr="005C29F8">
        <w:rPr>
          <w:rFonts w:cs="Arial"/>
          <w:b/>
          <w:bCs/>
          <w:color w:val="000000" w:themeColor="text1"/>
          <w:szCs w:val="16"/>
        </w:rPr>
        <w:t>of parents from whom response is requested</w:t>
      </w:r>
      <w:r w:rsidRPr="005C29F8">
        <w:rPr>
          <w:rFonts w:cs="Arial"/>
          <w:color w:val="000000" w:themeColor="text1"/>
          <w:szCs w:val="16"/>
        </w:rPr>
        <w:t> is allowed. When sampling is used, submit a description of the sampling methodology outlining how the design will yield valid and reliable estimates. (See </w:t>
      </w:r>
      <w:r w:rsidRPr="005C29F8">
        <w:rPr>
          <w:rFonts w:cs="Arial"/>
          <w:color w:val="000000" w:themeColor="text1"/>
          <w:szCs w:val="16"/>
          <w:u w:val="single"/>
        </w:rPr>
        <w:t>General Instructions</w:t>
      </w:r>
      <w:r w:rsidRPr="005C29F8">
        <w:rPr>
          <w:rFonts w:cs="Arial"/>
          <w:color w:val="000000" w:themeColor="text1"/>
          <w:szCs w:val="16"/>
        </w:rPr>
        <w:t> on page 2 for additional instructions on sampling.)</w:t>
      </w:r>
    </w:p>
    <w:p w14:paraId="3EC08FBA" w14:textId="77777777" w:rsidR="002D7AD6" w:rsidRPr="005C29F8" w:rsidRDefault="002D7AD6" w:rsidP="00286BDF">
      <w:pPr>
        <w:rPr>
          <w:rFonts w:cs="Arial"/>
          <w:color w:val="000000" w:themeColor="text1"/>
          <w:szCs w:val="16"/>
        </w:rPr>
      </w:pPr>
      <w:r w:rsidRPr="005C29F8">
        <w:rPr>
          <w:rFonts w:cs="Arial"/>
          <w:color w:val="000000" w:themeColor="text1"/>
          <w:szCs w:val="16"/>
        </w:rPr>
        <w:t>Describe the results of the calculations and compare the results to the target.</w:t>
      </w:r>
    </w:p>
    <w:p w14:paraId="7C56A5AA" w14:textId="77777777" w:rsidR="002D7AD6" w:rsidRPr="005C29F8" w:rsidRDefault="002D7AD6" w:rsidP="00286BDF">
      <w:pPr>
        <w:rPr>
          <w:rFonts w:cs="Arial"/>
          <w:color w:val="000000" w:themeColor="text1"/>
          <w:szCs w:val="16"/>
        </w:rPr>
      </w:pPr>
      <w:r w:rsidRPr="005C29F8">
        <w:rPr>
          <w:rFonts w:cs="Arial"/>
          <w:color w:val="000000" w:themeColor="text1"/>
          <w:szCs w:val="16"/>
        </w:rPr>
        <w:t>Provide the actual numbers used in the calculation.</w:t>
      </w:r>
    </w:p>
    <w:p w14:paraId="231E5575" w14:textId="77777777" w:rsidR="002D7AD6" w:rsidRPr="005C29F8" w:rsidRDefault="002D7AD6" w:rsidP="00286BDF">
      <w:pPr>
        <w:rPr>
          <w:rFonts w:cs="Arial"/>
          <w:color w:val="000000" w:themeColor="text1"/>
          <w:szCs w:val="16"/>
        </w:rPr>
      </w:pPr>
      <w:r w:rsidRPr="005C29F8">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5C29F8" w:rsidRDefault="002D7AD6" w:rsidP="00286BDF">
      <w:pPr>
        <w:rPr>
          <w:rFonts w:cs="Arial"/>
          <w:color w:val="000000" w:themeColor="text1"/>
          <w:szCs w:val="16"/>
        </w:rPr>
      </w:pPr>
      <w:r w:rsidRPr="005C29F8">
        <w:rPr>
          <w:rFonts w:cs="Arial"/>
          <w:color w:val="000000" w:themeColor="text1"/>
          <w:szCs w:val="16"/>
        </w:rPr>
        <w:t>While a survey is not required for this indicator, a State using a survey must submit a copy of any new or revised survey with its SPP/APR.</w:t>
      </w:r>
    </w:p>
    <w:p w14:paraId="58476F67" w14:textId="77777777" w:rsidR="002D7AD6" w:rsidRPr="005C29F8" w:rsidRDefault="002D7AD6" w:rsidP="00286BDF">
      <w:pPr>
        <w:rPr>
          <w:rFonts w:cs="Arial"/>
          <w:color w:val="000000" w:themeColor="text1"/>
          <w:szCs w:val="16"/>
        </w:rPr>
      </w:pPr>
      <w:r w:rsidRPr="005C29F8">
        <w:rPr>
          <w:rFonts w:cs="Arial"/>
          <w:color w:val="000000" w:themeColor="text1"/>
          <w:szCs w:val="16"/>
        </w:rPr>
        <w:t>Report the number of parents to whom the surveys were distributed.</w:t>
      </w:r>
    </w:p>
    <w:p w14:paraId="47899836" w14:textId="77777777" w:rsidR="002D7AD6" w:rsidRPr="005C29F8" w:rsidRDefault="002D7AD6" w:rsidP="00286BDF">
      <w:pPr>
        <w:rPr>
          <w:rFonts w:cs="Arial"/>
          <w:color w:val="000000" w:themeColor="text1"/>
          <w:szCs w:val="16"/>
        </w:rPr>
      </w:pPr>
      <w:r w:rsidRPr="005C29F8">
        <w:rPr>
          <w:rFonts w:cs="Arial"/>
          <w:color w:val="000000" w:themeColor="text1"/>
          <w:szCs w:val="16"/>
        </w:rPr>
        <w:t>Include the State’s analysis of the extent to which the demographics of the parents responding are representative of the demographics of children receiving special education services. States should consider categories such as race and ethnicity, age of the student, disability category, and geographic location in the State.</w:t>
      </w:r>
    </w:p>
    <w:p w14:paraId="04A128A3" w14:textId="77777777" w:rsidR="002D7AD6" w:rsidRPr="005C29F8" w:rsidRDefault="002D7AD6" w:rsidP="00286BDF">
      <w:pPr>
        <w:rPr>
          <w:rFonts w:cs="Arial"/>
          <w:color w:val="000000" w:themeColor="text1"/>
          <w:szCs w:val="16"/>
        </w:rPr>
      </w:pPr>
      <w:r w:rsidRPr="005C29F8">
        <w:rPr>
          <w:rFonts w:cs="Arial"/>
          <w:color w:val="000000" w:themeColor="text1"/>
          <w:szCs w:val="16"/>
        </w:rPr>
        <w:t>If the analysis shows that the demographics of the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w:t>
      </w:r>
    </w:p>
    <w:p w14:paraId="38028E97" w14:textId="3CEA9087" w:rsidR="009C613A" w:rsidRPr="005C29F8" w:rsidRDefault="002D7AD6" w:rsidP="00286BDF">
      <w:pPr>
        <w:rPr>
          <w:rFonts w:cs="Arial"/>
          <w:color w:val="000000" w:themeColor="text1"/>
          <w:szCs w:val="16"/>
        </w:rPr>
      </w:pPr>
      <w:r w:rsidRPr="005C29F8">
        <w:rPr>
          <w:rFonts w:cs="Arial"/>
          <w:color w:val="000000" w:themeColor="text1"/>
          <w:szCs w:val="16"/>
        </w:rPr>
        <w:t>States are encouraged to work in collaboration with their OSEP-funded parent centers in collecting data.</w:t>
      </w:r>
    </w:p>
    <w:p w14:paraId="2EF00B98" w14:textId="1D44A6D0" w:rsidR="000B547A" w:rsidRPr="0033429D" w:rsidRDefault="00752BAF" w:rsidP="008645AD">
      <w:pPr>
        <w:pStyle w:val="Heading2"/>
      </w:pPr>
      <w:r w:rsidRPr="0033429D">
        <w:t>8</w:t>
      </w:r>
      <w:r w:rsidR="001F6BAA" w:rsidRPr="0033429D">
        <w:t xml:space="preserve"> </w:t>
      </w:r>
      <w:r w:rsidRPr="0033429D">
        <w:t xml:space="preserve">- </w:t>
      </w:r>
      <w:r w:rsidR="000B547A" w:rsidRPr="0033429D">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5C29F8" w14:paraId="74873645" w14:textId="77777777" w:rsidTr="0033429D">
        <w:trPr>
          <w:tblHeader/>
        </w:trPr>
        <w:tc>
          <w:tcPr>
            <w:tcW w:w="8324" w:type="dxa"/>
          </w:tcPr>
          <w:p w14:paraId="08995901" w14:textId="6A8EBD47" w:rsidR="000B547A" w:rsidRPr="0033429D" w:rsidRDefault="002E111A" w:rsidP="00286BDF">
            <w:pPr>
              <w:rPr>
                <w:rFonts w:cs="Arial"/>
                <w:b/>
                <w:bCs/>
                <w:color w:val="000000" w:themeColor="text1"/>
                <w:szCs w:val="16"/>
              </w:rPr>
            </w:pPr>
            <w:r w:rsidRPr="0033429D">
              <w:rPr>
                <w:rFonts w:cs="Arial"/>
                <w:b/>
                <w:bCs/>
                <w:color w:val="000000" w:themeColor="text1"/>
                <w:szCs w:val="16"/>
              </w:rPr>
              <w:t>Question</w:t>
            </w:r>
          </w:p>
        </w:tc>
        <w:tc>
          <w:tcPr>
            <w:tcW w:w="2476" w:type="dxa"/>
          </w:tcPr>
          <w:p w14:paraId="7DF826E5" w14:textId="55897261" w:rsidR="000B547A" w:rsidRPr="005C29F8" w:rsidRDefault="000B547A" w:rsidP="001011BB">
            <w:pPr>
              <w:jc w:val="center"/>
              <w:rPr>
                <w:rFonts w:cs="Arial"/>
                <w:b/>
                <w:color w:val="000000" w:themeColor="text1"/>
                <w:szCs w:val="16"/>
              </w:rPr>
            </w:pPr>
            <w:r w:rsidRPr="005C29F8">
              <w:rPr>
                <w:rFonts w:cs="Arial"/>
                <w:b/>
                <w:color w:val="000000" w:themeColor="text1"/>
                <w:szCs w:val="16"/>
              </w:rPr>
              <w:t xml:space="preserve">Yes / No </w:t>
            </w:r>
          </w:p>
        </w:tc>
      </w:tr>
      <w:tr w:rsidR="005C29F8" w:rsidRPr="005C29F8" w14:paraId="1461C216" w14:textId="7FAEFB03" w:rsidTr="00487CBD">
        <w:trPr>
          <w:trHeight w:val="215"/>
        </w:trPr>
        <w:tc>
          <w:tcPr>
            <w:tcW w:w="8324" w:type="dxa"/>
          </w:tcPr>
          <w:p w14:paraId="443084C1" w14:textId="2A55FAF5" w:rsidR="000B547A" w:rsidRPr="005C29F8" w:rsidRDefault="000B547A" w:rsidP="00286BDF">
            <w:pPr>
              <w:rPr>
                <w:rFonts w:cs="Arial"/>
                <w:color w:val="000000" w:themeColor="text1"/>
                <w:szCs w:val="16"/>
              </w:rPr>
            </w:pPr>
            <w:r w:rsidRPr="005C29F8">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5C29F8" w:rsidRDefault="002B7490" w:rsidP="00A018D4">
            <w:pPr>
              <w:jc w:val="center"/>
              <w:rPr>
                <w:rFonts w:cs="Arial"/>
                <w:color w:val="000000" w:themeColor="text1"/>
                <w:szCs w:val="16"/>
              </w:rPr>
            </w:pPr>
            <w:r w:rsidRPr="005C29F8">
              <w:rPr>
                <w:rFonts w:cs="Arial"/>
                <w:color w:val="000000" w:themeColor="text1"/>
                <w:szCs w:val="16"/>
              </w:rPr>
              <w:t>NO</w:t>
            </w:r>
          </w:p>
        </w:tc>
      </w:tr>
    </w:tbl>
    <w:bookmarkEnd w:id="38"/>
    <w:p w14:paraId="4CE8E077" w14:textId="24912129" w:rsidR="00487CBD" w:rsidRDefault="00487CBD" w:rsidP="00487CBD">
      <w:pPr>
        <w:rPr>
          <w:b/>
          <w:color w:val="000000" w:themeColor="text1"/>
        </w:rPr>
      </w:pPr>
      <w:r w:rsidRPr="005C29F8">
        <w:rPr>
          <w:b/>
          <w:color w:val="000000" w:themeColor="text1"/>
        </w:rPr>
        <w:t xml:space="preserve">Targets: Description of Stakeholder Input </w:t>
      </w:r>
    </w:p>
    <w:p w14:paraId="1CF8039C" w14:textId="30DA616B" w:rsidR="00487CBD" w:rsidRDefault="00487CBD" w:rsidP="00487CBD">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71AF2AFF" w14:textId="77777777" w:rsidR="00487CBD" w:rsidRPr="005C29F8" w:rsidRDefault="00487CBD" w:rsidP="00487CBD">
      <w:pPr>
        <w:rPr>
          <w:rFonts w:cs="Arial"/>
          <w:color w:val="000000" w:themeColor="text1"/>
          <w:szCs w:val="16"/>
        </w:rPr>
      </w:pPr>
      <w:r w:rsidRPr="005C29F8">
        <w:rPr>
          <w:rFonts w:cs="Arial"/>
          <w:color w:val="000000" w:themeColor="text1"/>
          <w:szCs w:val="16"/>
        </w:rPr>
        <w:t>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schools, and educational collaboratives; representatives of higher education; and health care and related service providers.</w:t>
      </w:r>
      <w:r w:rsidRPr="005C29F8">
        <w:rPr>
          <w:rFonts w:cs="Arial"/>
          <w:color w:val="000000" w:themeColor="text1"/>
          <w:szCs w:val="16"/>
        </w:rPr>
        <w:br/>
      </w:r>
      <w:r w:rsidRPr="005C29F8">
        <w:rPr>
          <w:rFonts w:cs="Arial"/>
          <w:color w:val="000000" w:themeColor="text1"/>
          <w:szCs w:val="16"/>
        </w:rPr>
        <w:br/>
        <w:t>The SEAP met most recently in January 2021 to review current data and discuss future actions to improve the State’s performance and stakeholders participated in discussions regarding Indicator 8 data, representativeness, and strategies to better engage families at the state and local level. The groups also assessed the application of the Family, School, and Community Partnership Fundamentals (June 2012) (see http://www.doe.mass.edu/sfs/fscp-fundamentals.docx) in evaluating appropriate targets for Indicator 8.  MA DESE also convenes stakeholder working groups throughout the year to provide focused input on specific projects and policy priorities. MA DESE also consults with educators, parents, advocates, and other stakeholders on an ad hoc basis to inform policy and practice. Stakeholder engagement is an essential component of MA DESE’s special education agenda.</w:t>
      </w:r>
    </w:p>
    <w:p w14:paraId="339F3968" w14:textId="6278D154" w:rsidR="008B600B" w:rsidRPr="005C29F8" w:rsidRDefault="008B600B" w:rsidP="004369B2">
      <w:pPr>
        <w:rPr>
          <w:rFonts w:cs="Arial"/>
          <w:color w:val="000000" w:themeColor="text1"/>
          <w:szCs w:val="16"/>
        </w:rPr>
      </w:pPr>
    </w:p>
    <w:p w14:paraId="39D78FC4" w14:textId="60D247B6" w:rsidR="00ED0065" w:rsidRDefault="00ED0065" w:rsidP="004369B2">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14:paraId="4FD416E2" w14:textId="77777777" w:rsidTr="00123D76">
        <w:trPr>
          <w:trHeight w:val="311"/>
          <w:tblHeader/>
        </w:trPr>
        <w:tc>
          <w:tcPr>
            <w:tcW w:w="1797" w:type="dxa"/>
          </w:tcPr>
          <w:p w14:paraId="30EEE37E" w14:textId="77777777" w:rsidR="002E111A" w:rsidRDefault="002E111A" w:rsidP="00123D76">
            <w:pPr>
              <w:jc w:val="center"/>
              <w:rPr>
                <w:b/>
                <w:color w:val="000000" w:themeColor="text1"/>
              </w:rPr>
            </w:pPr>
            <w:r w:rsidRPr="005C29F8">
              <w:rPr>
                <w:rFonts w:cs="Arial"/>
                <w:b/>
                <w:color w:val="000000" w:themeColor="text1"/>
                <w:szCs w:val="16"/>
              </w:rPr>
              <w:lastRenderedPageBreak/>
              <w:t>Baseline Year</w:t>
            </w:r>
          </w:p>
        </w:tc>
        <w:tc>
          <w:tcPr>
            <w:tcW w:w="1798" w:type="dxa"/>
          </w:tcPr>
          <w:p w14:paraId="579A26EC" w14:textId="77777777" w:rsidR="002E111A" w:rsidRDefault="002E111A" w:rsidP="00123D76">
            <w:pPr>
              <w:jc w:val="center"/>
              <w:rPr>
                <w:b/>
                <w:color w:val="000000" w:themeColor="text1"/>
              </w:rPr>
            </w:pPr>
            <w:r>
              <w:rPr>
                <w:b/>
                <w:color w:val="000000" w:themeColor="text1"/>
              </w:rPr>
              <w:t>Baseline Data</w:t>
            </w:r>
          </w:p>
        </w:tc>
      </w:tr>
      <w:tr w:rsidR="002E111A" w14:paraId="7FB18E4F" w14:textId="77777777" w:rsidTr="00123D76">
        <w:trPr>
          <w:trHeight w:val="311"/>
        </w:trPr>
        <w:tc>
          <w:tcPr>
            <w:tcW w:w="1797" w:type="dxa"/>
            <w:vAlign w:val="center"/>
          </w:tcPr>
          <w:p w14:paraId="167EAC34" w14:textId="69ED71A1" w:rsidR="002E111A" w:rsidRPr="00227D4B" w:rsidRDefault="002E111A" w:rsidP="00123D76">
            <w:pPr>
              <w:jc w:val="center"/>
              <w:rPr>
                <w:bCs/>
                <w:color w:val="000000" w:themeColor="text1"/>
              </w:rPr>
            </w:pPr>
            <w:r w:rsidRPr="00227D4B">
              <w:rPr>
                <w:bCs/>
                <w:color w:val="000000" w:themeColor="text1"/>
              </w:rPr>
              <w:t>2018</w:t>
            </w:r>
          </w:p>
        </w:tc>
        <w:tc>
          <w:tcPr>
            <w:tcW w:w="1798" w:type="dxa"/>
            <w:vAlign w:val="center"/>
          </w:tcPr>
          <w:p w14:paraId="14A1010A" w14:textId="403EDC7C" w:rsidR="002E111A" w:rsidRPr="00227D4B" w:rsidRDefault="002E111A" w:rsidP="00123D76">
            <w:pPr>
              <w:jc w:val="center"/>
              <w:rPr>
                <w:bCs/>
                <w:color w:val="000000" w:themeColor="text1"/>
              </w:rPr>
            </w:pPr>
            <w:r w:rsidRPr="00227D4B">
              <w:rPr>
                <w:bCs/>
                <w:color w:val="000000" w:themeColor="text1"/>
              </w:rPr>
              <w:t>89.00%</w:t>
            </w:r>
          </w:p>
        </w:tc>
      </w:tr>
    </w:tbl>
    <w:p w14:paraId="79684A14" w14:textId="77777777" w:rsidR="002E111A" w:rsidRPr="005C29F8"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5C29F8" w14:paraId="06FA8C8B" w14:textId="77777777" w:rsidTr="0033429D">
        <w:trPr>
          <w:trHeight w:val="287"/>
        </w:trPr>
        <w:tc>
          <w:tcPr>
            <w:tcW w:w="833" w:type="pct"/>
            <w:tcBorders>
              <w:bottom w:val="single" w:sz="4" w:space="0" w:color="auto"/>
            </w:tcBorders>
            <w:shd w:val="clear" w:color="auto" w:fill="auto"/>
          </w:tcPr>
          <w:p w14:paraId="31735078" w14:textId="77777777" w:rsidR="00FB6462" w:rsidRPr="005C29F8" w:rsidRDefault="00FB6462" w:rsidP="0033429D">
            <w:pPr>
              <w:jc w:val="center"/>
              <w:rPr>
                <w:rFonts w:cs="Arial"/>
                <w:b/>
                <w:color w:val="000000" w:themeColor="text1"/>
                <w:szCs w:val="16"/>
              </w:rPr>
            </w:pPr>
            <w:r w:rsidRPr="005C29F8">
              <w:rPr>
                <w:rFonts w:cs="Arial"/>
                <w:b/>
                <w:color w:val="000000" w:themeColor="text1"/>
                <w:szCs w:val="16"/>
              </w:rPr>
              <w:t>FFY</w:t>
            </w:r>
          </w:p>
        </w:tc>
        <w:tc>
          <w:tcPr>
            <w:tcW w:w="833" w:type="pct"/>
            <w:shd w:val="clear" w:color="auto" w:fill="auto"/>
          </w:tcPr>
          <w:p w14:paraId="2FE2E19D" w14:textId="1650DFDD" w:rsidR="00FB6462" w:rsidRPr="005C29F8" w:rsidRDefault="002B7490" w:rsidP="00DC263A">
            <w:pPr>
              <w:jc w:val="center"/>
              <w:rPr>
                <w:rFonts w:cs="Arial"/>
                <w:b/>
                <w:color w:val="000000" w:themeColor="text1"/>
                <w:szCs w:val="16"/>
              </w:rPr>
            </w:pPr>
            <w:r w:rsidRPr="005C29F8">
              <w:rPr>
                <w:rFonts w:cs="Arial"/>
                <w:b/>
                <w:color w:val="000000" w:themeColor="text1"/>
                <w:szCs w:val="16"/>
              </w:rPr>
              <w:t>2014</w:t>
            </w:r>
          </w:p>
        </w:tc>
        <w:tc>
          <w:tcPr>
            <w:tcW w:w="833" w:type="pct"/>
            <w:shd w:val="clear" w:color="auto" w:fill="auto"/>
          </w:tcPr>
          <w:p w14:paraId="2DF60B98" w14:textId="1CF7D6BE" w:rsidR="00FB6462" w:rsidRPr="005C29F8" w:rsidRDefault="002B7490" w:rsidP="00DC263A">
            <w:pPr>
              <w:keepNext/>
              <w:jc w:val="center"/>
              <w:rPr>
                <w:rFonts w:cs="Arial"/>
                <w:b/>
                <w:color w:val="000000" w:themeColor="text1"/>
                <w:szCs w:val="16"/>
              </w:rPr>
            </w:pPr>
            <w:r w:rsidRPr="005C29F8">
              <w:rPr>
                <w:rFonts w:cs="Arial"/>
                <w:b/>
                <w:color w:val="000000" w:themeColor="text1"/>
                <w:szCs w:val="16"/>
              </w:rPr>
              <w:t>2015</w:t>
            </w:r>
          </w:p>
        </w:tc>
        <w:tc>
          <w:tcPr>
            <w:tcW w:w="833" w:type="pct"/>
            <w:shd w:val="clear" w:color="auto" w:fill="auto"/>
          </w:tcPr>
          <w:p w14:paraId="53278B9A" w14:textId="6050DB27" w:rsidR="00FB6462" w:rsidRPr="005C29F8" w:rsidRDefault="002B7490" w:rsidP="00DC263A">
            <w:pPr>
              <w:jc w:val="center"/>
              <w:rPr>
                <w:rFonts w:cs="Arial"/>
                <w:b/>
                <w:color w:val="000000" w:themeColor="text1"/>
                <w:szCs w:val="16"/>
              </w:rPr>
            </w:pPr>
            <w:r w:rsidRPr="005C29F8">
              <w:rPr>
                <w:rFonts w:cs="Arial"/>
                <w:b/>
                <w:color w:val="000000" w:themeColor="text1"/>
                <w:szCs w:val="16"/>
              </w:rPr>
              <w:t>2016</w:t>
            </w:r>
          </w:p>
        </w:tc>
        <w:tc>
          <w:tcPr>
            <w:tcW w:w="833" w:type="pct"/>
            <w:shd w:val="clear" w:color="auto" w:fill="auto"/>
          </w:tcPr>
          <w:p w14:paraId="2F23746E" w14:textId="403244A2" w:rsidR="00FB6462" w:rsidRPr="005C29F8" w:rsidRDefault="002B7490" w:rsidP="00DC263A">
            <w:pPr>
              <w:jc w:val="center"/>
              <w:rPr>
                <w:rFonts w:cs="Arial"/>
                <w:b/>
                <w:color w:val="000000" w:themeColor="text1"/>
                <w:szCs w:val="16"/>
              </w:rPr>
            </w:pPr>
            <w:r w:rsidRPr="005C29F8">
              <w:rPr>
                <w:rFonts w:cs="Arial"/>
                <w:b/>
                <w:color w:val="000000" w:themeColor="text1"/>
                <w:szCs w:val="16"/>
              </w:rPr>
              <w:t>2017</w:t>
            </w:r>
          </w:p>
        </w:tc>
        <w:tc>
          <w:tcPr>
            <w:tcW w:w="834" w:type="pct"/>
            <w:shd w:val="clear" w:color="auto" w:fill="auto"/>
          </w:tcPr>
          <w:p w14:paraId="7E365F7F" w14:textId="686F85A1" w:rsidR="00FB6462" w:rsidRPr="005C29F8" w:rsidRDefault="002B7490" w:rsidP="00DC263A">
            <w:pPr>
              <w:jc w:val="center"/>
              <w:rPr>
                <w:rFonts w:cs="Arial"/>
                <w:b/>
                <w:color w:val="000000" w:themeColor="text1"/>
                <w:szCs w:val="16"/>
              </w:rPr>
            </w:pPr>
            <w:r w:rsidRPr="005C29F8">
              <w:rPr>
                <w:rFonts w:cs="Arial"/>
                <w:b/>
                <w:color w:val="000000" w:themeColor="text1"/>
                <w:szCs w:val="16"/>
              </w:rPr>
              <w:t>2018</w:t>
            </w:r>
          </w:p>
        </w:tc>
      </w:tr>
      <w:tr w:rsidR="005C29F8" w:rsidRPr="005C29F8" w14:paraId="040D0378" w14:textId="77777777" w:rsidTr="0033429D">
        <w:trPr>
          <w:trHeight w:val="357"/>
        </w:trPr>
        <w:tc>
          <w:tcPr>
            <w:tcW w:w="833" w:type="pct"/>
            <w:shd w:val="clear" w:color="auto" w:fill="auto"/>
          </w:tcPr>
          <w:p w14:paraId="54EE5848" w14:textId="7260CA74" w:rsidR="00FB6462" w:rsidRPr="005C29F8" w:rsidRDefault="00FB6462" w:rsidP="005A338D">
            <w:pPr>
              <w:rPr>
                <w:rFonts w:cs="Arial"/>
                <w:color w:val="000000" w:themeColor="text1"/>
                <w:szCs w:val="16"/>
              </w:rPr>
            </w:pPr>
            <w:r w:rsidRPr="005C29F8">
              <w:rPr>
                <w:rFonts w:cs="Arial"/>
                <w:color w:val="000000" w:themeColor="text1"/>
                <w:szCs w:val="16"/>
              </w:rPr>
              <w:t>Target &gt;=</w:t>
            </w:r>
          </w:p>
        </w:tc>
        <w:tc>
          <w:tcPr>
            <w:tcW w:w="833" w:type="pct"/>
            <w:shd w:val="clear" w:color="auto" w:fill="auto"/>
          </w:tcPr>
          <w:p w14:paraId="56BDAD4D" w14:textId="1C7EF6C0" w:rsidR="00FB6462" w:rsidRPr="005C29F8" w:rsidRDefault="002B7490" w:rsidP="00A018D4">
            <w:pPr>
              <w:jc w:val="center"/>
              <w:rPr>
                <w:rFonts w:cs="Arial"/>
                <w:color w:val="000000" w:themeColor="text1"/>
                <w:szCs w:val="16"/>
              </w:rPr>
            </w:pPr>
            <w:r w:rsidRPr="005C29F8">
              <w:rPr>
                <w:rFonts w:cs="Arial"/>
                <w:color w:val="000000" w:themeColor="text1"/>
                <w:szCs w:val="16"/>
              </w:rPr>
              <w:t>85.00%</w:t>
            </w:r>
          </w:p>
        </w:tc>
        <w:tc>
          <w:tcPr>
            <w:tcW w:w="833" w:type="pct"/>
            <w:shd w:val="clear" w:color="auto" w:fill="auto"/>
          </w:tcPr>
          <w:p w14:paraId="45AE596F" w14:textId="6983147C" w:rsidR="00FB6462" w:rsidRPr="005C29F8" w:rsidRDefault="002B7490" w:rsidP="00A018D4">
            <w:pPr>
              <w:jc w:val="center"/>
              <w:rPr>
                <w:rFonts w:cs="Arial"/>
                <w:color w:val="000000" w:themeColor="text1"/>
                <w:szCs w:val="16"/>
              </w:rPr>
            </w:pPr>
            <w:r w:rsidRPr="005C29F8">
              <w:rPr>
                <w:rFonts w:cs="Arial"/>
                <w:color w:val="000000" w:themeColor="text1"/>
                <w:szCs w:val="16"/>
              </w:rPr>
              <w:t>85.00%</w:t>
            </w:r>
          </w:p>
        </w:tc>
        <w:tc>
          <w:tcPr>
            <w:tcW w:w="833" w:type="pct"/>
            <w:shd w:val="clear" w:color="auto" w:fill="auto"/>
            <w:vAlign w:val="center"/>
          </w:tcPr>
          <w:p w14:paraId="4CA9D7D5" w14:textId="26724736" w:rsidR="00FB6462" w:rsidRPr="005C29F8" w:rsidRDefault="002B7490" w:rsidP="00A018D4">
            <w:pPr>
              <w:jc w:val="center"/>
              <w:rPr>
                <w:rFonts w:cs="Arial"/>
                <w:color w:val="000000" w:themeColor="text1"/>
                <w:szCs w:val="16"/>
              </w:rPr>
            </w:pPr>
            <w:r w:rsidRPr="005C29F8">
              <w:rPr>
                <w:rFonts w:cs="Arial"/>
                <w:color w:val="000000" w:themeColor="text1"/>
                <w:szCs w:val="16"/>
              </w:rPr>
              <w:t>85.50%</w:t>
            </w:r>
          </w:p>
        </w:tc>
        <w:tc>
          <w:tcPr>
            <w:tcW w:w="833" w:type="pct"/>
            <w:shd w:val="clear" w:color="auto" w:fill="auto"/>
            <w:vAlign w:val="center"/>
          </w:tcPr>
          <w:p w14:paraId="2AC9DE6C" w14:textId="662D879E" w:rsidR="00FB6462" w:rsidRPr="005C29F8" w:rsidRDefault="002B7490" w:rsidP="00A018D4">
            <w:pPr>
              <w:jc w:val="center"/>
              <w:rPr>
                <w:rFonts w:cs="Arial"/>
                <w:color w:val="000000" w:themeColor="text1"/>
                <w:szCs w:val="16"/>
              </w:rPr>
            </w:pPr>
            <w:r w:rsidRPr="005C29F8">
              <w:rPr>
                <w:rFonts w:cs="Arial"/>
                <w:color w:val="000000" w:themeColor="text1"/>
                <w:szCs w:val="16"/>
              </w:rPr>
              <w:t>86.00%</w:t>
            </w:r>
          </w:p>
        </w:tc>
        <w:tc>
          <w:tcPr>
            <w:tcW w:w="834" w:type="pct"/>
            <w:shd w:val="clear" w:color="auto" w:fill="auto"/>
            <w:vAlign w:val="center"/>
          </w:tcPr>
          <w:p w14:paraId="1D66991F" w14:textId="5308C1A9" w:rsidR="00FB6462" w:rsidRPr="005C29F8" w:rsidRDefault="002B7490" w:rsidP="00A018D4">
            <w:pPr>
              <w:jc w:val="center"/>
              <w:rPr>
                <w:rFonts w:cs="Arial"/>
                <w:color w:val="000000" w:themeColor="text1"/>
                <w:szCs w:val="16"/>
              </w:rPr>
            </w:pPr>
            <w:r w:rsidRPr="005C29F8">
              <w:rPr>
                <w:rFonts w:cs="Arial"/>
                <w:color w:val="000000" w:themeColor="text1"/>
                <w:szCs w:val="16"/>
              </w:rPr>
              <w:t>86.50%</w:t>
            </w:r>
          </w:p>
        </w:tc>
      </w:tr>
      <w:tr w:rsidR="005C29F8" w:rsidRPr="005C29F8" w14:paraId="0983C602" w14:textId="77777777" w:rsidTr="0033429D">
        <w:trPr>
          <w:trHeight w:val="85"/>
        </w:trPr>
        <w:tc>
          <w:tcPr>
            <w:tcW w:w="833" w:type="pct"/>
            <w:shd w:val="clear" w:color="auto" w:fill="auto"/>
          </w:tcPr>
          <w:p w14:paraId="024AD7D5" w14:textId="77777777" w:rsidR="00FB6462" w:rsidRPr="005C29F8" w:rsidRDefault="00FB6462" w:rsidP="005A338D">
            <w:pPr>
              <w:rPr>
                <w:rFonts w:cs="Arial"/>
                <w:color w:val="000000" w:themeColor="text1"/>
                <w:szCs w:val="16"/>
              </w:rPr>
            </w:pPr>
            <w:r w:rsidRPr="005C29F8">
              <w:rPr>
                <w:rFonts w:cs="Arial"/>
                <w:color w:val="000000" w:themeColor="text1"/>
                <w:szCs w:val="16"/>
              </w:rPr>
              <w:t>Data</w:t>
            </w:r>
          </w:p>
        </w:tc>
        <w:tc>
          <w:tcPr>
            <w:tcW w:w="833" w:type="pct"/>
            <w:shd w:val="clear" w:color="auto" w:fill="auto"/>
          </w:tcPr>
          <w:p w14:paraId="0C46B390" w14:textId="75A5B1D9" w:rsidR="00FB6462" w:rsidRPr="005C29F8" w:rsidRDefault="002B7490" w:rsidP="00A018D4">
            <w:pPr>
              <w:jc w:val="center"/>
              <w:rPr>
                <w:rFonts w:cs="Arial"/>
                <w:color w:val="000000" w:themeColor="text1"/>
                <w:szCs w:val="16"/>
              </w:rPr>
            </w:pPr>
            <w:r w:rsidRPr="005C29F8">
              <w:rPr>
                <w:rFonts w:cs="Arial"/>
                <w:color w:val="000000" w:themeColor="text1"/>
                <w:szCs w:val="16"/>
              </w:rPr>
              <w:t>84.98%</w:t>
            </w:r>
          </w:p>
        </w:tc>
        <w:tc>
          <w:tcPr>
            <w:tcW w:w="833" w:type="pct"/>
            <w:shd w:val="clear" w:color="auto" w:fill="auto"/>
          </w:tcPr>
          <w:p w14:paraId="0F636319" w14:textId="7C4BA9E9" w:rsidR="00FB6462" w:rsidRPr="005C29F8" w:rsidRDefault="002B7490" w:rsidP="00A018D4">
            <w:pPr>
              <w:jc w:val="center"/>
              <w:rPr>
                <w:rFonts w:cs="Arial"/>
                <w:color w:val="000000" w:themeColor="text1"/>
                <w:szCs w:val="16"/>
              </w:rPr>
            </w:pPr>
            <w:r w:rsidRPr="005C29F8">
              <w:rPr>
                <w:rFonts w:cs="Arial"/>
                <w:color w:val="000000" w:themeColor="text1"/>
                <w:szCs w:val="16"/>
              </w:rPr>
              <w:t>81.01%</w:t>
            </w:r>
          </w:p>
        </w:tc>
        <w:tc>
          <w:tcPr>
            <w:tcW w:w="833" w:type="pct"/>
            <w:tcBorders>
              <w:bottom w:val="single" w:sz="4" w:space="0" w:color="auto"/>
            </w:tcBorders>
            <w:shd w:val="clear" w:color="auto" w:fill="auto"/>
            <w:vAlign w:val="center"/>
          </w:tcPr>
          <w:p w14:paraId="72DD8100" w14:textId="2078A0DC" w:rsidR="00FB6462" w:rsidRPr="005C29F8" w:rsidRDefault="002B7490" w:rsidP="00A018D4">
            <w:pPr>
              <w:jc w:val="center"/>
              <w:rPr>
                <w:rFonts w:cs="Arial"/>
                <w:color w:val="000000" w:themeColor="text1"/>
                <w:szCs w:val="16"/>
              </w:rPr>
            </w:pPr>
            <w:r w:rsidRPr="005C29F8">
              <w:rPr>
                <w:rFonts w:cs="Arial"/>
                <w:color w:val="000000" w:themeColor="text1"/>
                <w:szCs w:val="16"/>
              </w:rPr>
              <w:t>82.94%</w:t>
            </w:r>
          </w:p>
        </w:tc>
        <w:tc>
          <w:tcPr>
            <w:tcW w:w="833" w:type="pct"/>
            <w:tcBorders>
              <w:bottom w:val="single" w:sz="4" w:space="0" w:color="auto"/>
            </w:tcBorders>
            <w:shd w:val="clear" w:color="auto" w:fill="auto"/>
            <w:vAlign w:val="center"/>
          </w:tcPr>
          <w:p w14:paraId="36AAC02B" w14:textId="31D6381A" w:rsidR="00FB6462" w:rsidRPr="005C29F8" w:rsidRDefault="002B7490" w:rsidP="00A018D4">
            <w:pPr>
              <w:jc w:val="center"/>
              <w:rPr>
                <w:rFonts w:cs="Arial"/>
                <w:color w:val="000000" w:themeColor="text1"/>
                <w:szCs w:val="16"/>
              </w:rPr>
            </w:pPr>
            <w:r w:rsidRPr="005C29F8">
              <w:rPr>
                <w:rFonts w:cs="Arial"/>
                <w:color w:val="000000" w:themeColor="text1"/>
                <w:szCs w:val="16"/>
              </w:rPr>
              <w:t>80.82%</w:t>
            </w:r>
          </w:p>
        </w:tc>
        <w:tc>
          <w:tcPr>
            <w:tcW w:w="834" w:type="pct"/>
            <w:tcBorders>
              <w:bottom w:val="single" w:sz="4" w:space="0" w:color="auto"/>
            </w:tcBorders>
            <w:shd w:val="clear" w:color="auto" w:fill="auto"/>
            <w:vAlign w:val="center"/>
          </w:tcPr>
          <w:p w14:paraId="4F9B07B7" w14:textId="7D67594F" w:rsidR="00FB6462" w:rsidRPr="005C29F8" w:rsidRDefault="002B7490" w:rsidP="00A018D4">
            <w:pPr>
              <w:jc w:val="center"/>
              <w:rPr>
                <w:rFonts w:cs="Arial"/>
                <w:color w:val="000000" w:themeColor="text1"/>
                <w:szCs w:val="16"/>
              </w:rPr>
            </w:pPr>
            <w:r w:rsidRPr="005C29F8">
              <w:rPr>
                <w:rFonts w:cs="Arial"/>
                <w:color w:val="000000" w:themeColor="text1"/>
                <w:szCs w:val="16"/>
              </w:rPr>
              <w:t>89.00%</w:t>
            </w:r>
          </w:p>
        </w:tc>
      </w:tr>
    </w:tbl>
    <w:p w14:paraId="0E2D4617" w14:textId="77777777" w:rsidR="000417B4" w:rsidRPr="005C29F8" w:rsidRDefault="000417B4" w:rsidP="004369B2">
      <w:pPr>
        <w:rPr>
          <w:color w:val="000000" w:themeColor="text1"/>
        </w:rPr>
      </w:pPr>
    </w:p>
    <w:p w14:paraId="1F4FFBFE" w14:textId="308C372B" w:rsidR="00FB6462" w:rsidRPr="005C29F8" w:rsidRDefault="00FB6462" w:rsidP="004369B2">
      <w:pPr>
        <w:rPr>
          <w:color w:val="000000" w:themeColor="text1"/>
        </w:rPr>
      </w:pPr>
      <w:r w:rsidRPr="005C29F8">
        <w:rPr>
          <w:b/>
          <w:color w:val="000000" w:themeColor="text1"/>
        </w:rPr>
        <w:t>Targets</w:t>
      </w:r>
    </w:p>
    <w:tbl>
      <w:tblPr>
        <w:tblW w:w="1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985"/>
        <w:gridCol w:w="2159"/>
      </w:tblGrid>
      <w:tr w:rsidR="00F54A50" w:rsidRPr="005C29F8" w14:paraId="77450D85" w14:textId="16CFB679" w:rsidTr="0033429D">
        <w:trPr>
          <w:trHeight w:val="350"/>
        </w:trPr>
        <w:tc>
          <w:tcPr>
            <w:tcW w:w="1566" w:type="pct"/>
            <w:tcBorders>
              <w:bottom w:val="single" w:sz="4" w:space="0" w:color="auto"/>
            </w:tcBorders>
            <w:shd w:val="clear" w:color="auto" w:fill="auto"/>
            <w:vAlign w:val="bottom"/>
          </w:tcPr>
          <w:p w14:paraId="5A82FAC4" w14:textId="77777777" w:rsidR="00F54A50" w:rsidRPr="005C29F8" w:rsidRDefault="00F54A50" w:rsidP="004369B2">
            <w:pPr>
              <w:jc w:val="center"/>
              <w:rPr>
                <w:b/>
                <w:color w:val="000000" w:themeColor="text1"/>
              </w:rPr>
            </w:pPr>
            <w:r w:rsidRPr="005C29F8">
              <w:rPr>
                <w:b/>
                <w:color w:val="000000" w:themeColor="text1"/>
              </w:rPr>
              <w:t>FFY</w:t>
            </w:r>
          </w:p>
        </w:tc>
        <w:tc>
          <w:tcPr>
            <w:tcW w:w="3434" w:type="pct"/>
            <w:shd w:val="clear" w:color="auto" w:fill="auto"/>
            <w:vAlign w:val="bottom"/>
          </w:tcPr>
          <w:p w14:paraId="6DDB1395" w14:textId="489E70A4" w:rsidR="00F54A50" w:rsidRPr="005C29F8" w:rsidRDefault="00F54A50" w:rsidP="004369B2">
            <w:pPr>
              <w:jc w:val="center"/>
              <w:rPr>
                <w:b/>
                <w:color w:val="000000" w:themeColor="text1"/>
              </w:rPr>
            </w:pPr>
            <w:r w:rsidRPr="005C29F8">
              <w:rPr>
                <w:b/>
                <w:color w:val="000000" w:themeColor="text1"/>
              </w:rPr>
              <w:t>2019</w:t>
            </w:r>
          </w:p>
        </w:tc>
      </w:tr>
      <w:tr w:rsidR="00F54A50" w:rsidRPr="005C29F8" w14:paraId="50A2A35E" w14:textId="176DE376" w:rsidTr="0033429D">
        <w:trPr>
          <w:trHeight w:val="357"/>
        </w:trPr>
        <w:tc>
          <w:tcPr>
            <w:tcW w:w="1566" w:type="pct"/>
            <w:shd w:val="clear" w:color="auto" w:fill="auto"/>
          </w:tcPr>
          <w:p w14:paraId="2F249DEE" w14:textId="4AA3473F" w:rsidR="00F54A50" w:rsidRPr="005C29F8" w:rsidRDefault="00F54A50" w:rsidP="005A338D">
            <w:pPr>
              <w:rPr>
                <w:rFonts w:cs="Arial"/>
                <w:color w:val="000000" w:themeColor="text1"/>
                <w:szCs w:val="16"/>
              </w:rPr>
            </w:pPr>
            <w:r w:rsidRPr="005C29F8">
              <w:rPr>
                <w:rFonts w:cs="Arial"/>
                <w:color w:val="000000" w:themeColor="text1"/>
                <w:szCs w:val="16"/>
              </w:rPr>
              <w:t>Target &gt;=</w:t>
            </w:r>
          </w:p>
        </w:tc>
        <w:tc>
          <w:tcPr>
            <w:tcW w:w="3434" w:type="pct"/>
            <w:shd w:val="clear" w:color="auto" w:fill="auto"/>
            <w:vAlign w:val="center"/>
          </w:tcPr>
          <w:p w14:paraId="2ACB7B9E" w14:textId="427B5E78" w:rsidR="00F54A50" w:rsidRPr="005C29F8" w:rsidRDefault="00F54A50" w:rsidP="00A018D4">
            <w:pPr>
              <w:jc w:val="center"/>
              <w:rPr>
                <w:rFonts w:cs="Arial"/>
                <w:color w:val="000000" w:themeColor="text1"/>
                <w:szCs w:val="16"/>
              </w:rPr>
            </w:pPr>
            <w:r w:rsidRPr="005C29F8">
              <w:rPr>
                <w:rFonts w:cs="Arial"/>
                <w:color w:val="000000" w:themeColor="text1"/>
                <w:szCs w:val="16"/>
              </w:rPr>
              <w:t>89.50%</w:t>
            </w:r>
          </w:p>
        </w:tc>
      </w:tr>
    </w:tbl>
    <w:p w14:paraId="68BCE5ED" w14:textId="77777777" w:rsidR="007E2779" w:rsidRPr="005C29F8" w:rsidRDefault="007E2779" w:rsidP="000A2C83">
      <w:pPr>
        <w:rPr>
          <w:rFonts w:cs="Arial"/>
          <w:color w:val="000000" w:themeColor="text1"/>
          <w:szCs w:val="16"/>
        </w:rPr>
      </w:pPr>
    </w:p>
    <w:p w14:paraId="15954908" w14:textId="32421619" w:rsidR="00FB6462" w:rsidRPr="005C29F8" w:rsidRDefault="00FB6462" w:rsidP="004369B2">
      <w:pPr>
        <w:rPr>
          <w:color w:val="000000" w:themeColor="text1"/>
        </w:rPr>
      </w:pPr>
      <w:r w:rsidRPr="005C29F8">
        <w:rPr>
          <w:b/>
          <w:color w:val="000000" w:themeColor="text1"/>
        </w:rPr>
        <w:t>FFY 2019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686"/>
        <w:gridCol w:w="15"/>
        <w:gridCol w:w="1440"/>
        <w:gridCol w:w="1170"/>
        <w:gridCol w:w="1440"/>
        <w:gridCol w:w="1170"/>
        <w:gridCol w:w="1349"/>
        <w:gridCol w:w="1524"/>
      </w:tblGrid>
      <w:tr w:rsidR="005C29F8" w:rsidRPr="005C29F8" w14:paraId="2A3467FD" w14:textId="77777777" w:rsidTr="00AB0D6A">
        <w:trPr>
          <w:trHeight w:val="368"/>
          <w:tblHeader/>
        </w:trPr>
        <w:tc>
          <w:tcPr>
            <w:tcW w:w="1244" w:type="pct"/>
            <w:shd w:val="clear" w:color="auto" w:fill="auto"/>
            <w:vAlign w:val="bottom"/>
          </w:tcPr>
          <w:p w14:paraId="1B1F6FBB" w14:textId="77777777" w:rsidR="00FB6462" w:rsidRPr="005C29F8" w:rsidRDefault="00FB6462" w:rsidP="004369B2">
            <w:pPr>
              <w:jc w:val="center"/>
              <w:rPr>
                <w:b/>
                <w:color w:val="000000" w:themeColor="text1"/>
              </w:rPr>
            </w:pPr>
            <w:r w:rsidRPr="005C29F8">
              <w:rPr>
                <w:b/>
                <w:color w:val="000000" w:themeColor="text1"/>
              </w:rPr>
              <w:t>Number of respondent parents who report schools facilitated parent involvement as a means of improving services and results for children with disabilities</w:t>
            </w:r>
          </w:p>
        </w:tc>
        <w:tc>
          <w:tcPr>
            <w:tcW w:w="674" w:type="pct"/>
            <w:gridSpan w:val="2"/>
            <w:shd w:val="clear" w:color="auto" w:fill="auto"/>
            <w:vAlign w:val="bottom"/>
          </w:tcPr>
          <w:p w14:paraId="200E18C6" w14:textId="77777777" w:rsidR="00FB6462" w:rsidRPr="005C29F8" w:rsidRDefault="00FB6462" w:rsidP="004369B2">
            <w:pPr>
              <w:jc w:val="center"/>
              <w:rPr>
                <w:b/>
                <w:color w:val="000000" w:themeColor="text1"/>
              </w:rPr>
            </w:pPr>
            <w:r w:rsidRPr="005C29F8">
              <w:rPr>
                <w:b/>
                <w:color w:val="000000" w:themeColor="text1"/>
              </w:rPr>
              <w:t>Total number of respondent parents of children with disabilities</w:t>
            </w:r>
          </w:p>
        </w:tc>
        <w:tc>
          <w:tcPr>
            <w:tcW w:w="542" w:type="pct"/>
            <w:shd w:val="clear" w:color="auto" w:fill="auto"/>
            <w:vAlign w:val="bottom"/>
          </w:tcPr>
          <w:p w14:paraId="57D9347A" w14:textId="0EACA725" w:rsidR="00FB6462" w:rsidRPr="005C29F8" w:rsidRDefault="00D95C14" w:rsidP="004369B2">
            <w:pPr>
              <w:jc w:val="center"/>
              <w:rPr>
                <w:b/>
                <w:color w:val="000000" w:themeColor="text1"/>
              </w:rPr>
            </w:pPr>
            <w:r w:rsidRPr="005C29F8">
              <w:rPr>
                <w:b/>
                <w:color w:val="000000" w:themeColor="text1"/>
              </w:rPr>
              <w:t>FFY 2018 Data</w:t>
            </w:r>
          </w:p>
        </w:tc>
        <w:tc>
          <w:tcPr>
            <w:tcW w:w="667" w:type="pct"/>
            <w:shd w:val="clear" w:color="auto" w:fill="auto"/>
            <w:vAlign w:val="bottom"/>
          </w:tcPr>
          <w:p w14:paraId="42BF1046" w14:textId="1094F7EF" w:rsidR="00FB6462" w:rsidRPr="005C29F8" w:rsidRDefault="00FB6462" w:rsidP="004369B2">
            <w:pPr>
              <w:jc w:val="center"/>
              <w:rPr>
                <w:b/>
                <w:color w:val="000000" w:themeColor="text1"/>
              </w:rPr>
            </w:pPr>
            <w:r w:rsidRPr="005C29F8">
              <w:rPr>
                <w:b/>
                <w:color w:val="000000" w:themeColor="text1"/>
              </w:rPr>
              <w:t>FFY 2019 Target</w:t>
            </w:r>
          </w:p>
        </w:tc>
        <w:tc>
          <w:tcPr>
            <w:tcW w:w="542" w:type="pct"/>
            <w:shd w:val="clear" w:color="auto" w:fill="auto"/>
            <w:vAlign w:val="bottom"/>
          </w:tcPr>
          <w:p w14:paraId="36E0331C" w14:textId="3DF835DC" w:rsidR="00FB6462" w:rsidRPr="005C29F8" w:rsidRDefault="00FB6462" w:rsidP="004369B2">
            <w:pPr>
              <w:jc w:val="center"/>
              <w:rPr>
                <w:b/>
                <w:color w:val="000000" w:themeColor="text1"/>
              </w:rPr>
            </w:pPr>
            <w:r w:rsidRPr="005C29F8">
              <w:rPr>
                <w:b/>
                <w:color w:val="000000" w:themeColor="text1"/>
              </w:rPr>
              <w:t>FFY 2019 Data</w:t>
            </w:r>
          </w:p>
        </w:tc>
        <w:tc>
          <w:tcPr>
            <w:tcW w:w="625" w:type="pct"/>
            <w:shd w:val="clear" w:color="auto" w:fill="auto"/>
            <w:vAlign w:val="bottom"/>
          </w:tcPr>
          <w:p w14:paraId="52157F4E" w14:textId="77777777" w:rsidR="00FB6462" w:rsidRPr="005C29F8" w:rsidRDefault="00FB6462" w:rsidP="004369B2">
            <w:pPr>
              <w:jc w:val="center"/>
              <w:rPr>
                <w:b/>
                <w:color w:val="000000" w:themeColor="text1"/>
              </w:rPr>
            </w:pPr>
            <w:r w:rsidRPr="005C29F8">
              <w:rPr>
                <w:b/>
                <w:color w:val="000000" w:themeColor="text1"/>
              </w:rPr>
              <w:t>Status</w:t>
            </w:r>
          </w:p>
        </w:tc>
        <w:tc>
          <w:tcPr>
            <w:tcW w:w="706" w:type="pct"/>
            <w:shd w:val="clear" w:color="auto" w:fill="auto"/>
            <w:vAlign w:val="bottom"/>
          </w:tcPr>
          <w:p w14:paraId="1DC1ADC7" w14:textId="77777777" w:rsidR="00FB6462" w:rsidRPr="005C29F8" w:rsidRDefault="00FB6462" w:rsidP="004369B2">
            <w:pPr>
              <w:jc w:val="center"/>
              <w:rPr>
                <w:b/>
                <w:color w:val="000000" w:themeColor="text1"/>
              </w:rPr>
            </w:pPr>
            <w:r w:rsidRPr="005C29F8">
              <w:rPr>
                <w:b/>
                <w:color w:val="000000" w:themeColor="text1"/>
              </w:rPr>
              <w:t>Slippage</w:t>
            </w:r>
          </w:p>
        </w:tc>
      </w:tr>
      <w:tr w:rsidR="005C29F8" w:rsidRPr="005C29F8" w14:paraId="4B4B0594" w14:textId="77777777" w:rsidTr="00AB0D6A">
        <w:trPr>
          <w:trHeight w:val="366"/>
        </w:trPr>
        <w:tc>
          <w:tcPr>
            <w:tcW w:w="1251" w:type="pct"/>
            <w:gridSpan w:val="2"/>
            <w:shd w:val="clear" w:color="auto" w:fill="auto"/>
            <w:vAlign w:val="bottom"/>
          </w:tcPr>
          <w:p w14:paraId="0933F330" w14:textId="2423D9E2" w:rsidR="00FB6462" w:rsidRPr="005C29F8" w:rsidRDefault="002B7490" w:rsidP="00A018D4">
            <w:pPr>
              <w:jc w:val="center"/>
              <w:rPr>
                <w:rFonts w:cs="Arial"/>
                <w:color w:val="000000" w:themeColor="text1"/>
                <w:szCs w:val="16"/>
              </w:rPr>
            </w:pPr>
            <w:r w:rsidRPr="005C29F8">
              <w:rPr>
                <w:rFonts w:cs="Arial"/>
                <w:color w:val="000000" w:themeColor="text1"/>
                <w:szCs w:val="16"/>
              </w:rPr>
              <w:t>2,344</w:t>
            </w:r>
          </w:p>
        </w:tc>
        <w:tc>
          <w:tcPr>
            <w:tcW w:w="667" w:type="pct"/>
            <w:shd w:val="clear" w:color="auto" w:fill="auto"/>
            <w:vAlign w:val="bottom"/>
          </w:tcPr>
          <w:p w14:paraId="2905391A" w14:textId="502FBF67" w:rsidR="00FB6462" w:rsidRPr="005C29F8" w:rsidRDefault="002B7490" w:rsidP="00A018D4">
            <w:pPr>
              <w:jc w:val="center"/>
              <w:rPr>
                <w:rFonts w:cs="Arial"/>
                <w:color w:val="000000" w:themeColor="text1"/>
                <w:szCs w:val="16"/>
              </w:rPr>
            </w:pPr>
            <w:r w:rsidRPr="005C29F8">
              <w:rPr>
                <w:rFonts w:cs="Arial"/>
                <w:color w:val="000000" w:themeColor="text1"/>
                <w:szCs w:val="16"/>
              </w:rPr>
              <w:t>2,647</w:t>
            </w:r>
          </w:p>
        </w:tc>
        <w:tc>
          <w:tcPr>
            <w:tcW w:w="542" w:type="pct"/>
            <w:shd w:val="clear" w:color="auto" w:fill="auto"/>
            <w:vAlign w:val="bottom"/>
          </w:tcPr>
          <w:p w14:paraId="486C6AEB" w14:textId="2AC5DAB9" w:rsidR="00FB6462" w:rsidRPr="005C29F8" w:rsidRDefault="002B7490" w:rsidP="00A018D4">
            <w:pPr>
              <w:jc w:val="center"/>
              <w:rPr>
                <w:rFonts w:cs="Arial"/>
                <w:color w:val="000000" w:themeColor="text1"/>
                <w:szCs w:val="16"/>
              </w:rPr>
            </w:pPr>
            <w:r w:rsidRPr="005C29F8">
              <w:rPr>
                <w:rFonts w:cs="Arial"/>
                <w:color w:val="000000" w:themeColor="text1"/>
                <w:szCs w:val="16"/>
              </w:rPr>
              <w:t>89.00%</w:t>
            </w:r>
          </w:p>
        </w:tc>
        <w:tc>
          <w:tcPr>
            <w:tcW w:w="667" w:type="pct"/>
            <w:shd w:val="clear" w:color="auto" w:fill="auto"/>
            <w:vAlign w:val="bottom"/>
          </w:tcPr>
          <w:p w14:paraId="024E965C" w14:textId="65736559" w:rsidR="00FB6462" w:rsidRPr="005C29F8" w:rsidRDefault="002B7490" w:rsidP="00A018D4">
            <w:pPr>
              <w:jc w:val="center"/>
              <w:rPr>
                <w:rFonts w:cs="Arial"/>
                <w:color w:val="000000" w:themeColor="text1"/>
                <w:szCs w:val="16"/>
              </w:rPr>
            </w:pPr>
            <w:r w:rsidRPr="005C29F8">
              <w:rPr>
                <w:rFonts w:cs="Arial"/>
                <w:color w:val="000000" w:themeColor="text1"/>
                <w:szCs w:val="16"/>
              </w:rPr>
              <w:t>89.50%</w:t>
            </w:r>
          </w:p>
        </w:tc>
        <w:tc>
          <w:tcPr>
            <w:tcW w:w="542" w:type="pct"/>
            <w:shd w:val="clear" w:color="auto" w:fill="auto"/>
            <w:vAlign w:val="bottom"/>
          </w:tcPr>
          <w:p w14:paraId="1BEB0ADC" w14:textId="5244B4D7" w:rsidR="00FB6462" w:rsidRPr="005C29F8" w:rsidRDefault="002B7490" w:rsidP="00A018D4">
            <w:pPr>
              <w:jc w:val="center"/>
              <w:rPr>
                <w:rFonts w:cs="Arial"/>
                <w:color w:val="000000" w:themeColor="text1"/>
                <w:szCs w:val="16"/>
              </w:rPr>
            </w:pPr>
            <w:r w:rsidRPr="005C29F8">
              <w:rPr>
                <w:rFonts w:cs="Arial"/>
                <w:color w:val="000000" w:themeColor="text1"/>
                <w:szCs w:val="16"/>
              </w:rPr>
              <w:t>88.55%</w:t>
            </w:r>
          </w:p>
        </w:tc>
        <w:tc>
          <w:tcPr>
            <w:tcW w:w="625" w:type="pct"/>
            <w:shd w:val="clear" w:color="auto" w:fill="auto"/>
            <w:vAlign w:val="bottom"/>
          </w:tcPr>
          <w:p w14:paraId="230C5FAF" w14:textId="6761CD40" w:rsidR="00FB6462"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706" w:type="pct"/>
            <w:shd w:val="clear" w:color="auto" w:fill="auto"/>
            <w:vAlign w:val="bottom"/>
          </w:tcPr>
          <w:p w14:paraId="2CBF8B2D" w14:textId="3929AFC6" w:rsidR="00FB6462"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bl>
    <w:p w14:paraId="5A09E881" w14:textId="07D57839" w:rsidR="00FB6462" w:rsidRPr="005C29F8" w:rsidRDefault="007757B1" w:rsidP="00FB6462">
      <w:pPr>
        <w:pStyle w:val="Explanation"/>
        <w:rPr>
          <w:rFonts w:cs="Arial"/>
          <w:b/>
          <w:i w:val="0"/>
          <w:iCs/>
          <w:color w:val="000000" w:themeColor="text1"/>
          <w:szCs w:val="16"/>
        </w:rPr>
      </w:pPr>
      <w:r w:rsidRPr="005C29F8">
        <w:rPr>
          <w:rFonts w:cs="Arial"/>
          <w:b/>
          <w:i w:val="0"/>
          <w:iCs/>
          <w:color w:val="000000" w:themeColor="text1"/>
          <w:szCs w:val="16"/>
        </w:rPr>
        <w:t>The number of parents to whom the surveys were distributed.</w:t>
      </w:r>
    </w:p>
    <w:p w14:paraId="2371D0CA" w14:textId="2D9A0EB4" w:rsidR="007757B1" w:rsidRPr="005C29F8" w:rsidRDefault="007757B1" w:rsidP="00FB6462">
      <w:pPr>
        <w:pStyle w:val="Explanation"/>
        <w:rPr>
          <w:rFonts w:cs="Arial"/>
          <w:i w:val="0"/>
          <w:iCs/>
          <w:color w:val="000000" w:themeColor="text1"/>
          <w:szCs w:val="16"/>
        </w:rPr>
      </w:pPr>
      <w:r w:rsidRPr="005C29F8">
        <w:rPr>
          <w:rFonts w:cs="Arial"/>
          <w:i w:val="0"/>
          <w:iCs/>
          <w:color w:val="000000" w:themeColor="text1"/>
          <w:szCs w:val="16"/>
        </w:rPr>
        <w:t>23,599</w:t>
      </w:r>
    </w:p>
    <w:p w14:paraId="0A32E03E" w14:textId="5B687258" w:rsidR="007757B1" w:rsidRPr="005C29F8" w:rsidRDefault="007757B1" w:rsidP="00FB6462">
      <w:pPr>
        <w:pStyle w:val="Explanation"/>
        <w:rPr>
          <w:rFonts w:cs="Arial"/>
          <w:b/>
          <w:i w:val="0"/>
          <w:iCs/>
          <w:color w:val="000000" w:themeColor="text1"/>
          <w:szCs w:val="16"/>
        </w:rPr>
      </w:pPr>
      <w:r w:rsidRPr="005C29F8">
        <w:rPr>
          <w:rFonts w:cs="Arial"/>
          <w:b/>
          <w:i w:val="0"/>
          <w:iCs/>
          <w:color w:val="000000" w:themeColor="text1"/>
          <w:szCs w:val="16"/>
        </w:rPr>
        <w:t>Percentage of respondent parents</w:t>
      </w:r>
    </w:p>
    <w:p w14:paraId="50F76EB6" w14:textId="425D0503" w:rsidR="007757B1" w:rsidRDefault="007757B1" w:rsidP="00FB6462">
      <w:pPr>
        <w:pStyle w:val="Explanation"/>
        <w:rPr>
          <w:rFonts w:cs="Arial"/>
          <w:i w:val="0"/>
          <w:iCs/>
          <w:color w:val="000000" w:themeColor="text1"/>
          <w:szCs w:val="16"/>
        </w:rPr>
      </w:pPr>
      <w:r w:rsidRPr="005C29F8">
        <w:rPr>
          <w:rFonts w:cs="Arial"/>
          <w:i w:val="0"/>
          <w:iCs/>
          <w:color w:val="000000" w:themeColor="text1"/>
          <w:szCs w:val="16"/>
        </w:rPr>
        <w:t>11.22%</w:t>
      </w:r>
    </w:p>
    <w:p w14:paraId="22227E2D" w14:textId="3C53FA16" w:rsidR="00FB6462" w:rsidRPr="005C29F8" w:rsidRDefault="00FB6462" w:rsidP="005A338D">
      <w:pPr>
        <w:rPr>
          <w:rFonts w:cs="Arial"/>
          <w:b/>
          <w:color w:val="000000" w:themeColor="text1"/>
          <w:szCs w:val="16"/>
        </w:rPr>
      </w:pPr>
      <w:r w:rsidRPr="005C29F8">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5C29F8" w:rsidRDefault="00230EE6" w:rsidP="005A338D">
      <w:pPr>
        <w:rPr>
          <w:rFonts w:cs="Arial"/>
          <w:color w:val="000000" w:themeColor="text1"/>
          <w:szCs w:val="16"/>
        </w:rPr>
      </w:pPr>
      <w:r w:rsidRPr="005C29F8">
        <w:rPr>
          <w:rFonts w:cs="Arial"/>
          <w:color w:val="000000" w:themeColor="text1"/>
          <w:szCs w:val="16"/>
        </w:rPr>
        <w:t>In FFY 2019, MA DESE collected Indicator 8 data as part of the Tiered Focus Monitoring process (TFM) through a parent survey. To facilitate access</w:t>
      </w:r>
      <w:r w:rsidRPr="005C29F8">
        <w:rPr>
          <w:rFonts w:cs="Arial"/>
          <w:color w:val="000000" w:themeColor="text1"/>
          <w:szCs w:val="16"/>
        </w:rPr>
        <w:br/>
        <w:t>and response, MA DESE made the surveys available online, through a mobile device, via email, or in hard copy. Information regarding the Parent Survey</w:t>
      </w:r>
      <w:r w:rsidRPr="005C29F8">
        <w:rPr>
          <w:rFonts w:cs="Arial"/>
          <w:color w:val="000000" w:themeColor="text1"/>
          <w:szCs w:val="16"/>
        </w:rPr>
        <w:br/>
        <w:t>was sent by MA DESE to families of students with IEPs, ages 3-21, in the LEAs. Separate preschool surveys were not used; the questions used in the</w:t>
      </w:r>
      <w:r w:rsidRPr="005C29F8">
        <w:rPr>
          <w:rFonts w:cs="Arial"/>
          <w:color w:val="000000" w:themeColor="text1"/>
          <w:szCs w:val="16"/>
        </w:rPr>
        <w:br/>
        <w:t>Parent Survey were developed to include families with children in Early Childhood Special Education and are appropriate for all populations. FFY 2019</w:t>
      </w:r>
      <w:r w:rsidRPr="005C29F8">
        <w:rPr>
          <w:rFonts w:cs="Arial"/>
          <w:color w:val="000000" w:themeColor="text1"/>
          <w:szCs w:val="16"/>
        </w:rPr>
        <w:br/>
        <w:t>data indicates that 43% of all respondents represent children in Preschool-Grade 5.</w:t>
      </w:r>
    </w:p>
    <w:p w14:paraId="75502588" w14:textId="77777777" w:rsidR="007E2779" w:rsidRPr="005C29F8" w:rsidRDefault="007E2779" w:rsidP="007E2779">
      <w:pPr>
        <w:pStyle w:val="Bold"/>
        <w:rPr>
          <w:color w:val="000000" w:themeColor="text1"/>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5C29F8" w14:paraId="4C454EA6" w14:textId="77777777" w:rsidTr="0033429D">
        <w:trPr>
          <w:tblHeader/>
        </w:trPr>
        <w:tc>
          <w:tcPr>
            <w:tcW w:w="8550" w:type="dxa"/>
            <w:shd w:val="clear" w:color="auto" w:fill="auto"/>
          </w:tcPr>
          <w:p w14:paraId="641A3E2E" w14:textId="4908A122" w:rsidR="00564D95" w:rsidRPr="0033429D" w:rsidRDefault="00E91363" w:rsidP="00B6413B">
            <w:pPr>
              <w:rPr>
                <w:rFonts w:cs="Arial"/>
                <w:b/>
                <w:bCs/>
                <w:color w:val="000000" w:themeColor="text1"/>
                <w:szCs w:val="16"/>
              </w:rPr>
            </w:pPr>
            <w:r w:rsidRPr="0033429D">
              <w:rPr>
                <w:rFonts w:cs="Arial"/>
                <w:b/>
                <w:bCs/>
                <w:color w:val="000000" w:themeColor="text1"/>
                <w:szCs w:val="16"/>
              </w:rPr>
              <w:t>Sampling Question</w:t>
            </w:r>
          </w:p>
        </w:tc>
        <w:tc>
          <w:tcPr>
            <w:tcW w:w="2245" w:type="dxa"/>
            <w:shd w:val="clear" w:color="auto" w:fill="auto"/>
          </w:tcPr>
          <w:p w14:paraId="5DD050D6" w14:textId="45F46418" w:rsidR="00564D95" w:rsidRPr="005C29F8" w:rsidRDefault="00564D95" w:rsidP="001011BB">
            <w:pPr>
              <w:jc w:val="center"/>
              <w:rPr>
                <w:rFonts w:cs="Arial"/>
                <w:b/>
                <w:color w:val="000000" w:themeColor="text1"/>
                <w:szCs w:val="16"/>
              </w:rPr>
            </w:pPr>
            <w:r w:rsidRPr="005C29F8">
              <w:rPr>
                <w:rFonts w:cs="Arial"/>
                <w:b/>
                <w:color w:val="000000" w:themeColor="text1"/>
                <w:szCs w:val="16"/>
              </w:rPr>
              <w:t>Yes / No</w:t>
            </w:r>
          </w:p>
        </w:tc>
      </w:tr>
      <w:tr w:rsidR="005C29F8" w:rsidRPr="005C29F8" w14:paraId="65780CF1" w14:textId="46D0A53A" w:rsidTr="00AB0D6A">
        <w:tc>
          <w:tcPr>
            <w:tcW w:w="8550" w:type="dxa"/>
            <w:shd w:val="clear" w:color="auto" w:fill="auto"/>
          </w:tcPr>
          <w:p w14:paraId="43F69327" w14:textId="1229D955" w:rsidR="00564D95" w:rsidRPr="005C29F8" w:rsidRDefault="00564D95" w:rsidP="00B6413B">
            <w:pPr>
              <w:rPr>
                <w:rFonts w:cs="Arial"/>
                <w:color w:val="000000" w:themeColor="text1"/>
                <w:szCs w:val="16"/>
              </w:rPr>
            </w:pPr>
            <w:r w:rsidRPr="005C29F8">
              <w:rPr>
                <w:rFonts w:cs="Arial"/>
                <w:color w:val="000000" w:themeColor="text1"/>
                <w:szCs w:val="16"/>
              </w:rPr>
              <w:t xml:space="preserve">Was sampling used? </w:t>
            </w:r>
          </w:p>
        </w:tc>
        <w:tc>
          <w:tcPr>
            <w:tcW w:w="2245" w:type="dxa"/>
            <w:shd w:val="clear" w:color="auto" w:fill="auto"/>
          </w:tcPr>
          <w:p w14:paraId="1BA005BB" w14:textId="4AC8FD0F" w:rsidR="00564D95" w:rsidRPr="005C29F8" w:rsidRDefault="002B7490" w:rsidP="00A018D4">
            <w:pPr>
              <w:jc w:val="center"/>
              <w:rPr>
                <w:rFonts w:cs="Arial"/>
                <w:color w:val="000000" w:themeColor="text1"/>
                <w:szCs w:val="16"/>
              </w:rPr>
            </w:pPr>
            <w:r w:rsidRPr="005C29F8">
              <w:rPr>
                <w:rFonts w:cs="Arial"/>
                <w:color w:val="000000" w:themeColor="text1"/>
                <w:szCs w:val="16"/>
              </w:rPr>
              <w:t>YES</w:t>
            </w:r>
          </w:p>
        </w:tc>
      </w:tr>
      <w:tr w:rsidR="005C29F8" w:rsidRPr="005C29F8" w14:paraId="46B6D7FE" w14:textId="62FEECDE" w:rsidTr="00AB0D6A">
        <w:tc>
          <w:tcPr>
            <w:tcW w:w="8550" w:type="dxa"/>
            <w:shd w:val="clear" w:color="auto" w:fill="auto"/>
          </w:tcPr>
          <w:p w14:paraId="03CC110D" w14:textId="4926EC6F" w:rsidR="00564D95" w:rsidRPr="005C29F8" w:rsidRDefault="00EF1C23" w:rsidP="00B6413B">
            <w:pPr>
              <w:rPr>
                <w:rFonts w:cs="Arial"/>
                <w:color w:val="000000" w:themeColor="text1"/>
                <w:szCs w:val="16"/>
              </w:rPr>
            </w:pPr>
            <w:r w:rsidRPr="005C29F8">
              <w:rPr>
                <w:rFonts w:cs="Arial"/>
                <w:color w:val="000000" w:themeColor="text1"/>
                <w:szCs w:val="16"/>
              </w:rPr>
              <w:t>If yes, has your previously-approved sampling plan changed?</w:t>
            </w:r>
          </w:p>
        </w:tc>
        <w:tc>
          <w:tcPr>
            <w:tcW w:w="2245" w:type="dxa"/>
            <w:shd w:val="clear" w:color="auto" w:fill="auto"/>
          </w:tcPr>
          <w:p w14:paraId="152E1EC0" w14:textId="4401EFC8" w:rsidR="00564D95" w:rsidRPr="005C29F8" w:rsidRDefault="002B7490" w:rsidP="00A018D4">
            <w:pPr>
              <w:jc w:val="center"/>
              <w:rPr>
                <w:rFonts w:cs="Arial"/>
                <w:color w:val="000000" w:themeColor="text1"/>
                <w:szCs w:val="16"/>
              </w:rPr>
            </w:pPr>
            <w:r w:rsidRPr="005C29F8">
              <w:rPr>
                <w:rFonts w:cs="Arial"/>
                <w:color w:val="000000" w:themeColor="text1"/>
                <w:szCs w:val="16"/>
              </w:rPr>
              <w:t>NO</w:t>
            </w:r>
          </w:p>
        </w:tc>
      </w:tr>
    </w:tbl>
    <w:p w14:paraId="7C7B18C6" w14:textId="2B0391C4" w:rsidR="009B37A2" w:rsidRPr="005C29F8" w:rsidRDefault="009B37A2" w:rsidP="00B6413B">
      <w:pPr>
        <w:rPr>
          <w:rFonts w:cs="Arial"/>
          <w:b/>
          <w:color w:val="000000" w:themeColor="text1"/>
          <w:szCs w:val="16"/>
        </w:rPr>
      </w:pPr>
      <w:r w:rsidRPr="005C29F8">
        <w:rPr>
          <w:rFonts w:cs="Arial"/>
          <w:b/>
          <w:color w:val="000000" w:themeColor="text1"/>
          <w:szCs w:val="16"/>
        </w:rPr>
        <w:t>Describe the sampling methodology outlining how the design will yield valid and reliable estimates.</w:t>
      </w:r>
    </w:p>
    <w:p w14:paraId="1972664F" w14:textId="35FA6AAA" w:rsidR="009B37A2" w:rsidRDefault="002B7490" w:rsidP="00B6413B">
      <w:pPr>
        <w:rPr>
          <w:rFonts w:cs="Arial"/>
          <w:color w:val="000000" w:themeColor="text1"/>
          <w:szCs w:val="16"/>
        </w:rPr>
      </w:pPr>
      <w:r w:rsidRPr="005C29F8">
        <w:rPr>
          <w:rFonts w:cs="Arial"/>
          <w:color w:val="000000" w:themeColor="text1"/>
          <w:szCs w:val="16"/>
        </w:rPr>
        <w:t>The FFY 2019 cohort reported Indicator 8 data using the parent survey administered through the Tiered Focused Monitoring (TFM) process. Each year a</w:t>
      </w:r>
      <w:r w:rsidRPr="005C29F8">
        <w:rPr>
          <w:rFonts w:cs="Arial"/>
          <w:color w:val="000000" w:themeColor="text1"/>
          <w:szCs w:val="16"/>
        </w:rPr>
        <w:br/>
        <w:t>representative group of LEAs participates in the TFM process, including urban, suburban, rural, large, medium, and small LEAs, as well as the full range</w:t>
      </w:r>
      <w:r w:rsidRPr="005C29F8">
        <w:rPr>
          <w:rFonts w:cs="Arial"/>
          <w:color w:val="000000" w:themeColor="text1"/>
          <w:szCs w:val="16"/>
        </w:rPr>
        <w:br/>
        <w:t>of LEA program and structure types (charter, virtual, CVTE, and comprehensive). These LEAs serve a full range of student disability types and need for</w:t>
      </w:r>
      <w:r w:rsidRPr="005C29F8">
        <w:rPr>
          <w:rFonts w:cs="Arial"/>
          <w:color w:val="000000" w:themeColor="text1"/>
          <w:szCs w:val="16"/>
        </w:rPr>
        <w:br/>
        <w:t>services, such that the TFM process is representative of the State as a whole. The TFM survey also includes demographic questions related to</w:t>
      </w:r>
      <w:r w:rsidRPr="005C29F8">
        <w:rPr>
          <w:rFonts w:cs="Arial"/>
          <w:color w:val="000000" w:themeColor="text1"/>
          <w:szCs w:val="16"/>
        </w:rPr>
        <w:br/>
        <w:t>race/ethnicity, gender, placement, and grade span.</w:t>
      </w:r>
      <w:r w:rsidRPr="005C29F8">
        <w:rPr>
          <w:rFonts w:cs="Arial"/>
          <w:color w:val="000000" w:themeColor="text1"/>
          <w:szCs w:val="16"/>
        </w:rPr>
        <w:br/>
        <w:t>MA DESE fully integrated Indicator 8 data collection into the TFM process beginning in FFY 2018. DESE believes this integration will provide benefits to</w:t>
      </w:r>
      <w:r w:rsidRPr="005C29F8">
        <w:rPr>
          <w:rFonts w:cs="Arial"/>
          <w:color w:val="000000" w:themeColor="text1"/>
          <w:szCs w:val="16"/>
        </w:rPr>
        <w:br/>
        <w:t>LEAs and to MA DESE. LEAs will no longer need to facilitate the collection of two separate parent surveys as part of monitoring activities and Indicator 8 data</w:t>
      </w:r>
      <w:r w:rsidRPr="005C29F8">
        <w:rPr>
          <w:rFonts w:cs="Arial"/>
          <w:color w:val="000000" w:themeColor="text1"/>
          <w:szCs w:val="16"/>
        </w:rPr>
        <w:br/>
        <w:t>collection. Also, integrated procedures at MA DESE will promote improved internal coordination of activities that support parent engagement.</w:t>
      </w:r>
      <w:r w:rsidRPr="005C29F8">
        <w:rPr>
          <w:rFonts w:cs="Arial"/>
          <w:color w:val="000000" w:themeColor="text1"/>
          <w:szCs w:val="16"/>
        </w:rPr>
        <w:br/>
        <w:t>Redundancies in paperwork, data collection, and compliance activities will be eliminated, enhancing LEAs' capacity for self-assessment and service</w:t>
      </w:r>
      <w:r w:rsidRPr="005C29F8">
        <w:rPr>
          <w:rFonts w:cs="Arial"/>
          <w:color w:val="000000" w:themeColor="text1"/>
          <w:szCs w:val="16"/>
        </w:rPr>
        <w:br/>
        <w:t>delivery, and MA DESE's capacity for providing technical and targeted assistance. Data from the TFM Parent Survey also will better inform MA DESE’s other monitoring activities with LEAs, allowing for MA DESE to better connect survey results with other identified areas of concern.</w:t>
      </w:r>
      <w:r w:rsidRPr="005C29F8">
        <w:rPr>
          <w:rFonts w:cs="Arial"/>
          <w:color w:val="000000" w:themeColor="text1"/>
          <w:szCs w:val="16"/>
        </w:rPr>
        <w:br/>
        <w:t>To ensure the broadest representation of respondents, surveys are made available for all families of children with an IEP in LEAs participating in the</w:t>
      </w:r>
      <w:r w:rsidRPr="005C29F8">
        <w:rPr>
          <w:rFonts w:cs="Arial"/>
          <w:color w:val="000000" w:themeColor="text1"/>
          <w:szCs w:val="16"/>
        </w:rPr>
        <w:br/>
        <w:t>identified TFM cohort. In FFY 2019, 78 LEAs participated. MA DESE does not have concerns about the validity and reliability of its sampling method for</w:t>
      </w:r>
      <w:r w:rsidRPr="005C29F8">
        <w:rPr>
          <w:rFonts w:cs="Arial"/>
          <w:color w:val="000000" w:themeColor="text1"/>
          <w:szCs w:val="16"/>
        </w:rPr>
        <w:br/>
        <w:t>Indicator 8, as parent responses to the parent surveys, are submitted directly by families to MA DESE. However, MA DESE recognizes that its FFY 2019</w:t>
      </w:r>
      <w:r w:rsidRPr="005C29F8">
        <w:rPr>
          <w:rFonts w:cs="Arial"/>
          <w:color w:val="000000" w:themeColor="text1"/>
          <w:szCs w:val="16"/>
        </w:rPr>
        <w:br/>
        <w:t>the response rate of 11.22% continues to be low. Because of the low response rate, MA DESE has low confidence in the data for basing conclusions about family</w:t>
      </w:r>
      <w:r w:rsidRPr="005C29F8">
        <w:rPr>
          <w:rFonts w:cs="Arial"/>
          <w:color w:val="000000" w:themeColor="text1"/>
          <w:szCs w:val="16"/>
        </w:rPr>
        <w:br/>
        <w:t>engagement or parental satisfaction for the LEAs involved. MA DESE continues to analyze existing resources and outreach in order to design additional</w:t>
      </w:r>
      <w:r w:rsidRPr="005C29F8">
        <w:rPr>
          <w:rFonts w:cs="Arial"/>
          <w:color w:val="000000" w:themeColor="text1"/>
          <w:szCs w:val="16"/>
        </w:rPr>
        <w:br/>
        <w:t>efforts to increase the survey response rate.</w:t>
      </w:r>
    </w:p>
    <w:p w14:paraId="12C8B638" w14:textId="77777777" w:rsidR="00AF550B" w:rsidRPr="005C29F8"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5C29F8" w14:paraId="5A4C524D" w14:textId="77777777" w:rsidTr="0033429D">
        <w:trPr>
          <w:tblHeader/>
        </w:trPr>
        <w:tc>
          <w:tcPr>
            <w:tcW w:w="8550" w:type="dxa"/>
          </w:tcPr>
          <w:p w14:paraId="3B302184" w14:textId="3C2CBF4D" w:rsidR="00B5350E" w:rsidRPr="0033429D" w:rsidRDefault="00BC5CA0" w:rsidP="00B6413B">
            <w:pPr>
              <w:rPr>
                <w:rFonts w:cs="Arial"/>
                <w:b/>
                <w:bCs/>
                <w:color w:val="000000" w:themeColor="text1"/>
                <w:szCs w:val="16"/>
              </w:rPr>
            </w:pPr>
            <w:r w:rsidRPr="0033429D">
              <w:rPr>
                <w:rFonts w:cs="Arial"/>
                <w:b/>
                <w:bCs/>
                <w:color w:val="000000" w:themeColor="text1"/>
                <w:szCs w:val="16"/>
              </w:rPr>
              <w:t>Survey Question</w:t>
            </w:r>
          </w:p>
        </w:tc>
        <w:tc>
          <w:tcPr>
            <w:tcW w:w="2250" w:type="dxa"/>
          </w:tcPr>
          <w:p w14:paraId="4082973A" w14:textId="148FA82D" w:rsidR="00B5350E" w:rsidRPr="005C29F8" w:rsidRDefault="00B5350E" w:rsidP="001011BB">
            <w:pPr>
              <w:jc w:val="center"/>
              <w:rPr>
                <w:rFonts w:cs="Arial"/>
                <w:b/>
                <w:color w:val="000000" w:themeColor="text1"/>
                <w:szCs w:val="16"/>
              </w:rPr>
            </w:pPr>
            <w:r w:rsidRPr="005C29F8">
              <w:rPr>
                <w:rFonts w:cs="Arial"/>
                <w:b/>
                <w:color w:val="000000" w:themeColor="text1"/>
                <w:szCs w:val="16"/>
              </w:rPr>
              <w:t>Yes / No</w:t>
            </w:r>
          </w:p>
        </w:tc>
      </w:tr>
      <w:tr w:rsidR="005C29F8" w:rsidRPr="005C29F8" w14:paraId="2BBB7A7B" w14:textId="530EE0A4" w:rsidTr="00E0321D">
        <w:tc>
          <w:tcPr>
            <w:tcW w:w="8550" w:type="dxa"/>
          </w:tcPr>
          <w:p w14:paraId="1C595FC3" w14:textId="00C59640" w:rsidR="00B5350E" w:rsidRPr="005C29F8" w:rsidRDefault="00B5350E" w:rsidP="00B6413B">
            <w:pPr>
              <w:rPr>
                <w:rFonts w:cs="Arial"/>
                <w:color w:val="000000" w:themeColor="text1"/>
                <w:szCs w:val="16"/>
              </w:rPr>
            </w:pPr>
            <w:r w:rsidRPr="005C29F8">
              <w:rPr>
                <w:rFonts w:cs="Arial"/>
                <w:color w:val="000000" w:themeColor="text1"/>
                <w:szCs w:val="16"/>
              </w:rPr>
              <w:t xml:space="preserve">Was a survey used? </w:t>
            </w:r>
          </w:p>
        </w:tc>
        <w:tc>
          <w:tcPr>
            <w:tcW w:w="2250" w:type="dxa"/>
          </w:tcPr>
          <w:p w14:paraId="694FDC95" w14:textId="251E84C1" w:rsidR="00B5350E" w:rsidRPr="005C29F8" w:rsidRDefault="002B7490" w:rsidP="00A018D4">
            <w:pPr>
              <w:jc w:val="center"/>
              <w:rPr>
                <w:rFonts w:cs="Arial"/>
                <w:color w:val="000000" w:themeColor="text1"/>
                <w:szCs w:val="16"/>
              </w:rPr>
            </w:pPr>
            <w:r w:rsidRPr="005C29F8">
              <w:rPr>
                <w:rFonts w:cs="Arial"/>
                <w:color w:val="000000" w:themeColor="text1"/>
                <w:szCs w:val="16"/>
              </w:rPr>
              <w:t>YES</w:t>
            </w:r>
          </w:p>
        </w:tc>
      </w:tr>
      <w:tr w:rsidR="005C29F8" w:rsidRPr="005C29F8" w14:paraId="1198B60F" w14:textId="5AD58247" w:rsidTr="00E0321D">
        <w:tc>
          <w:tcPr>
            <w:tcW w:w="8550" w:type="dxa"/>
          </w:tcPr>
          <w:p w14:paraId="7B6CA23B" w14:textId="49CC8BE9" w:rsidR="00B5350E" w:rsidRPr="005C29F8" w:rsidRDefault="0020552B" w:rsidP="00B6413B">
            <w:pPr>
              <w:rPr>
                <w:rFonts w:cs="Arial"/>
                <w:color w:val="000000" w:themeColor="text1"/>
                <w:szCs w:val="16"/>
              </w:rPr>
            </w:pPr>
            <w:r w:rsidRPr="005C29F8">
              <w:rPr>
                <w:rFonts w:cs="Arial"/>
                <w:color w:val="000000" w:themeColor="text1"/>
                <w:szCs w:val="16"/>
              </w:rPr>
              <w:t>If yes, is it a new or revised survey?</w:t>
            </w:r>
          </w:p>
        </w:tc>
        <w:tc>
          <w:tcPr>
            <w:tcW w:w="2250" w:type="dxa"/>
          </w:tcPr>
          <w:p w14:paraId="7CA6C425" w14:textId="5334C716" w:rsidR="00B5350E" w:rsidRPr="005C29F8" w:rsidRDefault="002B7490" w:rsidP="00A018D4">
            <w:pPr>
              <w:jc w:val="center"/>
              <w:rPr>
                <w:rFonts w:cs="Arial"/>
                <w:color w:val="000000" w:themeColor="text1"/>
                <w:szCs w:val="16"/>
              </w:rPr>
            </w:pPr>
            <w:r w:rsidRPr="005C29F8">
              <w:rPr>
                <w:rFonts w:cs="Arial"/>
                <w:color w:val="000000" w:themeColor="text1"/>
                <w:szCs w:val="16"/>
              </w:rPr>
              <w:t>NO</w:t>
            </w:r>
          </w:p>
        </w:tc>
      </w:tr>
      <w:tr w:rsidR="005C29F8" w:rsidRPr="005C29F8" w14:paraId="51CD1747" w14:textId="62457796" w:rsidTr="00E0321D">
        <w:tc>
          <w:tcPr>
            <w:tcW w:w="8550" w:type="dxa"/>
          </w:tcPr>
          <w:p w14:paraId="72235DA9" w14:textId="295BA49D" w:rsidR="00B5350E" w:rsidRPr="005C29F8" w:rsidRDefault="00B5350E" w:rsidP="00B6413B">
            <w:pPr>
              <w:rPr>
                <w:rFonts w:cs="Arial"/>
                <w:color w:val="000000" w:themeColor="text1"/>
                <w:szCs w:val="16"/>
              </w:rPr>
            </w:pPr>
            <w:r w:rsidRPr="005C29F8">
              <w:rPr>
                <w:rFonts w:cs="Arial"/>
                <w:color w:val="000000" w:themeColor="text1"/>
                <w:szCs w:val="16"/>
              </w:rPr>
              <w:lastRenderedPageBreak/>
              <w:t>The demographics of the parents responding are representative of the demographics of children receiving special education services.</w:t>
            </w:r>
          </w:p>
        </w:tc>
        <w:tc>
          <w:tcPr>
            <w:tcW w:w="2250" w:type="dxa"/>
          </w:tcPr>
          <w:p w14:paraId="6ABD938C" w14:textId="5CF26944" w:rsidR="00B5350E" w:rsidRPr="005C29F8" w:rsidRDefault="002B7490" w:rsidP="00A018D4">
            <w:pPr>
              <w:jc w:val="center"/>
              <w:rPr>
                <w:rFonts w:cs="Arial"/>
                <w:color w:val="000000" w:themeColor="text1"/>
                <w:szCs w:val="16"/>
              </w:rPr>
            </w:pPr>
            <w:r w:rsidRPr="005C29F8">
              <w:rPr>
                <w:rFonts w:cs="Arial"/>
                <w:color w:val="000000" w:themeColor="text1"/>
                <w:szCs w:val="16"/>
              </w:rPr>
              <w:t>NO</w:t>
            </w:r>
          </w:p>
        </w:tc>
      </w:tr>
    </w:tbl>
    <w:p w14:paraId="2A4B7F5E" w14:textId="39034B1A" w:rsidR="009B37A2" w:rsidRPr="005C29F8" w:rsidRDefault="00EF1C23" w:rsidP="00B6413B">
      <w:pPr>
        <w:rPr>
          <w:rFonts w:cs="Arial"/>
          <w:b/>
          <w:color w:val="000000" w:themeColor="text1"/>
          <w:szCs w:val="16"/>
        </w:rPr>
      </w:pPr>
      <w:r w:rsidRPr="005C29F8">
        <w:rPr>
          <w:rFonts w:cs="Arial"/>
          <w:b/>
          <w:color w:val="000000" w:themeColor="text1"/>
          <w:szCs w:val="16"/>
        </w:rPr>
        <w:t>If no, describe the strategies that the State will use to ensure that in the future the response data are representative of those demographics.</w:t>
      </w:r>
    </w:p>
    <w:p w14:paraId="2D61F29F" w14:textId="2989BC14" w:rsidR="009B37A2" w:rsidRDefault="002B7490" w:rsidP="00B6413B">
      <w:pPr>
        <w:rPr>
          <w:rFonts w:cs="Arial"/>
          <w:color w:val="000000" w:themeColor="text1"/>
          <w:szCs w:val="16"/>
        </w:rPr>
      </w:pPr>
      <w:r w:rsidRPr="005C29F8">
        <w:rPr>
          <w:rFonts w:cs="Arial"/>
          <w:color w:val="000000" w:themeColor="text1"/>
          <w:szCs w:val="16"/>
        </w:rPr>
        <w:t>MA DESE collected Indicator 8 data in FFY 2019 using a survey available to families in LEAs participating in the TFM process. To encourage the</w:t>
      </w:r>
      <w:r w:rsidRPr="005C29F8">
        <w:rPr>
          <w:rFonts w:cs="Arial"/>
          <w:color w:val="000000" w:themeColor="text1"/>
          <w:szCs w:val="16"/>
        </w:rPr>
        <w:br/>
        <w:t>the broadest representation of respondents, LEAs participating in data collection activities made surveys available to families of students with IEPs in the</w:t>
      </w:r>
      <w:r w:rsidRPr="005C29F8">
        <w:rPr>
          <w:rFonts w:cs="Arial"/>
          <w:color w:val="000000" w:themeColor="text1"/>
          <w:szCs w:val="16"/>
        </w:rPr>
        <w:br/>
        <w:t>LEAs. While MA DESE does not have concerns about the validity and reliability of the data reported because parent responses to the surveys are</w:t>
      </w:r>
      <w:r w:rsidRPr="005C29F8">
        <w:rPr>
          <w:rFonts w:cs="Arial"/>
          <w:color w:val="000000" w:themeColor="text1"/>
          <w:szCs w:val="16"/>
        </w:rPr>
        <w:br/>
        <w:t>submitted directly to MA DESE by families, MA DESE cannot confirm that the results are representative of the demographics of children receiving</w:t>
      </w:r>
      <w:r w:rsidRPr="005C29F8">
        <w:rPr>
          <w:rFonts w:cs="Arial"/>
          <w:color w:val="000000" w:themeColor="text1"/>
          <w:szCs w:val="16"/>
        </w:rPr>
        <w:br/>
        <w:t>special education services, however. MA DESE collected demographic information regarding grade span, placement, gender, and race/ethnicity.</w:t>
      </w:r>
      <w:r w:rsidRPr="005C29F8">
        <w:rPr>
          <w:rFonts w:cs="Arial"/>
          <w:color w:val="000000" w:themeColor="text1"/>
          <w:szCs w:val="16"/>
        </w:rPr>
        <w:br/>
        <w:t>Through analysis, MA DESE determined that the data collected are not representative, as described in the section below.</w:t>
      </w:r>
      <w:r w:rsidRPr="005C29F8">
        <w:rPr>
          <w:rFonts w:cs="Arial"/>
          <w:color w:val="000000" w:themeColor="text1"/>
          <w:szCs w:val="16"/>
        </w:rPr>
        <w:br/>
        <w:t>MA DESE recognizes that its FFY 2019 response rate of 11.22% is low. Because of the low response rate, MA DESE has low confidence in the data for</w:t>
      </w:r>
      <w:r w:rsidRPr="005C29F8">
        <w:rPr>
          <w:rFonts w:cs="Arial"/>
          <w:color w:val="000000" w:themeColor="text1"/>
          <w:szCs w:val="16"/>
        </w:rPr>
        <w:br/>
        <w:t>basing conclusions about family engagement or parental satisfaction for the LEAs involved in the data collection and reporting activities. MA DESE</w:t>
      </w:r>
      <w:r w:rsidRPr="005C29F8">
        <w:rPr>
          <w:rFonts w:cs="Arial"/>
          <w:color w:val="000000" w:themeColor="text1"/>
          <w:szCs w:val="16"/>
        </w:rPr>
        <w:br/>
        <w:t>continues to analyze existing resources and outreach in order to design additional efforts to increase its response rate and representatives of the survey</w:t>
      </w:r>
      <w:r w:rsidRPr="005C29F8">
        <w:rPr>
          <w:rFonts w:cs="Arial"/>
          <w:color w:val="000000" w:themeColor="text1"/>
          <w:szCs w:val="16"/>
        </w:rPr>
        <w:br/>
        <w:t>results.</w:t>
      </w:r>
      <w:r w:rsidRPr="005C29F8">
        <w:rPr>
          <w:rFonts w:cs="Arial"/>
          <w:color w:val="000000" w:themeColor="text1"/>
          <w:szCs w:val="16"/>
        </w:rPr>
        <w:br/>
        <w:t>MA DESE continues to take specific steps to increase the representativeness of data. The data collection methodology for Indicator 8 is designed to support broad</w:t>
      </w:r>
      <w:r w:rsidRPr="005C29F8">
        <w:rPr>
          <w:rFonts w:cs="Arial"/>
          <w:color w:val="000000" w:themeColor="text1"/>
          <w:szCs w:val="16"/>
        </w:rPr>
        <w:br/>
        <w:t>representation of survey respondents to promote validity and reliability in reporting. Additionally, MA DESE works with the identified LEAs to make the</w:t>
      </w:r>
      <w:r w:rsidRPr="005C29F8">
        <w:rPr>
          <w:rFonts w:cs="Arial"/>
          <w:color w:val="000000" w:themeColor="text1"/>
          <w:szCs w:val="16"/>
        </w:rPr>
        <w:br/>
        <w:t>survey available in several formats to all families of students with IEPs, aged 3 through 21, who are enrolled in the LEA. Multiple input modalities allow</w:t>
      </w:r>
      <w:r w:rsidRPr="005C29F8">
        <w:rPr>
          <w:rFonts w:cs="Arial"/>
          <w:color w:val="000000" w:themeColor="text1"/>
          <w:szCs w:val="16"/>
        </w:rPr>
        <w:br/>
        <w:t>for responses online, through mobile devices, and as a printed survey. For FFY 2019, MA DESE included any findings of trends in the final TFM exit meeting and will provide</w:t>
      </w:r>
      <w:r w:rsidRPr="005C29F8">
        <w:rPr>
          <w:rFonts w:cs="Arial"/>
          <w:color w:val="000000" w:themeColor="text1"/>
          <w:szCs w:val="16"/>
        </w:rPr>
        <w:br/>
        <w:t>targeted technical assistance for the LEAs to develop plans to better support families in accessing the survey.</w:t>
      </w:r>
      <w:r w:rsidRPr="005C29F8">
        <w:rPr>
          <w:rFonts w:cs="Arial"/>
          <w:color w:val="000000" w:themeColor="text1"/>
          <w:szCs w:val="16"/>
        </w:rPr>
        <w:br/>
        <w:t>MA DESE is using the IDEA Data Center's Parent Involvement Data Toolkit to assist in the analysis of data relative to representativeness. As a result,</w:t>
      </w:r>
      <w:r w:rsidRPr="005C29F8">
        <w:rPr>
          <w:rFonts w:cs="Arial"/>
          <w:color w:val="000000" w:themeColor="text1"/>
          <w:szCs w:val="16"/>
        </w:rPr>
        <w:br/>
        <w:t>and through continued discussion with the Special Education Advisory Panel members, MA DESE collects, on a voluntary basis, demographic information for race/ethnicity,</w:t>
      </w:r>
      <w:r w:rsidRPr="005C29F8">
        <w:rPr>
          <w:rFonts w:cs="Arial"/>
          <w:color w:val="000000" w:themeColor="text1"/>
          <w:szCs w:val="16"/>
        </w:rPr>
        <w:br/>
        <w:t>placement, gender, and grade span. MA DESE is also working on developing resources related to evidence-based family engagement practices, racial equity, and inclusion.</w:t>
      </w:r>
      <w:r w:rsidRPr="005C29F8">
        <w:rPr>
          <w:rFonts w:cs="Arial"/>
          <w:color w:val="000000" w:themeColor="text1"/>
          <w:szCs w:val="16"/>
        </w:rPr>
        <w:br/>
        <w:t>The TFM process ensures that the Parent Survey is translated into the three highest incidence languages in each LEA. The TFM Parent Survey can be translated based on district demographics for lower occurring translation needs, including Vietnamese and Haitian-Creole, and others as needed. These additional translations will be available upon request. LEAs participating in the TFM process use emails and other forms of notification to facilitate parental response. The breadth of the outreach and access initiatives help</w:t>
      </w:r>
      <w:r w:rsidRPr="005C29F8">
        <w:rPr>
          <w:rFonts w:cs="Arial"/>
          <w:color w:val="000000" w:themeColor="text1"/>
          <w:szCs w:val="16"/>
        </w:rPr>
        <w:br/>
        <w:t>to support representative sampling through the data collection process.</w:t>
      </w:r>
      <w:r w:rsidRPr="005C29F8">
        <w:rPr>
          <w:rFonts w:cs="Arial"/>
          <w:color w:val="000000" w:themeColor="text1"/>
          <w:szCs w:val="16"/>
        </w:rPr>
        <w:br/>
        <w:t>MA DESE will continue to use the IDC Parent Involvement Data Toolkit to aid in discussions with the Advisory Panel about the collection and analysis of</w:t>
      </w:r>
      <w:r w:rsidRPr="005C29F8">
        <w:rPr>
          <w:rFonts w:cs="Arial"/>
          <w:color w:val="000000" w:themeColor="text1"/>
          <w:szCs w:val="16"/>
        </w:rPr>
        <w:br/>
        <w:t>demographic information, and strategies for targeted outreach for specific populations.</w:t>
      </w:r>
    </w:p>
    <w:p w14:paraId="2DE1E41D" w14:textId="5650C85E" w:rsidR="009F6E02" w:rsidRPr="005C29F8" w:rsidRDefault="009F6E02" w:rsidP="004369B2">
      <w:pPr>
        <w:rPr>
          <w:b/>
          <w:color w:val="000000" w:themeColor="text1"/>
        </w:rPr>
      </w:pPr>
      <w:r w:rsidRPr="005C29F8">
        <w:rPr>
          <w:b/>
          <w:color w:val="000000" w:themeColor="text1"/>
        </w:rPr>
        <w:t>Include the State’s analyses of the extent to which the demographics of the parents responding are representative of the demographics of children receiving special education services.</w:t>
      </w:r>
    </w:p>
    <w:p w14:paraId="4C019156" w14:textId="519F6A8F" w:rsidR="009B37A2" w:rsidRPr="005C29F8" w:rsidRDefault="002B7490" w:rsidP="003817C0">
      <w:pPr>
        <w:rPr>
          <w:rFonts w:cs="Arial"/>
          <w:color w:val="000000" w:themeColor="text1"/>
          <w:szCs w:val="16"/>
        </w:rPr>
      </w:pPr>
      <w:r w:rsidRPr="005C29F8">
        <w:rPr>
          <w:rFonts w:cs="Arial"/>
          <w:color w:val="000000" w:themeColor="text1"/>
          <w:szCs w:val="16"/>
        </w:rPr>
        <w:t>The annual response rate is calculated by comparing the number of survey responses received compared to the number of surveys distributed to families</w:t>
      </w:r>
      <w:r w:rsidRPr="005C29F8">
        <w:rPr>
          <w:rFonts w:cs="Arial"/>
          <w:color w:val="000000" w:themeColor="text1"/>
          <w:szCs w:val="16"/>
        </w:rPr>
        <w:br/>
        <w:t>of students with IEPs served by the participating LEAs. This year’s response rate is 11.22%. MA DESE recognizes that historically the response rate has</w:t>
      </w:r>
      <w:r w:rsidRPr="005C29F8">
        <w:rPr>
          <w:rFonts w:cs="Arial"/>
          <w:color w:val="000000" w:themeColor="text1"/>
          <w:szCs w:val="16"/>
        </w:rPr>
        <w:br/>
        <w:t>been low. For FFY 2019, MA DESE reviewed representativeness in an effort to determine which families are not responding;  and is developing technical</w:t>
      </w:r>
      <w:r w:rsidRPr="005C29F8">
        <w:rPr>
          <w:rFonts w:cs="Arial"/>
          <w:color w:val="000000" w:themeColor="text1"/>
          <w:szCs w:val="16"/>
        </w:rPr>
        <w:br/>
        <w:t>assistance (TA) and resources for the LEAs to develop plans to better engage these families. MA DESE continues to work within the TFM systems to</w:t>
      </w:r>
      <w:r w:rsidRPr="005C29F8">
        <w:rPr>
          <w:rFonts w:cs="Arial"/>
          <w:color w:val="000000" w:themeColor="text1"/>
          <w:szCs w:val="16"/>
        </w:rPr>
        <w:br/>
        <w:t>increase the response rate in an effort to increase the representativeness of the results.</w:t>
      </w:r>
      <w:r w:rsidRPr="005C29F8">
        <w:rPr>
          <w:rFonts w:cs="Arial"/>
          <w:color w:val="000000" w:themeColor="text1"/>
          <w:szCs w:val="16"/>
        </w:rPr>
        <w:br/>
        <w:t>The Parent Survey is intended to complement the family engagement activities and surveys that occur locally, and are comprised of</w:t>
      </w:r>
      <w:r w:rsidRPr="005C29F8">
        <w:rPr>
          <w:rFonts w:cs="Arial"/>
          <w:color w:val="000000" w:themeColor="text1"/>
          <w:szCs w:val="16"/>
        </w:rPr>
        <w:br/>
        <w:t>statements/questions that parents rate on a scale of 1 (strongly disagree) through 4 (strongly agree). The standard adopted to demonstrate “schools</w:t>
      </w:r>
      <w:r w:rsidRPr="005C29F8">
        <w:rPr>
          <w:rFonts w:cs="Arial"/>
          <w:color w:val="000000" w:themeColor="text1"/>
          <w:szCs w:val="16"/>
        </w:rPr>
        <w:br/>
        <w:t>facilitated parent involvement as a means of improving services and results for students with disabilities” requires that each survey respondent agree or</w:t>
      </w:r>
      <w:r w:rsidRPr="005C29F8">
        <w:rPr>
          <w:rFonts w:cs="Arial"/>
          <w:color w:val="000000" w:themeColor="text1"/>
          <w:szCs w:val="16"/>
        </w:rPr>
        <w:br/>
        <w:t>strongly agree with 50% or more of the survey items. The MA DESE Office of Planning and Research has approved the methodology for calculating</w:t>
      </w:r>
      <w:r w:rsidRPr="005C29F8">
        <w:rPr>
          <w:rFonts w:cs="Arial"/>
          <w:color w:val="000000" w:themeColor="text1"/>
          <w:szCs w:val="16"/>
        </w:rPr>
        <w:br/>
        <w:t>results. In FFY 2019, 2344 of the 2647 respondent parents agreed or strongly agreed with at least 50% of the items, yielding an agreement rate of 88.55%.</w:t>
      </w:r>
      <w:r w:rsidRPr="005C29F8">
        <w:rPr>
          <w:rFonts w:cs="Arial"/>
          <w:color w:val="000000" w:themeColor="text1"/>
          <w:szCs w:val="16"/>
        </w:rPr>
        <w:br/>
        <w:t>MA DESE recognizes that data should be representative to provide meaningful information about family engagement. The Parent Survey administered</w:t>
      </w:r>
      <w:r w:rsidRPr="005C29F8">
        <w:rPr>
          <w:rFonts w:cs="Arial"/>
          <w:color w:val="000000" w:themeColor="text1"/>
          <w:szCs w:val="16"/>
        </w:rPr>
        <w:br/>
        <w:t>through the TFM process was developed to include optional questions for which families could, voluntarily, identify grade span, placement, gender and</w:t>
      </w:r>
      <w:r w:rsidRPr="005C29F8">
        <w:rPr>
          <w:rFonts w:cs="Arial"/>
          <w:color w:val="000000" w:themeColor="text1"/>
          <w:szCs w:val="16"/>
        </w:rPr>
        <w:br/>
        <w:t>race/ethnicity. The data collected that the FFY 2019 survey responses are not representative of the statewide enrollment data of students with</w:t>
      </w:r>
      <w:r w:rsidRPr="005C29F8">
        <w:rPr>
          <w:rFonts w:cs="Arial"/>
          <w:color w:val="000000" w:themeColor="text1"/>
          <w:szCs w:val="16"/>
        </w:rPr>
        <w:br/>
        <w:t>disabilities by race or ethnicity as shown in the charts below.</w:t>
      </w:r>
      <w:r w:rsidRPr="005C29F8">
        <w:rPr>
          <w:rFonts w:cs="Arial"/>
          <w:color w:val="000000" w:themeColor="text1"/>
          <w:szCs w:val="16"/>
        </w:rPr>
        <w:br/>
      </w:r>
      <w:r w:rsidRPr="005C29F8">
        <w:rPr>
          <w:rFonts w:cs="Arial"/>
          <w:color w:val="000000" w:themeColor="text1"/>
          <w:szCs w:val="16"/>
        </w:rPr>
        <w:br/>
        <w:t>Using the TFM Parent Survey, there were no responses identifying gender. While MA DESE has statewide data regarding the gender of students with an</w:t>
      </w:r>
      <w:r w:rsidRPr="005C29F8">
        <w:rPr>
          <w:rFonts w:cs="Arial"/>
          <w:color w:val="000000" w:themeColor="text1"/>
          <w:szCs w:val="16"/>
        </w:rPr>
        <w:br/>
        <w:t>IEP, the data collected through the FFY 2019 Parent Survey does not provide reportable data.</w:t>
      </w:r>
      <w:r w:rsidRPr="005C29F8">
        <w:rPr>
          <w:rFonts w:cs="Arial"/>
          <w:color w:val="000000" w:themeColor="text1"/>
          <w:szCs w:val="16"/>
        </w:rPr>
        <w:br/>
        <w:t>STATE Female: 34.6 Male: 65.3 Non-Binary: Not available</w:t>
      </w:r>
      <w:r w:rsidRPr="005C29F8">
        <w:rPr>
          <w:rFonts w:cs="Arial"/>
          <w:color w:val="000000" w:themeColor="text1"/>
          <w:szCs w:val="16"/>
        </w:rPr>
        <w:br/>
        <w:t xml:space="preserve">LEA Female: 0.0 Male: 0.0 Non-Binary: 0.0 </w:t>
      </w:r>
      <w:r w:rsidRPr="005C29F8">
        <w:rPr>
          <w:rFonts w:cs="Arial"/>
          <w:color w:val="000000" w:themeColor="text1"/>
          <w:szCs w:val="16"/>
        </w:rPr>
        <w:br/>
      </w:r>
      <w:r w:rsidRPr="005C29F8">
        <w:rPr>
          <w:rFonts w:cs="Arial"/>
          <w:color w:val="000000" w:themeColor="text1"/>
          <w:szCs w:val="16"/>
        </w:rPr>
        <w:br/>
        <w:t>Using the TFM Parent Survey, the data collected regarding responses from families of students with an IEP in a specific grade span are not</w:t>
      </w:r>
      <w:r w:rsidRPr="005C29F8">
        <w:rPr>
          <w:rFonts w:cs="Arial"/>
          <w:color w:val="000000" w:themeColor="text1"/>
          <w:szCs w:val="16"/>
        </w:rPr>
        <w:br/>
        <w:t>representative of the statewide data.</w:t>
      </w:r>
      <w:r w:rsidRPr="005C29F8">
        <w:rPr>
          <w:rFonts w:cs="Arial"/>
          <w:color w:val="000000" w:themeColor="text1"/>
          <w:szCs w:val="16"/>
        </w:rPr>
        <w:br/>
        <w:t>State - PreK-5: 43.08% , 6-8: 23.98%, 9-12: 28.18%, 12+: 4.76%</w:t>
      </w:r>
      <w:r w:rsidRPr="005C29F8">
        <w:rPr>
          <w:rFonts w:cs="Arial"/>
          <w:color w:val="000000" w:themeColor="text1"/>
          <w:szCs w:val="16"/>
        </w:rPr>
        <w:br/>
        <w:t>LEA - PreK-5: 49.34%, 6-8: 23.04%, 9-12: 23.67%, 12+: 2.94%</w:t>
      </w:r>
      <w:r w:rsidRPr="005C29F8">
        <w:rPr>
          <w:rFonts w:cs="Arial"/>
          <w:color w:val="000000" w:themeColor="text1"/>
          <w:szCs w:val="16"/>
        </w:rPr>
        <w:br/>
      </w:r>
      <w:r w:rsidRPr="005C29F8">
        <w:rPr>
          <w:rFonts w:cs="Arial"/>
          <w:color w:val="000000" w:themeColor="text1"/>
          <w:szCs w:val="16"/>
        </w:rPr>
        <w:br/>
        <w:t>Using the TFM Parent Survey, the data collected regarding the race/ethnicity of students with an IEP indicates that the data is not representative of the</w:t>
      </w:r>
      <w:r w:rsidRPr="005C29F8">
        <w:rPr>
          <w:rFonts w:cs="Arial"/>
          <w:color w:val="000000" w:themeColor="text1"/>
          <w:szCs w:val="16"/>
        </w:rPr>
        <w:br/>
        <w:t>state.</w:t>
      </w:r>
      <w:r w:rsidRPr="005C29F8">
        <w:rPr>
          <w:rFonts w:cs="Arial"/>
          <w:color w:val="000000" w:themeColor="text1"/>
          <w:szCs w:val="16"/>
        </w:rPr>
        <w:br/>
        <w:t>State - Multiracial: 4.0%, Hispanic-Latino: 24.6%, White: 56.9%, Black-African American: 10.6%, Asian: 3.7%, Native American-Native Alaskan: 0.3%</w:t>
      </w:r>
      <w:r w:rsidRPr="005C29F8">
        <w:rPr>
          <w:rFonts w:cs="Arial"/>
          <w:color w:val="000000" w:themeColor="text1"/>
          <w:szCs w:val="16"/>
        </w:rPr>
        <w:br/>
        <w:t>Native Hawaiian-Pacific Islander: 0.1%</w:t>
      </w:r>
      <w:r w:rsidRPr="005C29F8">
        <w:rPr>
          <w:rFonts w:cs="Arial"/>
          <w:color w:val="000000" w:themeColor="text1"/>
          <w:szCs w:val="16"/>
        </w:rPr>
        <w:br/>
        <w:t>LEA - Multiracial: 5.0%, Hispanic-Latino: 7.0%, White: 80.0%, Black-African American: 6.0%, Asian: 4.0%, Native American-Native Alaskan: 1.0%</w:t>
      </w:r>
      <w:r w:rsidRPr="005C29F8">
        <w:rPr>
          <w:rFonts w:cs="Arial"/>
          <w:color w:val="000000" w:themeColor="text1"/>
          <w:szCs w:val="16"/>
        </w:rPr>
        <w:br/>
        <w:t>Native Hawaiian-Pacific Islander: 0.0%</w:t>
      </w:r>
      <w:r w:rsidRPr="005C29F8">
        <w:rPr>
          <w:rFonts w:cs="Arial"/>
          <w:color w:val="000000" w:themeColor="text1"/>
          <w:szCs w:val="16"/>
        </w:rPr>
        <w:br/>
      </w:r>
      <w:r w:rsidRPr="005C29F8">
        <w:rPr>
          <w:rFonts w:cs="Arial"/>
          <w:color w:val="000000" w:themeColor="text1"/>
          <w:szCs w:val="16"/>
        </w:rPr>
        <w:br/>
        <w:t>Using the TFM Parent Survey, the data collected regarding the placement of students with an IEP could not be analyzed. It is suspected that families</w:t>
      </w:r>
      <w:r w:rsidRPr="005C29F8">
        <w:rPr>
          <w:rFonts w:cs="Arial"/>
          <w:color w:val="000000" w:themeColor="text1"/>
          <w:szCs w:val="16"/>
        </w:rPr>
        <w:br/>
        <w:t>completing the survey identified multiple placements. For example, the family may have identified an inclusive program as well as a substantially</w:t>
      </w:r>
      <w:r w:rsidRPr="005C29F8">
        <w:rPr>
          <w:rFonts w:cs="Arial"/>
          <w:color w:val="000000" w:themeColor="text1"/>
          <w:szCs w:val="16"/>
        </w:rPr>
        <w:br/>
        <w:t>separated program with an explanation that their child attended inclusive classrooms for most academics but attended a separate program for an</w:t>
      </w:r>
      <w:r w:rsidRPr="005C29F8">
        <w:rPr>
          <w:rFonts w:cs="Arial"/>
          <w:color w:val="000000" w:themeColor="text1"/>
          <w:szCs w:val="16"/>
        </w:rPr>
        <w:br/>
        <w:t>additional class. This confusion resulted in data that could not be compared to statewide data.</w:t>
      </w:r>
    </w:p>
    <w:p w14:paraId="1A0A4F5E" w14:textId="77777777" w:rsidR="00221EC9" w:rsidRPr="005C29F8" w:rsidRDefault="00221EC9" w:rsidP="00221EC9">
      <w:pPr>
        <w:rPr>
          <w:rFonts w:cs="Arial"/>
          <w:b/>
          <w:color w:val="000000" w:themeColor="text1"/>
          <w:szCs w:val="16"/>
        </w:rPr>
      </w:pPr>
      <w:bookmarkStart w:id="39" w:name="_Toc381956336"/>
      <w:bookmarkStart w:id="40" w:name="_Toc384383342"/>
      <w:bookmarkStart w:id="41" w:name="_Toc392159310"/>
      <w:bookmarkStart w:id="42" w:name="_Toc382082387"/>
      <w:r w:rsidRPr="005C29F8">
        <w:rPr>
          <w:rFonts w:cs="Arial"/>
          <w:b/>
          <w:color w:val="000000" w:themeColor="text1"/>
          <w:szCs w:val="16"/>
        </w:rPr>
        <w:lastRenderedPageBreak/>
        <w:t>Provide additional information about this indicator (optional)</w:t>
      </w:r>
    </w:p>
    <w:p w14:paraId="7F22D6A0" w14:textId="105FEEC5" w:rsidR="009B37A2" w:rsidRPr="005C29F8" w:rsidRDefault="002B7490" w:rsidP="007D435F">
      <w:pPr>
        <w:rPr>
          <w:rFonts w:cs="Arial"/>
          <w:color w:val="000000" w:themeColor="text1"/>
          <w:szCs w:val="16"/>
        </w:rPr>
      </w:pPr>
      <w:r w:rsidRPr="005C29F8">
        <w:rPr>
          <w:rFonts w:cs="Arial"/>
          <w:color w:val="000000" w:themeColor="text1"/>
          <w:szCs w:val="16"/>
        </w:rPr>
        <w:t>Through the TFM process, MA DESE provides informational meetings for families to explain the TFM process and survey, and the importance of</w:t>
      </w:r>
      <w:r w:rsidRPr="005C29F8">
        <w:rPr>
          <w:rFonts w:cs="Arial"/>
          <w:color w:val="000000" w:themeColor="text1"/>
          <w:szCs w:val="16"/>
        </w:rPr>
        <w:br/>
        <w:t>receiving input from families. The TFM process also provides information to the LEA administrator regarding trends and any concerns identified through</w:t>
      </w:r>
      <w:r w:rsidRPr="005C29F8">
        <w:rPr>
          <w:rFonts w:cs="Arial"/>
          <w:color w:val="000000" w:themeColor="text1"/>
          <w:szCs w:val="16"/>
        </w:rPr>
        <w:br/>
        <w:t>the Parent Survey; this is done during administrator interviews and at the exit meeting.</w:t>
      </w:r>
      <w:r w:rsidRPr="005C29F8">
        <w:rPr>
          <w:rFonts w:cs="Arial"/>
          <w:color w:val="000000" w:themeColor="text1"/>
          <w:szCs w:val="16"/>
        </w:rPr>
        <w:br/>
        <w:t>MA DESE continues to support family engagement central to successful student outcomes. The priority continues to be incorporated into the MA</w:t>
      </w:r>
      <w:r w:rsidRPr="005C29F8">
        <w:rPr>
          <w:rFonts w:cs="Arial"/>
          <w:color w:val="000000" w:themeColor="text1"/>
          <w:szCs w:val="16"/>
        </w:rPr>
        <w:br/>
        <w:t xml:space="preserve">DESE’s State Systemic Improvement Plan (SSIP) focused on implementation of the Pyramid Model and Positive Solutions for Families. MA DESE </w:t>
      </w:r>
      <w:r w:rsidRPr="005C29F8">
        <w:rPr>
          <w:rFonts w:cs="Arial"/>
          <w:color w:val="000000" w:themeColor="text1"/>
          <w:szCs w:val="16"/>
        </w:rPr>
        <w:br/>
        <w:t>adopted an agency-wide definition of Family Engagement and continues to work with LEAs with high needs to participate in the research-based,</w:t>
      </w:r>
      <w:r w:rsidRPr="005C29F8">
        <w:rPr>
          <w:rFonts w:cs="Arial"/>
          <w:color w:val="000000" w:themeColor="text1"/>
          <w:szCs w:val="16"/>
        </w:rPr>
        <w:br/>
        <w:t xml:space="preserve">nationally practiced Parent Institute for Quality Education (PIQE) program. MA DESE continues to facilitate a cross-agency, cross-secretariat stakeholder group. This group </w:t>
      </w:r>
      <w:r w:rsidRPr="005C29F8">
        <w:rPr>
          <w:rFonts w:cs="Arial"/>
          <w:color w:val="000000" w:themeColor="text1"/>
          <w:szCs w:val="16"/>
        </w:rPr>
        <w:br/>
        <w:t>developed the Prenatal Through Young Adulthood Family Engagement Framework and training modules. They are also working on updating DESE's Massachusetts Family, School, and Community Partnership Fundamentals as a companion document to support programs in the self-assessment process. MA DESE is a recipient of the Federal Grant for the Statewide Family Engagement Center to build state and local infrastructures to implement effective family engagement practice; currently in year three of five. MA DESE continues to work closely with the Federation for Children with Special Needs to identify gaps in family engagement resources and training, and to develop and provide training for families and LEAs regarding special education and family engagement. With the Federation for Children with special needs, DESE is developing a process to include data from parent and district training when analyzing the impact of family engagement on student outcomes.</w:t>
      </w:r>
    </w:p>
    <w:p w14:paraId="1CDDE440" w14:textId="050C9555" w:rsidR="000A2C83" w:rsidRPr="0033429D" w:rsidRDefault="00752BAF" w:rsidP="008645AD">
      <w:pPr>
        <w:pStyle w:val="Heading2"/>
      </w:pPr>
      <w:r w:rsidRPr="0033429D">
        <w:t>8</w:t>
      </w:r>
      <w:r w:rsidR="001F6BAA" w:rsidRPr="0033429D">
        <w:t xml:space="preserve"> </w:t>
      </w:r>
      <w:r w:rsidRPr="0033429D">
        <w:t xml:space="preserve">- </w:t>
      </w:r>
      <w:r w:rsidR="000A2C83" w:rsidRPr="0033429D">
        <w:t>Prior FFY Required Actions</w:t>
      </w:r>
    </w:p>
    <w:p w14:paraId="078A2B9E" w14:textId="64337A5A" w:rsidR="000A2C83" w:rsidRPr="005C29F8" w:rsidRDefault="002B7490" w:rsidP="000A2C83">
      <w:pPr>
        <w:rPr>
          <w:rFonts w:cs="Arial"/>
          <w:color w:val="000000" w:themeColor="text1"/>
          <w:szCs w:val="16"/>
        </w:rPr>
      </w:pPr>
      <w:r w:rsidRPr="005C29F8">
        <w:rPr>
          <w:rFonts w:cs="Arial"/>
          <w:color w:val="000000" w:themeColor="text1"/>
          <w:szCs w:val="16"/>
        </w:rPr>
        <w:t xml:space="preserve">In the FFY 2019 SPP/APR, the State must report whether its FFY 2019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5AB800FF" w14:textId="6C6FEA6C" w:rsidR="000A2C83" w:rsidRPr="005C29F8" w:rsidRDefault="000A2C83" w:rsidP="004369B2">
      <w:pPr>
        <w:rPr>
          <w:b/>
          <w:color w:val="000000" w:themeColor="text1"/>
        </w:rPr>
      </w:pPr>
      <w:r w:rsidRPr="005C29F8">
        <w:rPr>
          <w:b/>
          <w:color w:val="000000" w:themeColor="text1"/>
        </w:rPr>
        <w:t>Response to actions required in FFY 2018 SPP/APR</w:t>
      </w:r>
    </w:p>
    <w:p w14:paraId="03E9CB46" w14:textId="594F3FDD" w:rsidR="007757B1" w:rsidRPr="005C29F8" w:rsidRDefault="002B7490" w:rsidP="007757B1">
      <w:pPr>
        <w:rPr>
          <w:rFonts w:cs="Arial"/>
          <w:color w:val="000000" w:themeColor="text1"/>
          <w:szCs w:val="16"/>
        </w:rPr>
      </w:pPr>
      <w:r w:rsidRPr="005C29F8">
        <w:rPr>
          <w:rFonts w:cs="Arial"/>
          <w:color w:val="000000" w:themeColor="text1"/>
          <w:szCs w:val="16"/>
        </w:rPr>
        <w:t xml:space="preserve">The FFY 2019 cohort reported Indicator 8 data using the parent survey administered through the Tiered Focused Monitoring (TFM) process. Each year a representative group of LEAs participates in the TFM process, including urban, suburban, rural, large, medium and small LEAs, as well as the full range of LEA program and structure types (charter, virtual, CVTE, and comprehensive). These LEAs serve a full range of student disability types and need for services, such that the TFM process is representative of the State as a whole. MA DESE is using the IDEA Data Center's Parent Involvement Data Toolkit to assist in the analysis of data relative to representativeness. As a result, and through continued discussion with the Special Education Advisory Panel members, MA DESE is collects, on a voluntary basis, demographic information for race/ethnicity, placement, gender and grade span. </w:t>
      </w:r>
      <w:r w:rsidRPr="005C29F8">
        <w:rPr>
          <w:rFonts w:cs="Arial"/>
          <w:color w:val="000000" w:themeColor="text1"/>
          <w:szCs w:val="16"/>
        </w:rPr>
        <w:br/>
      </w:r>
      <w:r w:rsidRPr="005C29F8">
        <w:rPr>
          <w:rFonts w:cs="Arial"/>
          <w:color w:val="000000" w:themeColor="text1"/>
          <w:szCs w:val="16"/>
        </w:rPr>
        <w:br/>
        <w:t xml:space="preserve">MA DESE does not have concerns about the validity and reliability of its sampling method for Indicator 8, as parent responses to the parent surveys are submitted directly by families to MA DESE. However, MA DESE recognizes that its FFY 2019 response rate of 11.22% continues to be low. Because of the low response rate, and because demographic information is collected on a voluntary basis, MA DESE has low confidence in the representativeness of the data. </w:t>
      </w:r>
      <w:r w:rsidRPr="005C29F8">
        <w:rPr>
          <w:rFonts w:cs="Arial"/>
          <w:color w:val="000000" w:themeColor="text1"/>
          <w:szCs w:val="16"/>
        </w:rPr>
        <w:br/>
      </w:r>
      <w:r w:rsidRPr="005C29F8">
        <w:rPr>
          <w:rFonts w:cs="Arial"/>
          <w:color w:val="000000" w:themeColor="text1"/>
          <w:szCs w:val="16"/>
        </w:rPr>
        <w:br/>
        <w:t xml:space="preserve">The data collected that the FFY 2019 survey responses are not representative of the statewide enrollment data of students with disabilities by gender, race or ethnicity, placement and grade span as shown in the charts below. </w:t>
      </w:r>
      <w:r w:rsidRPr="005C29F8">
        <w:rPr>
          <w:rFonts w:cs="Arial"/>
          <w:color w:val="000000" w:themeColor="text1"/>
          <w:szCs w:val="16"/>
        </w:rPr>
        <w:br/>
      </w:r>
      <w:r w:rsidRPr="005C29F8">
        <w:rPr>
          <w:rFonts w:cs="Arial"/>
          <w:color w:val="000000" w:themeColor="text1"/>
          <w:szCs w:val="16"/>
        </w:rPr>
        <w:br/>
        <w:t>Using the TFM Parent Survey, there were no responses identifying gender. While MA DESE has statewide data regarding the gender of students with an</w:t>
      </w:r>
      <w:r w:rsidRPr="005C29F8">
        <w:rPr>
          <w:rFonts w:cs="Arial"/>
          <w:color w:val="000000" w:themeColor="text1"/>
          <w:szCs w:val="16"/>
        </w:rPr>
        <w:br/>
        <w:t>IEP, the data collected through the FFY 2019 Parent Survey does not provide reportable data.</w:t>
      </w:r>
      <w:r w:rsidRPr="005C29F8">
        <w:rPr>
          <w:rFonts w:cs="Arial"/>
          <w:color w:val="000000" w:themeColor="text1"/>
          <w:szCs w:val="16"/>
        </w:rPr>
        <w:br/>
        <w:t>STATE Female: 34.6 Male: 65.3 Non-Binary: Not available</w:t>
      </w:r>
      <w:r w:rsidRPr="005C29F8">
        <w:rPr>
          <w:rFonts w:cs="Arial"/>
          <w:color w:val="000000" w:themeColor="text1"/>
          <w:szCs w:val="16"/>
        </w:rPr>
        <w:br/>
        <w:t xml:space="preserve">LEA Female: 0.0 Male: 0.0 Non-Binary: 0.0 </w:t>
      </w:r>
      <w:r w:rsidRPr="005C29F8">
        <w:rPr>
          <w:rFonts w:cs="Arial"/>
          <w:color w:val="000000" w:themeColor="text1"/>
          <w:szCs w:val="16"/>
        </w:rPr>
        <w:br/>
      </w:r>
      <w:r w:rsidRPr="005C29F8">
        <w:rPr>
          <w:rFonts w:cs="Arial"/>
          <w:color w:val="000000" w:themeColor="text1"/>
          <w:szCs w:val="16"/>
        </w:rPr>
        <w:br/>
        <w:t>Using the TFM Parent Survey, the data collected regarding responses from families of students with an IEP in a specific grade span are not</w:t>
      </w:r>
      <w:r w:rsidRPr="005C29F8">
        <w:rPr>
          <w:rFonts w:cs="Arial"/>
          <w:color w:val="000000" w:themeColor="text1"/>
          <w:szCs w:val="16"/>
        </w:rPr>
        <w:br/>
        <w:t>representative of the statewide data.</w:t>
      </w:r>
      <w:r w:rsidRPr="005C29F8">
        <w:rPr>
          <w:rFonts w:cs="Arial"/>
          <w:color w:val="000000" w:themeColor="text1"/>
          <w:szCs w:val="16"/>
        </w:rPr>
        <w:br/>
        <w:t>State - PreK-5: 43.08% , 6-8: 23.98%, 9-12: 28.18%, 12+: 4.76%</w:t>
      </w:r>
      <w:r w:rsidRPr="005C29F8">
        <w:rPr>
          <w:rFonts w:cs="Arial"/>
          <w:color w:val="000000" w:themeColor="text1"/>
          <w:szCs w:val="16"/>
        </w:rPr>
        <w:br/>
        <w:t>LEA - PreK-5: 49.34%, 6-8: 23.04%, 9-12: 23.67%, 12+: 2.94%</w:t>
      </w:r>
      <w:r w:rsidRPr="005C29F8">
        <w:rPr>
          <w:rFonts w:cs="Arial"/>
          <w:color w:val="000000" w:themeColor="text1"/>
          <w:szCs w:val="16"/>
        </w:rPr>
        <w:br/>
      </w:r>
      <w:r w:rsidRPr="005C29F8">
        <w:rPr>
          <w:rFonts w:cs="Arial"/>
          <w:color w:val="000000" w:themeColor="text1"/>
          <w:szCs w:val="16"/>
        </w:rPr>
        <w:br/>
        <w:t>Using the TFM Parent Survey, the data collected regarding the race/ethnicity of students with an IEP indicates that the data is not representative of the</w:t>
      </w:r>
      <w:r w:rsidRPr="005C29F8">
        <w:rPr>
          <w:rFonts w:cs="Arial"/>
          <w:color w:val="000000" w:themeColor="text1"/>
          <w:szCs w:val="16"/>
        </w:rPr>
        <w:br/>
        <w:t>state.</w:t>
      </w:r>
      <w:r w:rsidRPr="005C29F8">
        <w:rPr>
          <w:rFonts w:cs="Arial"/>
          <w:color w:val="000000" w:themeColor="text1"/>
          <w:szCs w:val="16"/>
        </w:rPr>
        <w:br/>
        <w:t>State - Multiracial: 4.0%, Hispanic-Latino: 24.6%, White: 56.9%, Black-African American: 10.6%, Asian: 3.7%, Native American-Native Alaskan: 0.3%</w:t>
      </w:r>
      <w:r w:rsidRPr="005C29F8">
        <w:rPr>
          <w:rFonts w:cs="Arial"/>
          <w:color w:val="000000" w:themeColor="text1"/>
          <w:szCs w:val="16"/>
        </w:rPr>
        <w:br/>
        <w:t>Native Hawaiian-Pacific Islander: 0.1%</w:t>
      </w:r>
      <w:r w:rsidRPr="005C29F8">
        <w:rPr>
          <w:rFonts w:cs="Arial"/>
          <w:color w:val="000000" w:themeColor="text1"/>
          <w:szCs w:val="16"/>
        </w:rPr>
        <w:br/>
        <w:t>LEA - Multiracial: 5.0%, Hispanic-Latino: 7.0%, White: 80.0%, Black-African American: 6.0%, Asian: 4.0%, Native American-Native Alaskan: 1.0%</w:t>
      </w:r>
      <w:r w:rsidRPr="005C29F8">
        <w:rPr>
          <w:rFonts w:cs="Arial"/>
          <w:color w:val="000000" w:themeColor="text1"/>
          <w:szCs w:val="16"/>
        </w:rPr>
        <w:br/>
        <w:t>Native Hawaiian-Pacific Islander: 0.0%</w:t>
      </w:r>
      <w:r w:rsidRPr="005C29F8">
        <w:rPr>
          <w:rFonts w:cs="Arial"/>
          <w:color w:val="000000" w:themeColor="text1"/>
          <w:szCs w:val="16"/>
        </w:rPr>
        <w:br/>
      </w:r>
      <w:r w:rsidRPr="005C29F8">
        <w:rPr>
          <w:rFonts w:cs="Arial"/>
          <w:color w:val="000000" w:themeColor="text1"/>
          <w:szCs w:val="16"/>
        </w:rPr>
        <w:br/>
        <w:t>Using the TFM Parent Survey, the data collected regarding the placement of students with an IEP could not be analyzed. It is suspected that families</w:t>
      </w:r>
      <w:r w:rsidRPr="005C29F8">
        <w:rPr>
          <w:rFonts w:cs="Arial"/>
          <w:color w:val="000000" w:themeColor="text1"/>
          <w:szCs w:val="16"/>
        </w:rPr>
        <w:br/>
        <w:t>completing the survey identified multiple placements. For example, the family may have identified an inclusive program as well as a substantially</w:t>
      </w:r>
      <w:r w:rsidRPr="005C29F8">
        <w:rPr>
          <w:rFonts w:cs="Arial"/>
          <w:color w:val="000000" w:themeColor="text1"/>
          <w:szCs w:val="16"/>
        </w:rPr>
        <w:br/>
        <w:t>separated program with an explanation that their child attended inclusive classrooms for most academics but attended a separate program for an</w:t>
      </w:r>
      <w:r w:rsidRPr="005C29F8">
        <w:rPr>
          <w:rFonts w:cs="Arial"/>
          <w:color w:val="000000" w:themeColor="text1"/>
          <w:szCs w:val="16"/>
        </w:rPr>
        <w:br/>
        <w:t>additional class. This confusion resulted in data that could not be compared to statewide data.</w:t>
      </w:r>
      <w:r w:rsidRPr="005C29F8">
        <w:rPr>
          <w:rFonts w:cs="Arial"/>
          <w:color w:val="000000" w:themeColor="text1"/>
          <w:szCs w:val="16"/>
        </w:rPr>
        <w:br/>
      </w:r>
      <w:r w:rsidRPr="005C29F8">
        <w:rPr>
          <w:rFonts w:cs="Arial"/>
          <w:color w:val="000000" w:themeColor="text1"/>
          <w:szCs w:val="16"/>
        </w:rPr>
        <w:br/>
        <w:t xml:space="preserve">MA DESE continues to support family engagement central to successful student outcomes. MA DESE has adopted an agency-wide definition of Family Engagement which has been key in the development of a cross-agency, cross-secretariat stakeholder group for which MA DESE is the lead facilitator. This group developed the Prenatal Through Young Adulthood Family Engagement Framework and training modules. The stakeholder group are currently updating DESE's Massachusetts Family, School, and Community Partnership Fundamentals as a companion document to support LEAs and programs in the self-assessment of their culture and climate related to family engagement. </w:t>
      </w:r>
      <w:r w:rsidRPr="005C29F8">
        <w:rPr>
          <w:rFonts w:cs="Arial"/>
          <w:color w:val="000000" w:themeColor="text1"/>
          <w:szCs w:val="16"/>
        </w:rPr>
        <w:br/>
      </w:r>
      <w:r w:rsidRPr="005C29F8">
        <w:rPr>
          <w:rFonts w:cs="Arial"/>
          <w:color w:val="000000" w:themeColor="text1"/>
          <w:szCs w:val="16"/>
        </w:rPr>
        <w:br/>
        <w:t xml:space="preserve">MA DESE is a recipient of the Federal Grant for the Statewide Family Engagement Center (SFEC) to build state and local infrastructures to implement effective family engagement practice; currently in year three of five. While the SFEC addresses family engagement for all families, MA DESE is working closely with the Federation for Children with Special Needs to identify gaps in family engagement resources and trainings, and to develop and provide training for families and LEAs regarding special education and family engagement. With the Federation for Children with special needs, DESE is developing processes to include data from parent and district training evaluations when analyzing the impact of family engagement on student outcomes. </w:t>
      </w:r>
      <w:r w:rsidRPr="005C29F8">
        <w:rPr>
          <w:rFonts w:cs="Arial"/>
          <w:color w:val="000000" w:themeColor="text1"/>
          <w:szCs w:val="16"/>
        </w:rPr>
        <w:br/>
      </w:r>
      <w:r w:rsidRPr="005C29F8">
        <w:rPr>
          <w:rFonts w:cs="Arial"/>
          <w:color w:val="000000" w:themeColor="text1"/>
          <w:szCs w:val="16"/>
        </w:rPr>
        <w:br/>
        <w:t>MA DESE’s State Systemic Improvement Plan (SSIP), focused on implementation of the Pyramid Model and Positive Solutions for Families, continues to provide resources to support meaningful family engagement. Additionally, MA DESE continues to work with LEAs with high needs to participate in the research-based, nationally practiced Parent Institute for Quality Education (PIQE) program.</w:t>
      </w:r>
      <w:r w:rsidRPr="005C29F8">
        <w:rPr>
          <w:rFonts w:cs="Arial"/>
          <w:color w:val="000000" w:themeColor="text1"/>
          <w:szCs w:val="16"/>
        </w:rPr>
        <w:br/>
      </w:r>
      <w:r w:rsidRPr="005C29F8">
        <w:rPr>
          <w:rFonts w:cs="Arial"/>
          <w:color w:val="000000" w:themeColor="text1"/>
          <w:szCs w:val="16"/>
        </w:rPr>
        <w:lastRenderedPageBreak/>
        <w:br/>
        <w:t>As part of the TFM process, MA DESE provides informational meetings for families to explain the district review process and parent survey, and the importance of receiving input from families. The TFM process also provides information to the LEA administrator regarding trends and any concerns identified through the Parent Survey; this is done during administrator interviews and at the exit meeting.</w:t>
      </w:r>
    </w:p>
    <w:p w14:paraId="5B521A52" w14:textId="17857299" w:rsidR="00221EC9" w:rsidRPr="0033429D" w:rsidRDefault="00752BAF" w:rsidP="008645AD">
      <w:pPr>
        <w:pStyle w:val="Heading2"/>
      </w:pPr>
      <w:r w:rsidRPr="0033429D">
        <w:t>8 - OSEP Response</w:t>
      </w:r>
    </w:p>
    <w:p w14:paraId="1A55D397" w14:textId="0DDAC080" w:rsidR="009B37A2" w:rsidRPr="005C29F8" w:rsidRDefault="009B37A2" w:rsidP="001F692C">
      <w:pPr>
        <w:rPr>
          <w:rFonts w:cs="Arial"/>
          <w:color w:val="000000" w:themeColor="text1"/>
          <w:szCs w:val="16"/>
        </w:rPr>
      </w:pPr>
    </w:p>
    <w:p w14:paraId="13389642" w14:textId="758A1D0A" w:rsidR="00221EC9" w:rsidRPr="0033429D" w:rsidRDefault="00752BAF" w:rsidP="008645AD">
      <w:pPr>
        <w:pStyle w:val="Heading2"/>
      </w:pPr>
      <w:r w:rsidRPr="0033429D">
        <w:t>8 - Required Actions</w:t>
      </w:r>
    </w:p>
    <w:p w14:paraId="48F68B87" w14:textId="7D160B08" w:rsidR="009B37A2" w:rsidRPr="005C29F8" w:rsidRDefault="002B7490" w:rsidP="001F692C">
      <w:pPr>
        <w:rPr>
          <w:rFonts w:cs="Arial"/>
          <w:color w:val="000000" w:themeColor="text1"/>
          <w:szCs w:val="16"/>
        </w:rPr>
      </w:pPr>
      <w:r w:rsidRPr="005C29F8">
        <w:rPr>
          <w:rFonts w:cs="Arial"/>
          <w:color w:val="000000" w:themeColor="text1"/>
          <w:szCs w:val="16"/>
        </w:rPr>
        <w:t xml:space="preserve">In the FFY 2020 SPP/APR, the State must report whether its FFY 2020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6D95E736" w14:textId="77777777" w:rsidR="00102FA3" w:rsidRPr="005C29F8" w:rsidRDefault="00102FA3">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0E39FDA6" w14:textId="025763A2" w:rsidR="00D03701" w:rsidRPr="005C29F8" w:rsidRDefault="00D03701" w:rsidP="000444E2">
      <w:pPr>
        <w:pStyle w:val="Heading1"/>
        <w:rPr>
          <w:color w:val="000000" w:themeColor="text1"/>
          <w:sz w:val="22"/>
        </w:rPr>
      </w:pPr>
      <w:r w:rsidRPr="005C29F8">
        <w:rPr>
          <w:color w:val="000000" w:themeColor="text1"/>
          <w:sz w:val="22"/>
        </w:rPr>
        <w:lastRenderedPageBreak/>
        <w:t>Indicator 9: Disproportionate Representation</w:t>
      </w:r>
      <w:bookmarkEnd w:id="39"/>
      <w:bookmarkEnd w:id="40"/>
      <w:bookmarkEnd w:id="41"/>
    </w:p>
    <w:p w14:paraId="30C4375D" w14:textId="77777777" w:rsidR="00AF5AFB" w:rsidRPr="005C29F8" w:rsidRDefault="00AF5AFB" w:rsidP="00A018D4">
      <w:pPr>
        <w:rPr>
          <w:color w:val="000000" w:themeColor="text1"/>
          <w:szCs w:val="20"/>
        </w:rPr>
      </w:pPr>
      <w:bookmarkStart w:id="43" w:name="_Toc384383343"/>
      <w:bookmarkStart w:id="44" w:name="_Toc392159311"/>
      <w:r w:rsidRPr="005C29F8">
        <w:rPr>
          <w:b/>
          <w:color w:val="000000" w:themeColor="text1"/>
          <w:sz w:val="20"/>
          <w:szCs w:val="20"/>
        </w:rPr>
        <w:t>Instructions and Measurement</w:t>
      </w:r>
    </w:p>
    <w:p w14:paraId="61C479DB" w14:textId="1E252334" w:rsidR="00CC634E" w:rsidRPr="005C29F8" w:rsidRDefault="00CC634E" w:rsidP="006357C5">
      <w:pPr>
        <w:rPr>
          <w:rFonts w:cs="Arial"/>
          <w:b/>
          <w:color w:val="000000" w:themeColor="text1"/>
          <w:szCs w:val="16"/>
        </w:rPr>
      </w:pPr>
      <w:r w:rsidRPr="005C29F8">
        <w:rPr>
          <w:rFonts w:cs="Arial"/>
          <w:b/>
          <w:color w:val="000000" w:themeColor="text1"/>
          <w:szCs w:val="16"/>
        </w:rPr>
        <w:t xml:space="preserve">Monitoring Priority: </w:t>
      </w:r>
      <w:r w:rsidRPr="005C29F8">
        <w:rPr>
          <w:rFonts w:cs="Arial"/>
          <w:color w:val="000000" w:themeColor="text1"/>
          <w:szCs w:val="16"/>
        </w:rPr>
        <w:t>Disproportionality</w:t>
      </w:r>
    </w:p>
    <w:p w14:paraId="2539829F" w14:textId="77777777" w:rsidR="00876394" w:rsidRPr="005C29F8" w:rsidRDefault="00CC634E" w:rsidP="006357C5">
      <w:pPr>
        <w:rPr>
          <w:rFonts w:cs="Arial"/>
          <w:color w:val="000000" w:themeColor="text1"/>
          <w:szCs w:val="16"/>
        </w:rPr>
      </w:pPr>
      <w:r w:rsidRPr="005C29F8">
        <w:rPr>
          <w:rFonts w:cs="Arial"/>
          <w:b/>
          <w:color w:val="000000" w:themeColor="text1"/>
          <w:szCs w:val="16"/>
        </w:rPr>
        <w:t>Compliance indicator</w:t>
      </w:r>
      <w:r w:rsidRPr="005C29F8">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5C29F8" w:rsidRDefault="00CC634E" w:rsidP="006357C5">
      <w:pPr>
        <w:rPr>
          <w:rFonts w:cs="Arial"/>
          <w:color w:val="000000" w:themeColor="text1"/>
          <w:szCs w:val="16"/>
        </w:rPr>
      </w:pPr>
      <w:r w:rsidRPr="005C29F8">
        <w:rPr>
          <w:rFonts w:cs="Arial"/>
          <w:color w:val="000000" w:themeColor="text1"/>
          <w:szCs w:val="16"/>
        </w:rPr>
        <w:t>(20 U.S.C. 1416(a)(3)(C))</w:t>
      </w:r>
    </w:p>
    <w:p w14:paraId="6D2519CF" w14:textId="77777777" w:rsidR="00A66715" w:rsidRPr="005C29F8" w:rsidRDefault="00A66715" w:rsidP="004369B2">
      <w:pPr>
        <w:rPr>
          <w:color w:val="000000" w:themeColor="text1"/>
        </w:rPr>
      </w:pPr>
      <w:r w:rsidRPr="005C29F8">
        <w:rPr>
          <w:b/>
          <w:color w:val="000000" w:themeColor="text1"/>
        </w:rPr>
        <w:t>Data Source</w:t>
      </w:r>
    </w:p>
    <w:p w14:paraId="435C1BC0" w14:textId="1F2EA9FD" w:rsidR="00A66715" w:rsidRPr="005C29F8" w:rsidRDefault="00A66715" w:rsidP="00286BDF">
      <w:pPr>
        <w:rPr>
          <w:rFonts w:cs="Arial"/>
          <w:color w:val="000000" w:themeColor="text1"/>
          <w:szCs w:val="16"/>
        </w:rPr>
      </w:pPr>
      <w:r w:rsidRPr="005C29F8">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5C29F8" w:rsidRDefault="00A66715" w:rsidP="004369B2">
      <w:pPr>
        <w:rPr>
          <w:color w:val="000000" w:themeColor="text1"/>
        </w:rPr>
      </w:pPr>
      <w:r w:rsidRPr="005C29F8">
        <w:rPr>
          <w:b/>
          <w:color w:val="000000" w:themeColor="text1"/>
        </w:rPr>
        <w:t>Measurement</w:t>
      </w:r>
    </w:p>
    <w:p w14:paraId="477AA533" w14:textId="06ADBA36" w:rsidR="00A66715" w:rsidRPr="005C29F8" w:rsidRDefault="00A66715" w:rsidP="00286BDF">
      <w:pPr>
        <w:rPr>
          <w:rFonts w:cs="Arial"/>
          <w:color w:val="000000" w:themeColor="text1"/>
          <w:szCs w:val="16"/>
        </w:rPr>
      </w:pPr>
      <w:r w:rsidRPr="005C29F8">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5C29F8" w:rsidRDefault="00A66715" w:rsidP="00286BDF">
      <w:pPr>
        <w:rPr>
          <w:rFonts w:cs="Arial"/>
          <w:color w:val="000000" w:themeColor="text1"/>
          <w:szCs w:val="16"/>
        </w:rPr>
      </w:pPr>
      <w:r w:rsidRPr="005C29F8">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1F53157A" w:rsidR="00A66715" w:rsidRPr="005C29F8" w:rsidRDefault="0016730D" w:rsidP="00286BDF">
      <w:pPr>
        <w:rPr>
          <w:rFonts w:cs="Arial"/>
          <w:color w:val="000000" w:themeColor="text1"/>
          <w:szCs w:val="16"/>
        </w:rPr>
      </w:pPr>
      <w:r w:rsidRPr="005C29F8">
        <w:rPr>
          <w:rFonts w:cs="Arial"/>
          <w:color w:val="000000" w:themeColor="text1"/>
          <w:szCs w:val="16"/>
        </w:rPr>
        <w:t>Based on its review of the 618 data for FFY 2018,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2019 reporting period (i.e., after June 30, 2020).</w:t>
      </w:r>
    </w:p>
    <w:p w14:paraId="5C234527" w14:textId="77777777" w:rsidR="00A66715" w:rsidRPr="005C29F8" w:rsidRDefault="00A66715" w:rsidP="004369B2">
      <w:pPr>
        <w:rPr>
          <w:color w:val="000000" w:themeColor="text1"/>
        </w:rPr>
      </w:pPr>
      <w:r w:rsidRPr="005C29F8">
        <w:rPr>
          <w:b/>
          <w:color w:val="000000" w:themeColor="text1"/>
        </w:rPr>
        <w:t>Instructions</w:t>
      </w:r>
    </w:p>
    <w:p w14:paraId="66307925" w14:textId="77777777" w:rsidR="00A66715" w:rsidRPr="005C29F8" w:rsidRDefault="00A66715" w:rsidP="00286BDF">
      <w:pPr>
        <w:rPr>
          <w:rFonts w:cs="Arial"/>
          <w:color w:val="000000" w:themeColor="text1"/>
          <w:szCs w:val="16"/>
        </w:rPr>
      </w:pPr>
      <w:r w:rsidRPr="005C29F8">
        <w:rPr>
          <w:rFonts w:cs="Arial"/>
          <w:iCs/>
          <w:color w:val="000000" w:themeColor="text1"/>
          <w:szCs w:val="16"/>
        </w:rPr>
        <w:t>P</w:t>
      </w:r>
      <w:r w:rsidRPr="005C29F8">
        <w:rPr>
          <w:rFonts w:cs="Arial"/>
          <w:color w:val="000000" w:themeColor="text1"/>
          <w:szCs w:val="16"/>
        </w:rPr>
        <w:t>rovide racial/ethnic disproportionality data for all children aged 6 through 21 served under IDEA, aggregated across all disability categories.</w:t>
      </w:r>
    </w:p>
    <w:p w14:paraId="6CA47C85" w14:textId="77777777" w:rsidR="00A66715" w:rsidRPr="005C29F8" w:rsidRDefault="00A66715" w:rsidP="00286BDF">
      <w:pPr>
        <w:rPr>
          <w:rFonts w:cs="Arial"/>
          <w:color w:val="000000" w:themeColor="text1"/>
          <w:szCs w:val="16"/>
        </w:rPr>
      </w:pPr>
      <w:r w:rsidRPr="005C29F8">
        <w:rPr>
          <w:rFonts w:cs="Arial"/>
          <w:color w:val="000000" w:themeColor="text1"/>
          <w:szCs w:val="16"/>
        </w:rPr>
        <w:t>States are not required to report on underrepresentation.</w:t>
      </w:r>
    </w:p>
    <w:p w14:paraId="7D49F2B9" w14:textId="77777777" w:rsidR="00A66715" w:rsidRPr="005C29F8" w:rsidRDefault="00A66715" w:rsidP="00286BDF">
      <w:pPr>
        <w:rPr>
          <w:rFonts w:cs="Arial"/>
          <w:color w:val="000000" w:themeColor="text1"/>
          <w:szCs w:val="16"/>
        </w:rPr>
      </w:pPr>
      <w:r w:rsidRPr="005C29F8">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5C29F8" w:rsidRDefault="00A66715" w:rsidP="00286BDF">
      <w:pPr>
        <w:rPr>
          <w:rFonts w:cs="Arial"/>
          <w:color w:val="000000" w:themeColor="text1"/>
          <w:szCs w:val="16"/>
        </w:rPr>
      </w:pPr>
      <w:r w:rsidRPr="005C29F8">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5C29F8" w:rsidRDefault="00A66715" w:rsidP="00286BDF">
      <w:pPr>
        <w:rPr>
          <w:rFonts w:cs="Arial"/>
          <w:color w:val="000000" w:themeColor="text1"/>
          <w:szCs w:val="16"/>
        </w:rPr>
      </w:pPr>
      <w:r w:rsidRPr="005C29F8">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5C29F8" w:rsidRDefault="00A66715" w:rsidP="00286BDF">
      <w:pPr>
        <w:rPr>
          <w:rFonts w:cs="Arial"/>
          <w:color w:val="000000" w:themeColor="text1"/>
          <w:szCs w:val="16"/>
        </w:rPr>
      </w:pPr>
      <w:r w:rsidRPr="005C29F8">
        <w:rPr>
          <w:rFonts w:cs="Arial"/>
          <w:color w:val="000000" w:themeColor="text1"/>
          <w:szCs w:val="16"/>
        </w:rPr>
        <w:t>Targets must be 0%.</w:t>
      </w:r>
    </w:p>
    <w:p w14:paraId="78E093FF" w14:textId="2AC9947F" w:rsidR="00A66715" w:rsidRPr="005C29F8" w:rsidRDefault="0016730D" w:rsidP="00286BDF">
      <w:pPr>
        <w:rPr>
          <w:rFonts w:cs="Arial"/>
          <w:color w:val="000000" w:themeColor="text1"/>
          <w:szCs w:val="16"/>
        </w:rPr>
      </w:pPr>
      <w:r w:rsidRPr="005C29F8">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1A6C01D0" w14:textId="1BD83E55" w:rsidR="00AF5AFB" w:rsidRPr="0033429D" w:rsidRDefault="00400C56" w:rsidP="008645AD">
      <w:pPr>
        <w:pStyle w:val="Heading2"/>
      </w:pPr>
      <w:bookmarkStart w:id="45" w:name="_Toc384383344"/>
      <w:bookmarkStart w:id="46" w:name="_Toc392159312"/>
      <w:bookmarkEnd w:id="43"/>
      <w:bookmarkEnd w:id="44"/>
      <w:r w:rsidRPr="0033429D">
        <w:t>9</w:t>
      </w:r>
      <w:r w:rsidR="000D746C" w:rsidRPr="0033429D">
        <w:t xml:space="preserve"> </w:t>
      </w:r>
      <w:r w:rsidRPr="0033429D">
        <w:t xml:space="preserve">- </w:t>
      </w:r>
      <w:r w:rsidR="00AF5AFB" w:rsidRPr="0033429D">
        <w:t>Indicator Data</w:t>
      </w:r>
    </w:p>
    <w:p w14:paraId="3B629025" w14:textId="77777777" w:rsidR="0091098C" w:rsidRPr="005C29F8" w:rsidRDefault="0091098C" w:rsidP="004369B2">
      <w:pPr>
        <w:rPr>
          <w:color w:val="000000" w:themeColor="text1"/>
        </w:rPr>
      </w:pPr>
      <w:r w:rsidRPr="005C29F8">
        <w:rPr>
          <w:b/>
          <w:color w:val="000000" w:themeColor="text1"/>
        </w:rPr>
        <w:t>Not Applicable</w:t>
      </w:r>
    </w:p>
    <w:p w14:paraId="26955027" w14:textId="78EADA59" w:rsidR="003E7FC1" w:rsidRPr="005C29F8" w:rsidRDefault="00E54DDA">
      <w:pPr>
        <w:rPr>
          <w:b/>
          <w:color w:val="000000" w:themeColor="text1"/>
        </w:rPr>
      </w:pPr>
      <w:r w:rsidRPr="005C29F8">
        <w:rPr>
          <w:b/>
          <w:color w:val="000000" w:themeColor="text1"/>
        </w:rPr>
        <w:t>Select yes if this indicator is not applicable.</w:t>
      </w:r>
    </w:p>
    <w:p w14:paraId="6AB001BB" w14:textId="1DB937E1" w:rsidR="00043AC9" w:rsidRDefault="00043AC9" w:rsidP="004369B2">
      <w:pPr>
        <w:rPr>
          <w:rFonts w:cs="Arial"/>
          <w:color w:val="000000" w:themeColor="text1"/>
          <w:szCs w:val="16"/>
        </w:rPr>
      </w:pPr>
      <w:r w:rsidRPr="005C29F8">
        <w:rPr>
          <w:rFonts w:cs="Arial"/>
          <w:color w:val="000000" w:themeColor="text1"/>
          <w:szCs w:val="16"/>
        </w:rPr>
        <w:t>NO</w:t>
      </w:r>
    </w:p>
    <w:p w14:paraId="3A71D697" w14:textId="346BA4D1" w:rsidR="00EC46E4" w:rsidRDefault="00EC46E4" w:rsidP="004369B2">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14:paraId="5182274F" w14:textId="77777777" w:rsidTr="00123D76">
        <w:trPr>
          <w:trHeight w:val="311"/>
          <w:tblHeader/>
        </w:trPr>
        <w:tc>
          <w:tcPr>
            <w:tcW w:w="1797" w:type="dxa"/>
          </w:tcPr>
          <w:p w14:paraId="1A2818C6" w14:textId="77777777" w:rsidR="00956DB0" w:rsidRDefault="00956DB0" w:rsidP="00123D76">
            <w:pPr>
              <w:jc w:val="center"/>
              <w:rPr>
                <w:b/>
                <w:color w:val="000000" w:themeColor="text1"/>
              </w:rPr>
            </w:pPr>
            <w:r w:rsidRPr="005C29F8">
              <w:rPr>
                <w:rFonts w:cs="Arial"/>
                <w:b/>
                <w:color w:val="000000" w:themeColor="text1"/>
                <w:szCs w:val="16"/>
              </w:rPr>
              <w:t>Baseline Year</w:t>
            </w:r>
          </w:p>
        </w:tc>
        <w:tc>
          <w:tcPr>
            <w:tcW w:w="1798" w:type="dxa"/>
          </w:tcPr>
          <w:p w14:paraId="0F4B2975" w14:textId="77777777" w:rsidR="00956DB0" w:rsidRDefault="00956DB0" w:rsidP="00123D76">
            <w:pPr>
              <w:jc w:val="center"/>
              <w:rPr>
                <w:b/>
                <w:color w:val="000000" w:themeColor="text1"/>
              </w:rPr>
            </w:pPr>
            <w:r>
              <w:rPr>
                <w:b/>
                <w:color w:val="000000" w:themeColor="text1"/>
              </w:rPr>
              <w:t>Baseline Data</w:t>
            </w:r>
          </w:p>
        </w:tc>
      </w:tr>
      <w:tr w:rsidR="00956DB0" w14:paraId="610EE192" w14:textId="77777777" w:rsidTr="00123D76">
        <w:trPr>
          <w:trHeight w:val="311"/>
        </w:trPr>
        <w:tc>
          <w:tcPr>
            <w:tcW w:w="1797" w:type="dxa"/>
            <w:vAlign w:val="center"/>
          </w:tcPr>
          <w:p w14:paraId="092AF3EE" w14:textId="300E0F13" w:rsidR="00956DB0" w:rsidRPr="00227D4B" w:rsidRDefault="00956DB0" w:rsidP="00123D76">
            <w:pPr>
              <w:jc w:val="center"/>
              <w:rPr>
                <w:bCs/>
                <w:color w:val="000000" w:themeColor="text1"/>
              </w:rPr>
            </w:pPr>
            <w:r w:rsidRPr="00227D4B">
              <w:rPr>
                <w:bCs/>
                <w:color w:val="000000" w:themeColor="text1"/>
              </w:rPr>
              <w:t>2016</w:t>
            </w:r>
          </w:p>
        </w:tc>
        <w:tc>
          <w:tcPr>
            <w:tcW w:w="1798" w:type="dxa"/>
            <w:vAlign w:val="center"/>
          </w:tcPr>
          <w:p w14:paraId="4FDCB4BF" w14:textId="0D2A0C74" w:rsidR="00956DB0" w:rsidRPr="00227D4B" w:rsidRDefault="00956DB0" w:rsidP="00123D76">
            <w:pPr>
              <w:jc w:val="center"/>
              <w:rPr>
                <w:bCs/>
                <w:color w:val="000000" w:themeColor="text1"/>
              </w:rPr>
            </w:pPr>
            <w:r w:rsidRPr="00227D4B">
              <w:rPr>
                <w:bCs/>
                <w:color w:val="000000" w:themeColor="text1"/>
              </w:rPr>
              <w:t>0.00%</w:t>
            </w:r>
          </w:p>
        </w:tc>
      </w:tr>
    </w:tbl>
    <w:p w14:paraId="209EB354" w14:textId="77777777" w:rsidR="00956DB0" w:rsidRPr="005C29F8"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5C29F8" w14:paraId="29257DEC" w14:textId="77777777" w:rsidTr="0033429D">
        <w:trPr>
          <w:trHeight w:val="350"/>
        </w:trPr>
        <w:tc>
          <w:tcPr>
            <w:tcW w:w="833" w:type="pct"/>
            <w:tcBorders>
              <w:bottom w:val="single" w:sz="4" w:space="0" w:color="auto"/>
            </w:tcBorders>
            <w:shd w:val="clear" w:color="auto" w:fill="auto"/>
          </w:tcPr>
          <w:p w14:paraId="2ACD0221" w14:textId="77777777" w:rsidR="006357C5" w:rsidRPr="005C29F8" w:rsidRDefault="006357C5" w:rsidP="004369B2">
            <w:pPr>
              <w:jc w:val="center"/>
              <w:rPr>
                <w:rFonts w:cs="Arial"/>
                <w:b/>
                <w:color w:val="000000" w:themeColor="text1"/>
                <w:szCs w:val="16"/>
              </w:rPr>
            </w:pPr>
            <w:r w:rsidRPr="005C29F8">
              <w:rPr>
                <w:rFonts w:cs="Arial"/>
                <w:b/>
                <w:color w:val="000000" w:themeColor="text1"/>
                <w:szCs w:val="16"/>
              </w:rPr>
              <w:t>FFY</w:t>
            </w:r>
          </w:p>
        </w:tc>
        <w:tc>
          <w:tcPr>
            <w:tcW w:w="833" w:type="pct"/>
            <w:shd w:val="clear" w:color="auto" w:fill="auto"/>
          </w:tcPr>
          <w:p w14:paraId="15D764B6" w14:textId="19C54EAA" w:rsidR="006357C5" w:rsidRPr="005C29F8" w:rsidRDefault="002B7490" w:rsidP="00B6413B">
            <w:pPr>
              <w:jc w:val="center"/>
              <w:rPr>
                <w:rFonts w:cs="Arial"/>
                <w:b/>
                <w:color w:val="000000" w:themeColor="text1"/>
                <w:szCs w:val="16"/>
              </w:rPr>
            </w:pPr>
            <w:r w:rsidRPr="005C29F8">
              <w:rPr>
                <w:rFonts w:cs="Arial"/>
                <w:b/>
                <w:color w:val="000000" w:themeColor="text1"/>
                <w:szCs w:val="16"/>
              </w:rPr>
              <w:t>2014</w:t>
            </w:r>
          </w:p>
        </w:tc>
        <w:tc>
          <w:tcPr>
            <w:tcW w:w="833" w:type="pct"/>
            <w:shd w:val="clear" w:color="auto" w:fill="auto"/>
          </w:tcPr>
          <w:p w14:paraId="033F60DB" w14:textId="27C2FA3D" w:rsidR="006357C5" w:rsidRPr="005C29F8" w:rsidRDefault="002B7490" w:rsidP="00B6413B">
            <w:pPr>
              <w:jc w:val="center"/>
              <w:rPr>
                <w:rFonts w:cs="Arial"/>
                <w:b/>
                <w:color w:val="000000" w:themeColor="text1"/>
                <w:szCs w:val="16"/>
              </w:rPr>
            </w:pPr>
            <w:r w:rsidRPr="005C29F8">
              <w:rPr>
                <w:rFonts w:cs="Arial"/>
                <w:b/>
                <w:color w:val="000000" w:themeColor="text1"/>
                <w:szCs w:val="16"/>
              </w:rPr>
              <w:t>2015</w:t>
            </w:r>
          </w:p>
        </w:tc>
        <w:tc>
          <w:tcPr>
            <w:tcW w:w="833" w:type="pct"/>
            <w:shd w:val="clear" w:color="auto" w:fill="auto"/>
            <w:vAlign w:val="center"/>
          </w:tcPr>
          <w:p w14:paraId="317350A8" w14:textId="7D4D6C23" w:rsidR="006357C5" w:rsidRPr="005C29F8" w:rsidRDefault="002B7490" w:rsidP="00B6413B">
            <w:pPr>
              <w:jc w:val="center"/>
              <w:rPr>
                <w:rFonts w:cs="Arial"/>
                <w:b/>
                <w:color w:val="000000" w:themeColor="text1"/>
                <w:szCs w:val="16"/>
              </w:rPr>
            </w:pPr>
            <w:r w:rsidRPr="005C29F8">
              <w:rPr>
                <w:rFonts w:cs="Arial"/>
                <w:b/>
                <w:color w:val="000000" w:themeColor="text1"/>
                <w:szCs w:val="16"/>
              </w:rPr>
              <w:t>2016</w:t>
            </w:r>
          </w:p>
        </w:tc>
        <w:tc>
          <w:tcPr>
            <w:tcW w:w="833" w:type="pct"/>
            <w:shd w:val="clear" w:color="auto" w:fill="auto"/>
            <w:vAlign w:val="center"/>
          </w:tcPr>
          <w:p w14:paraId="2FE9FF1F" w14:textId="6B14CCED" w:rsidR="006357C5" w:rsidRPr="005C29F8" w:rsidRDefault="002B7490" w:rsidP="00B6413B">
            <w:pPr>
              <w:jc w:val="center"/>
              <w:rPr>
                <w:rFonts w:cs="Arial"/>
                <w:b/>
                <w:color w:val="000000" w:themeColor="text1"/>
                <w:szCs w:val="16"/>
              </w:rPr>
            </w:pPr>
            <w:r w:rsidRPr="005C29F8">
              <w:rPr>
                <w:rFonts w:cs="Arial"/>
                <w:b/>
                <w:color w:val="000000" w:themeColor="text1"/>
                <w:szCs w:val="16"/>
              </w:rPr>
              <w:t>2017</w:t>
            </w:r>
          </w:p>
        </w:tc>
        <w:tc>
          <w:tcPr>
            <w:tcW w:w="834" w:type="pct"/>
            <w:shd w:val="clear" w:color="auto" w:fill="auto"/>
            <w:vAlign w:val="center"/>
          </w:tcPr>
          <w:p w14:paraId="3EED1AAF" w14:textId="5F49372A" w:rsidR="006357C5" w:rsidRPr="005C29F8" w:rsidRDefault="002B7490" w:rsidP="00B6413B">
            <w:pPr>
              <w:jc w:val="center"/>
              <w:rPr>
                <w:rFonts w:cs="Arial"/>
                <w:b/>
                <w:color w:val="000000" w:themeColor="text1"/>
                <w:szCs w:val="16"/>
              </w:rPr>
            </w:pPr>
            <w:r w:rsidRPr="005C29F8">
              <w:rPr>
                <w:rFonts w:cs="Arial"/>
                <w:b/>
                <w:color w:val="000000" w:themeColor="text1"/>
                <w:szCs w:val="16"/>
              </w:rPr>
              <w:t>2018</w:t>
            </w:r>
          </w:p>
        </w:tc>
      </w:tr>
      <w:tr w:rsidR="005C29F8" w:rsidRPr="005C29F8" w14:paraId="2B1048CB" w14:textId="77777777" w:rsidTr="0033429D">
        <w:trPr>
          <w:trHeight w:val="357"/>
        </w:trPr>
        <w:tc>
          <w:tcPr>
            <w:tcW w:w="833" w:type="pct"/>
            <w:shd w:val="clear" w:color="auto" w:fill="auto"/>
          </w:tcPr>
          <w:p w14:paraId="1E5C921D" w14:textId="10B75CEC" w:rsidR="006357C5" w:rsidRPr="005C29F8" w:rsidRDefault="006357C5" w:rsidP="006357C5">
            <w:pPr>
              <w:rPr>
                <w:rFonts w:cs="Arial"/>
                <w:color w:val="000000" w:themeColor="text1"/>
                <w:szCs w:val="16"/>
              </w:rPr>
            </w:pPr>
            <w:r w:rsidRPr="005C29F8">
              <w:rPr>
                <w:rFonts w:cs="Arial"/>
                <w:color w:val="000000" w:themeColor="text1"/>
                <w:szCs w:val="16"/>
              </w:rPr>
              <w:t xml:space="preserve">Target </w:t>
            </w:r>
          </w:p>
        </w:tc>
        <w:tc>
          <w:tcPr>
            <w:tcW w:w="833" w:type="pct"/>
            <w:shd w:val="clear" w:color="auto" w:fill="auto"/>
          </w:tcPr>
          <w:p w14:paraId="605E3208" w14:textId="6058696A" w:rsidR="006357C5" w:rsidRPr="005C29F8" w:rsidRDefault="00BA56C8">
            <w:pPr>
              <w:jc w:val="center"/>
              <w:rPr>
                <w:rFonts w:cs="Arial"/>
                <w:color w:val="000000" w:themeColor="text1"/>
                <w:szCs w:val="16"/>
              </w:rPr>
            </w:pPr>
            <w:r w:rsidRPr="005C29F8">
              <w:rPr>
                <w:rFonts w:cs="Arial"/>
                <w:color w:val="000000" w:themeColor="text1"/>
                <w:szCs w:val="16"/>
              </w:rPr>
              <w:t>0%</w:t>
            </w:r>
          </w:p>
        </w:tc>
        <w:tc>
          <w:tcPr>
            <w:tcW w:w="833" w:type="pct"/>
            <w:shd w:val="clear" w:color="auto" w:fill="auto"/>
          </w:tcPr>
          <w:p w14:paraId="18B25266" w14:textId="3AD0FECB" w:rsidR="006357C5" w:rsidRPr="005C29F8" w:rsidRDefault="00BA56C8">
            <w:pPr>
              <w:jc w:val="center"/>
              <w:rPr>
                <w:rFonts w:cs="Arial"/>
                <w:color w:val="000000" w:themeColor="text1"/>
                <w:szCs w:val="16"/>
              </w:rPr>
            </w:pPr>
            <w:r w:rsidRPr="005C29F8">
              <w:rPr>
                <w:rFonts w:cs="Arial"/>
                <w:color w:val="000000" w:themeColor="text1"/>
                <w:szCs w:val="16"/>
              </w:rPr>
              <w:t>0%</w:t>
            </w:r>
          </w:p>
        </w:tc>
        <w:tc>
          <w:tcPr>
            <w:tcW w:w="833" w:type="pct"/>
            <w:shd w:val="clear" w:color="auto" w:fill="auto"/>
          </w:tcPr>
          <w:p w14:paraId="0C0FBF57" w14:textId="7ECB922D" w:rsidR="006357C5" w:rsidRPr="005C29F8" w:rsidRDefault="00BA56C8">
            <w:pPr>
              <w:jc w:val="center"/>
              <w:rPr>
                <w:rFonts w:cs="Arial"/>
                <w:color w:val="000000" w:themeColor="text1"/>
                <w:szCs w:val="16"/>
              </w:rPr>
            </w:pPr>
            <w:r w:rsidRPr="005C29F8">
              <w:rPr>
                <w:rFonts w:cs="Arial"/>
                <w:color w:val="000000" w:themeColor="text1"/>
                <w:szCs w:val="16"/>
              </w:rPr>
              <w:t>0%</w:t>
            </w:r>
          </w:p>
        </w:tc>
        <w:tc>
          <w:tcPr>
            <w:tcW w:w="833" w:type="pct"/>
            <w:shd w:val="clear" w:color="auto" w:fill="auto"/>
          </w:tcPr>
          <w:p w14:paraId="532C2D7E" w14:textId="62B3BFC8" w:rsidR="006357C5" w:rsidRPr="005C29F8" w:rsidRDefault="00BA56C8">
            <w:pPr>
              <w:jc w:val="center"/>
              <w:rPr>
                <w:rFonts w:cs="Arial"/>
                <w:color w:val="000000" w:themeColor="text1"/>
                <w:szCs w:val="16"/>
              </w:rPr>
            </w:pPr>
            <w:r w:rsidRPr="005C29F8">
              <w:rPr>
                <w:rFonts w:cs="Arial"/>
                <w:color w:val="000000" w:themeColor="text1"/>
                <w:szCs w:val="16"/>
              </w:rPr>
              <w:t>0%</w:t>
            </w:r>
          </w:p>
        </w:tc>
        <w:tc>
          <w:tcPr>
            <w:tcW w:w="834" w:type="pct"/>
            <w:shd w:val="clear" w:color="auto" w:fill="auto"/>
          </w:tcPr>
          <w:p w14:paraId="60DA2026" w14:textId="24D14A2D" w:rsidR="006357C5" w:rsidRPr="005C29F8" w:rsidRDefault="00BA56C8">
            <w:pPr>
              <w:jc w:val="center"/>
              <w:rPr>
                <w:rFonts w:cs="Arial"/>
                <w:color w:val="000000" w:themeColor="text1"/>
                <w:szCs w:val="16"/>
              </w:rPr>
            </w:pPr>
            <w:r w:rsidRPr="005C29F8">
              <w:rPr>
                <w:rFonts w:cs="Arial"/>
                <w:color w:val="000000" w:themeColor="text1"/>
                <w:szCs w:val="16"/>
              </w:rPr>
              <w:t>0%</w:t>
            </w:r>
          </w:p>
        </w:tc>
      </w:tr>
      <w:tr w:rsidR="005C29F8" w:rsidRPr="005C29F8" w14:paraId="3159C03B" w14:textId="77777777" w:rsidTr="0033429D">
        <w:trPr>
          <w:trHeight w:val="85"/>
        </w:trPr>
        <w:tc>
          <w:tcPr>
            <w:tcW w:w="833" w:type="pct"/>
            <w:shd w:val="clear" w:color="auto" w:fill="auto"/>
          </w:tcPr>
          <w:p w14:paraId="2AC5584F" w14:textId="77777777" w:rsidR="006357C5" w:rsidRPr="005C29F8" w:rsidRDefault="006357C5" w:rsidP="00B6413B">
            <w:pPr>
              <w:rPr>
                <w:rFonts w:cs="Arial"/>
                <w:color w:val="000000" w:themeColor="text1"/>
                <w:szCs w:val="16"/>
              </w:rPr>
            </w:pPr>
            <w:r w:rsidRPr="005C29F8">
              <w:rPr>
                <w:rFonts w:cs="Arial"/>
                <w:color w:val="000000" w:themeColor="text1"/>
                <w:szCs w:val="16"/>
              </w:rPr>
              <w:t>Data</w:t>
            </w:r>
          </w:p>
        </w:tc>
        <w:tc>
          <w:tcPr>
            <w:tcW w:w="833" w:type="pct"/>
            <w:shd w:val="clear" w:color="auto" w:fill="auto"/>
          </w:tcPr>
          <w:p w14:paraId="6FD989E4" w14:textId="34237C82" w:rsidR="006357C5"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3" w:type="pct"/>
            <w:shd w:val="clear" w:color="auto" w:fill="auto"/>
          </w:tcPr>
          <w:p w14:paraId="078BDCB4" w14:textId="6678F601" w:rsidR="006357C5"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5C29F8" w:rsidRDefault="002B7490" w:rsidP="00A018D4">
            <w:pPr>
              <w:jc w:val="center"/>
              <w:rPr>
                <w:rFonts w:cs="Arial"/>
                <w:color w:val="000000" w:themeColor="text1"/>
                <w:szCs w:val="16"/>
              </w:rPr>
            </w:pPr>
            <w:r w:rsidRPr="005C29F8">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5C29F8" w:rsidRDefault="002B7490" w:rsidP="00A018D4">
            <w:pPr>
              <w:jc w:val="center"/>
              <w:rPr>
                <w:rFonts w:cs="Arial"/>
                <w:color w:val="000000" w:themeColor="text1"/>
                <w:szCs w:val="16"/>
              </w:rPr>
            </w:pPr>
            <w:r w:rsidRPr="005C29F8">
              <w:rPr>
                <w:rFonts w:cs="Arial"/>
                <w:color w:val="000000" w:themeColor="text1"/>
                <w:szCs w:val="16"/>
              </w:rPr>
              <w:t>0.00%</w:t>
            </w:r>
          </w:p>
        </w:tc>
      </w:tr>
    </w:tbl>
    <w:p w14:paraId="38D93E0F" w14:textId="77777777" w:rsidR="00870121" w:rsidRPr="005C29F8" w:rsidRDefault="00870121" w:rsidP="004369B2">
      <w:pPr>
        <w:rPr>
          <w:color w:val="000000" w:themeColor="text1"/>
        </w:rPr>
      </w:pPr>
    </w:p>
    <w:p w14:paraId="1D3DD603" w14:textId="00F457CF" w:rsidR="0016730D" w:rsidRPr="005C29F8" w:rsidRDefault="0016730D" w:rsidP="004369B2">
      <w:pPr>
        <w:rPr>
          <w:color w:val="000000" w:themeColor="text1"/>
        </w:rPr>
      </w:pPr>
      <w:r w:rsidRPr="005C29F8">
        <w:rPr>
          <w:b/>
          <w:color w:val="000000" w:themeColor="text1"/>
        </w:rPr>
        <w:t>Targets</w:t>
      </w:r>
    </w:p>
    <w:tbl>
      <w:tblPr>
        <w:tblW w:w="1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2465"/>
      </w:tblGrid>
      <w:tr w:rsidR="00441578" w:rsidRPr="005C29F8" w14:paraId="3B5E697E" w14:textId="77777777" w:rsidTr="0033429D">
        <w:trPr>
          <w:trHeight w:val="350"/>
        </w:trPr>
        <w:tc>
          <w:tcPr>
            <w:tcW w:w="1079" w:type="pct"/>
            <w:tcBorders>
              <w:bottom w:val="single" w:sz="4" w:space="0" w:color="auto"/>
            </w:tcBorders>
            <w:shd w:val="clear" w:color="auto" w:fill="auto"/>
          </w:tcPr>
          <w:p w14:paraId="6847FBDE" w14:textId="77777777" w:rsidR="00441578" w:rsidRPr="005C29F8" w:rsidRDefault="00441578" w:rsidP="004369B2">
            <w:pPr>
              <w:jc w:val="center"/>
              <w:rPr>
                <w:b/>
                <w:color w:val="000000" w:themeColor="text1"/>
              </w:rPr>
            </w:pPr>
            <w:r w:rsidRPr="005C29F8">
              <w:rPr>
                <w:b/>
                <w:color w:val="000000" w:themeColor="text1"/>
              </w:rPr>
              <w:t>FFY</w:t>
            </w:r>
          </w:p>
        </w:tc>
        <w:tc>
          <w:tcPr>
            <w:tcW w:w="3921" w:type="pct"/>
            <w:shd w:val="clear" w:color="auto" w:fill="auto"/>
          </w:tcPr>
          <w:p w14:paraId="2C965821" w14:textId="77777777" w:rsidR="00441578" w:rsidRPr="005C29F8" w:rsidRDefault="00441578" w:rsidP="004369B2">
            <w:pPr>
              <w:jc w:val="center"/>
              <w:rPr>
                <w:b/>
                <w:color w:val="000000" w:themeColor="text1"/>
              </w:rPr>
            </w:pPr>
            <w:r w:rsidRPr="005C29F8">
              <w:rPr>
                <w:b/>
                <w:color w:val="000000" w:themeColor="text1"/>
              </w:rPr>
              <w:t>2019</w:t>
            </w:r>
          </w:p>
        </w:tc>
      </w:tr>
      <w:tr w:rsidR="00441578" w:rsidRPr="005C29F8" w14:paraId="48E9BF63" w14:textId="77777777" w:rsidTr="00956DB0">
        <w:trPr>
          <w:trHeight w:val="357"/>
        </w:trPr>
        <w:tc>
          <w:tcPr>
            <w:tcW w:w="1079" w:type="pct"/>
            <w:shd w:val="clear" w:color="auto" w:fill="auto"/>
            <w:vAlign w:val="center"/>
          </w:tcPr>
          <w:p w14:paraId="3001E3D6" w14:textId="77777777" w:rsidR="00441578" w:rsidRPr="005C29F8" w:rsidRDefault="00441578" w:rsidP="00D95C14">
            <w:pPr>
              <w:rPr>
                <w:rFonts w:cs="Arial"/>
                <w:color w:val="000000" w:themeColor="text1"/>
                <w:szCs w:val="16"/>
              </w:rPr>
            </w:pPr>
            <w:r w:rsidRPr="005C29F8">
              <w:rPr>
                <w:rFonts w:cs="Arial"/>
                <w:color w:val="000000" w:themeColor="text1"/>
                <w:szCs w:val="16"/>
              </w:rPr>
              <w:t xml:space="preserve">Target </w:t>
            </w:r>
          </w:p>
        </w:tc>
        <w:tc>
          <w:tcPr>
            <w:tcW w:w="3921" w:type="pct"/>
            <w:shd w:val="clear" w:color="auto" w:fill="auto"/>
            <w:vAlign w:val="center"/>
          </w:tcPr>
          <w:p w14:paraId="538E5325" w14:textId="0C17771E" w:rsidR="00441578" w:rsidRPr="005C29F8" w:rsidRDefault="00441578" w:rsidP="00D95C14">
            <w:pPr>
              <w:jc w:val="center"/>
              <w:rPr>
                <w:rFonts w:cs="Arial"/>
                <w:color w:val="000000" w:themeColor="text1"/>
                <w:szCs w:val="16"/>
              </w:rPr>
            </w:pPr>
            <w:r w:rsidRPr="005C29F8">
              <w:rPr>
                <w:rFonts w:cs="Arial"/>
                <w:color w:val="000000" w:themeColor="text1"/>
                <w:szCs w:val="16"/>
              </w:rPr>
              <w:t>0%</w:t>
            </w:r>
          </w:p>
        </w:tc>
      </w:tr>
    </w:tbl>
    <w:p w14:paraId="77101B89" w14:textId="12528BFB" w:rsidR="00D03701" w:rsidRPr="005C29F8" w:rsidRDefault="00EC46E4">
      <w:pPr>
        <w:rPr>
          <w:b/>
          <w:color w:val="000000" w:themeColor="text1"/>
        </w:rPr>
      </w:pPr>
      <w:r w:rsidRPr="005C29F8">
        <w:rPr>
          <w:b/>
          <w:color w:val="000000" w:themeColor="text1"/>
        </w:rPr>
        <w:t>FFY 2019 SPP/APR Data</w:t>
      </w:r>
      <w:bookmarkEnd w:id="45"/>
      <w:bookmarkEnd w:id="46"/>
    </w:p>
    <w:p w14:paraId="5771AAAE" w14:textId="3421DD27" w:rsidR="003E7FC1" w:rsidRPr="005C29F8" w:rsidRDefault="003E7FC1">
      <w:pPr>
        <w:rPr>
          <w:rFonts w:cs="Arial"/>
          <w:b/>
          <w:color w:val="000000" w:themeColor="text1"/>
          <w:szCs w:val="16"/>
        </w:rPr>
      </w:pPr>
      <w:r w:rsidRPr="005C29F8">
        <w:rPr>
          <w:rFonts w:cs="Arial"/>
          <w:b/>
          <w:color w:val="000000" w:themeColor="text1"/>
          <w:szCs w:val="16"/>
        </w:rPr>
        <w:t>Has the state established a minimum n and/or cell size requirement? (yes/no)</w:t>
      </w:r>
    </w:p>
    <w:p w14:paraId="122DE20F" w14:textId="4373CB68" w:rsidR="003E7FC1" w:rsidRDefault="003E7FC1">
      <w:pPr>
        <w:rPr>
          <w:rFonts w:cs="Arial"/>
          <w:color w:val="000000" w:themeColor="text1"/>
          <w:szCs w:val="16"/>
        </w:rPr>
      </w:pPr>
      <w:r w:rsidRPr="005C29F8">
        <w:rPr>
          <w:rFonts w:cs="Arial"/>
          <w:color w:val="000000" w:themeColor="text1"/>
          <w:szCs w:val="16"/>
        </w:rPr>
        <w:t>YES</w:t>
      </w:r>
    </w:p>
    <w:p w14:paraId="76B8CAF9" w14:textId="53FE4658" w:rsidR="003E7FC1" w:rsidRPr="005C29F8" w:rsidRDefault="003E7FC1">
      <w:pPr>
        <w:rPr>
          <w:rFonts w:cs="Arial"/>
          <w:b/>
          <w:color w:val="000000" w:themeColor="text1"/>
          <w:szCs w:val="16"/>
        </w:rPr>
      </w:pPr>
      <w:r w:rsidRPr="005C29F8">
        <w:rPr>
          <w:rFonts w:cs="Arial"/>
          <w:b/>
          <w:color w:val="000000" w:themeColor="text1"/>
          <w:szCs w:val="16"/>
        </w:rPr>
        <w:lastRenderedPageBreak/>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Default="003E7FC1" w:rsidP="004369B2">
      <w:pPr>
        <w:rPr>
          <w:rFonts w:cs="Arial"/>
          <w:color w:val="000000" w:themeColor="text1"/>
          <w:szCs w:val="16"/>
        </w:rPr>
      </w:pPr>
      <w:r w:rsidRPr="005C29F8">
        <w:rPr>
          <w:rFonts w:cs="Arial"/>
          <w:color w:val="000000" w:themeColor="text1"/>
          <w:szCs w:val="16"/>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5C29F8" w:rsidRPr="005C29F8" w14:paraId="53F272CD" w14:textId="23013B7B" w:rsidTr="00D56EC4">
        <w:trPr>
          <w:trHeight w:val="354"/>
          <w:jc w:val="center"/>
        </w:trPr>
        <w:tc>
          <w:tcPr>
            <w:tcW w:w="652" w:type="pct"/>
            <w:shd w:val="clear" w:color="auto" w:fill="auto"/>
            <w:vAlign w:val="bottom"/>
          </w:tcPr>
          <w:p w14:paraId="18E013DB" w14:textId="77777777" w:rsidR="004B2A77" w:rsidRPr="005C29F8" w:rsidRDefault="004B2A77" w:rsidP="004369B2">
            <w:pPr>
              <w:jc w:val="center"/>
              <w:rPr>
                <w:b/>
                <w:color w:val="000000" w:themeColor="text1"/>
              </w:rPr>
            </w:pPr>
            <w:r w:rsidRPr="005C29F8">
              <w:rPr>
                <w:b/>
                <w:color w:val="000000" w:themeColor="text1"/>
              </w:rPr>
              <w:t>Number of districts with disproportionate representation of racial and ethnic groups in special education and related services</w:t>
            </w:r>
          </w:p>
        </w:tc>
        <w:tc>
          <w:tcPr>
            <w:tcW w:w="583" w:type="pct"/>
            <w:shd w:val="clear" w:color="auto" w:fill="auto"/>
            <w:vAlign w:val="bottom"/>
          </w:tcPr>
          <w:p w14:paraId="67667553" w14:textId="77777777" w:rsidR="004B2A77" w:rsidRPr="005C29F8" w:rsidRDefault="004B2A77" w:rsidP="004369B2">
            <w:pPr>
              <w:jc w:val="center"/>
              <w:rPr>
                <w:b/>
                <w:color w:val="000000" w:themeColor="text1"/>
              </w:rPr>
            </w:pPr>
            <w:r w:rsidRPr="005C29F8">
              <w:rPr>
                <w:b/>
                <w:color w:val="000000" w:themeColor="text1"/>
              </w:rPr>
              <w:t>Number of districts with disproportionate representation of racial and ethnic groups in special education and related services that is the result of inappropriate identification</w:t>
            </w:r>
          </w:p>
        </w:tc>
        <w:tc>
          <w:tcPr>
            <w:tcW w:w="816" w:type="pct"/>
            <w:shd w:val="clear" w:color="auto" w:fill="auto"/>
            <w:vAlign w:val="bottom"/>
          </w:tcPr>
          <w:p w14:paraId="33AFFA6F" w14:textId="7F185165" w:rsidR="004B2A77" w:rsidRPr="005C29F8" w:rsidRDefault="003D7F56" w:rsidP="004369B2">
            <w:pPr>
              <w:jc w:val="center"/>
              <w:rPr>
                <w:b/>
                <w:color w:val="000000" w:themeColor="text1"/>
              </w:rPr>
            </w:pPr>
            <w:r w:rsidRPr="005C29F8">
              <w:rPr>
                <w:b/>
                <w:color w:val="000000" w:themeColor="text1"/>
              </w:rPr>
              <w:t>Number of Districts that met the State's minimum n-size</w:t>
            </w:r>
          </w:p>
        </w:tc>
        <w:tc>
          <w:tcPr>
            <w:tcW w:w="524" w:type="pct"/>
            <w:shd w:val="clear" w:color="auto" w:fill="auto"/>
            <w:vAlign w:val="bottom"/>
          </w:tcPr>
          <w:p w14:paraId="600C49E0" w14:textId="03D0C65F" w:rsidR="004B2A77" w:rsidRPr="005C29F8" w:rsidRDefault="00D95C14" w:rsidP="004369B2">
            <w:pPr>
              <w:jc w:val="center"/>
              <w:rPr>
                <w:b/>
                <w:color w:val="000000" w:themeColor="text1"/>
              </w:rPr>
            </w:pPr>
            <w:r w:rsidRPr="005C29F8">
              <w:rPr>
                <w:b/>
                <w:color w:val="000000" w:themeColor="text1"/>
              </w:rPr>
              <w:t>FFY 2018 Data</w:t>
            </w:r>
          </w:p>
        </w:tc>
        <w:tc>
          <w:tcPr>
            <w:tcW w:w="778" w:type="pct"/>
            <w:shd w:val="clear" w:color="auto" w:fill="auto"/>
            <w:vAlign w:val="bottom"/>
          </w:tcPr>
          <w:p w14:paraId="1B6D5875" w14:textId="7B56E819" w:rsidR="004B2A77" w:rsidRPr="005C29F8" w:rsidRDefault="004B2A77" w:rsidP="004369B2">
            <w:pPr>
              <w:jc w:val="center"/>
              <w:rPr>
                <w:b/>
                <w:color w:val="000000" w:themeColor="text1"/>
              </w:rPr>
            </w:pPr>
            <w:r w:rsidRPr="005C29F8">
              <w:rPr>
                <w:b/>
                <w:color w:val="000000" w:themeColor="text1"/>
              </w:rPr>
              <w:t>FFY 2019 Target</w:t>
            </w:r>
          </w:p>
        </w:tc>
        <w:tc>
          <w:tcPr>
            <w:tcW w:w="473" w:type="pct"/>
            <w:shd w:val="clear" w:color="auto" w:fill="auto"/>
            <w:vAlign w:val="bottom"/>
          </w:tcPr>
          <w:p w14:paraId="33B20FA6" w14:textId="5013131F" w:rsidR="004B2A77" w:rsidRPr="005C29F8" w:rsidRDefault="004B2A77" w:rsidP="004369B2">
            <w:pPr>
              <w:jc w:val="center"/>
              <w:rPr>
                <w:b/>
                <w:color w:val="000000" w:themeColor="text1"/>
              </w:rPr>
            </w:pPr>
            <w:r w:rsidRPr="005C29F8">
              <w:rPr>
                <w:b/>
                <w:color w:val="000000" w:themeColor="text1"/>
              </w:rPr>
              <w:t>FFY 2019 Data</w:t>
            </w:r>
          </w:p>
        </w:tc>
        <w:tc>
          <w:tcPr>
            <w:tcW w:w="596" w:type="pct"/>
            <w:shd w:val="clear" w:color="auto" w:fill="auto"/>
            <w:vAlign w:val="bottom"/>
          </w:tcPr>
          <w:p w14:paraId="7561FBFF" w14:textId="5BCCF9DB" w:rsidR="004B2A77" w:rsidRPr="005C29F8" w:rsidRDefault="004B2A77" w:rsidP="004369B2">
            <w:pPr>
              <w:jc w:val="center"/>
              <w:rPr>
                <w:b/>
                <w:color w:val="000000" w:themeColor="text1"/>
              </w:rPr>
            </w:pPr>
            <w:r w:rsidRPr="005C29F8">
              <w:rPr>
                <w:b/>
                <w:color w:val="000000" w:themeColor="text1"/>
              </w:rPr>
              <w:t>Status</w:t>
            </w:r>
          </w:p>
        </w:tc>
        <w:tc>
          <w:tcPr>
            <w:tcW w:w="577" w:type="pct"/>
            <w:shd w:val="clear" w:color="auto" w:fill="auto"/>
            <w:vAlign w:val="bottom"/>
          </w:tcPr>
          <w:p w14:paraId="0153B20F" w14:textId="69571E1B" w:rsidR="004B2A77" w:rsidRPr="005C29F8" w:rsidRDefault="004B2A77" w:rsidP="004369B2">
            <w:pPr>
              <w:jc w:val="center"/>
              <w:rPr>
                <w:b/>
                <w:color w:val="000000" w:themeColor="text1"/>
              </w:rPr>
            </w:pPr>
            <w:r w:rsidRPr="005C29F8">
              <w:rPr>
                <w:b/>
                <w:color w:val="000000" w:themeColor="text1"/>
              </w:rPr>
              <w:t>Slippage</w:t>
            </w:r>
          </w:p>
        </w:tc>
      </w:tr>
      <w:tr w:rsidR="005C29F8" w:rsidRPr="005C29F8" w14:paraId="57CF8532" w14:textId="02E28ACC" w:rsidTr="00D56EC4">
        <w:trPr>
          <w:trHeight w:val="361"/>
          <w:jc w:val="center"/>
        </w:trPr>
        <w:tc>
          <w:tcPr>
            <w:tcW w:w="652" w:type="pct"/>
            <w:shd w:val="clear" w:color="auto" w:fill="auto"/>
            <w:vAlign w:val="center"/>
          </w:tcPr>
          <w:p w14:paraId="172AFDD0" w14:textId="0A73037E" w:rsidR="004B2A77" w:rsidRPr="005C29F8" w:rsidRDefault="004B2A77" w:rsidP="00A018D4">
            <w:pPr>
              <w:jc w:val="center"/>
              <w:rPr>
                <w:rFonts w:cs="Arial"/>
                <w:color w:val="000000" w:themeColor="text1"/>
                <w:szCs w:val="16"/>
              </w:rPr>
            </w:pPr>
            <w:r w:rsidRPr="005C29F8">
              <w:rPr>
                <w:rFonts w:cs="Arial"/>
                <w:color w:val="000000" w:themeColor="text1"/>
                <w:szCs w:val="16"/>
              </w:rPr>
              <w:t>3</w:t>
            </w:r>
          </w:p>
        </w:tc>
        <w:tc>
          <w:tcPr>
            <w:tcW w:w="583" w:type="pct"/>
            <w:shd w:val="clear" w:color="auto" w:fill="auto"/>
            <w:vAlign w:val="center"/>
          </w:tcPr>
          <w:p w14:paraId="6757D825" w14:textId="1A92A410" w:rsidR="004B2A77" w:rsidRPr="005C29F8" w:rsidRDefault="004B2A77" w:rsidP="00A018D4">
            <w:pPr>
              <w:jc w:val="center"/>
              <w:rPr>
                <w:rFonts w:cs="Arial"/>
                <w:color w:val="000000" w:themeColor="text1"/>
                <w:szCs w:val="16"/>
              </w:rPr>
            </w:pPr>
            <w:r w:rsidRPr="005C29F8">
              <w:rPr>
                <w:rFonts w:cs="Arial"/>
                <w:color w:val="000000" w:themeColor="text1"/>
                <w:szCs w:val="16"/>
              </w:rPr>
              <w:t>0</w:t>
            </w:r>
          </w:p>
        </w:tc>
        <w:tc>
          <w:tcPr>
            <w:tcW w:w="816" w:type="pct"/>
            <w:shd w:val="clear" w:color="auto" w:fill="auto"/>
          </w:tcPr>
          <w:p w14:paraId="5A5C0509" w14:textId="06ACAFFD" w:rsidR="004B2A77" w:rsidRPr="005C29F8" w:rsidRDefault="004B2A77" w:rsidP="00A018D4">
            <w:pPr>
              <w:jc w:val="center"/>
              <w:rPr>
                <w:rFonts w:cs="Arial"/>
                <w:color w:val="000000" w:themeColor="text1"/>
                <w:szCs w:val="16"/>
              </w:rPr>
            </w:pPr>
            <w:r w:rsidRPr="005C29F8">
              <w:rPr>
                <w:rFonts w:cs="Arial"/>
                <w:color w:val="000000" w:themeColor="text1"/>
                <w:szCs w:val="16"/>
              </w:rPr>
              <w:t>400</w:t>
            </w:r>
          </w:p>
        </w:tc>
        <w:tc>
          <w:tcPr>
            <w:tcW w:w="524" w:type="pct"/>
            <w:shd w:val="clear" w:color="auto" w:fill="auto"/>
          </w:tcPr>
          <w:p w14:paraId="5124C23D" w14:textId="44EC7AED" w:rsidR="004B2A77" w:rsidRPr="005C29F8" w:rsidRDefault="004B2A77" w:rsidP="00A018D4">
            <w:pPr>
              <w:jc w:val="center"/>
              <w:rPr>
                <w:rFonts w:cs="Arial"/>
                <w:color w:val="000000" w:themeColor="text1"/>
                <w:szCs w:val="16"/>
              </w:rPr>
            </w:pPr>
            <w:r w:rsidRPr="005C29F8">
              <w:rPr>
                <w:rFonts w:cs="Arial"/>
                <w:color w:val="000000" w:themeColor="text1"/>
                <w:szCs w:val="16"/>
              </w:rPr>
              <w:t>0.00%</w:t>
            </w:r>
          </w:p>
        </w:tc>
        <w:tc>
          <w:tcPr>
            <w:tcW w:w="778" w:type="pct"/>
            <w:shd w:val="clear" w:color="auto" w:fill="auto"/>
          </w:tcPr>
          <w:p w14:paraId="60374E05" w14:textId="3E7E167C" w:rsidR="004B2A77" w:rsidRPr="005C29F8" w:rsidRDefault="009C65E9" w:rsidP="00A018D4">
            <w:pPr>
              <w:jc w:val="center"/>
              <w:rPr>
                <w:rFonts w:cs="Arial"/>
                <w:color w:val="000000" w:themeColor="text1"/>
                <w:szCs w:val="16"/>
              </w:rPr>
            </w:pPr>
            <w:r w:rsidRPr="005C29F8">
              <w:rPr>
                <w:rFonts w:cs="Arial"/>
                <w:color w:val="000000" w:themeColor="text1"/>
                <w:szCs w:val="16"/>
              </w:rPr>
              <w:t>0%</w:t>
            </w:r>
          </w:p>
        </w:tc>
        <w:tc>
          <w:tcPr>
            <w:tcW w:w="473" w:type="pct"/>
            <w:shd w:val="clear" w:color="auto" w:fill="auto"/>
          </w:tcPr>
          <w:p w14:paraId="4C77CACE" w14:textId="610C95DA" w:rsidR="004B2A77" w:rsidRPr="005C29F8" w:rsidRDefault="004B2A77" w:rsidP="00A018D4">
            <w:pPr>
              <w:jc w:val="center"/>
              <w:rPr>
                <w:rFonts w:cs="Arial"/>
                <w:color w:val="000000" w:themeColor="text1"/>
                <w:szCs w:val="16"/>
              </w:rPr>
            </w:pPr>
            <w:r w:rsidRPr="005C29F8">
              <w:rPr>
                <w:rFonts w:cs="Arial"/>
                <w:color w:val="000000" w:themeColor="text1"/>
                <w:szCs w:val="16"/>
              </w:rPr>
              <w:t>0.00%</w:t>
            </w:r>
          </w:p>
        </w:tc>
        <w:tc>
          <w:tcPr>
            <w:tcW w:w="596" w:type="pct"/>
            <w:shd w:val="clear" w:color="auto" w:fill="auto"/>
          </w:tcPr>
          <w:p w14:paraId="58A781DA" w14:textId="678D3288" w:rsidR="004B2A77" w:rsidRPr="005C29F8" w:rsidRDefault="004B2A77" w:rsidP="00A018D4">
            <w:pPr>
              <w:jc w:val="center"/>
              <w:rPr>
                <w:rFonts w:cs="Arial"/>
                <w:color w:val="000000" w:themeColor="text1"/>
                <w:szCs w:val="16"/>
              </w:rPr>
            </w:pPr>
            <w:r w:rsidRPr="005C29F8">
              <w:rPr>
                <w:rFonts w:cs="Arial"/>
                <w:color w:val="000000" w:themeColor="text1"/>
                <w:szCs w:val="16"/>
              </w:rPr>
              <w:t>Met Target</w:t>
            </w:r>
          </w:p>
        </w:tc>
        <w:tc>
          <w:tcPr>
            <w:tcW w:w="577" w:type="pct"/>
            <w:shd w:val="clear" w:color="auto" w:fill="auto"/>
          </w:tcPr>
          <w:p w14:paraId="47F36111" w14:textId="3F2C8DFF" w:rsidR="004B2A77" w:rsidRPr="005C29F8" w:rsidRDefault="004B2A77" w:rsidP="00A018D4">
            <w:pPr>
              <w:jc w:val="center"/>
              <w:rPr>
                <w:rFonts w:cs="Arial"/>
                <w:color w:val="000000" w:themeColor="text1"/>
                <w:szCs w:val="16"/>
              </w:rPr>
            </w:pPr>
            <w:r w:rsidRPr="005C29F8">
              <w:rPr>
                <w:rFonts w:cs="Arial"/>
                <w:color w:val="000000" w:themeColor="text1"/>
                <w:szCs w:val="16"/>
              </w:rPr>
              <w:t>No Slippage</w:t>
            </w:r>
          </w:p>
        </w:tc>
      </w:tr>
    </w:tbl>
    <w:p w14:paraId="220899ED" w14:textId="09CDAC50" w:rsidR="003E7FC1" w:rsidRPr="005C29F8" w:rsidRDefault="00955FDB" w:rsidP="007D435F">
      <w:pPr>
        <w:rPr>
          <w:rFonts w:cs="Arial"/>
          <w:b/>
          <w:color w:val="000000" w:themeColor="text1"/>
          <w:szCs w:val="16"/>
        </w:rPr>
      </w:pPr>
      <w:r w:rsidRPr="005C29F8">
        <w:rPr>
          <w:rFonts w:cs="Arial"/>
          <w:b/>
          <w:color w:val="000000" w:themeColor="text1"/>
          <w:szCs w:val="16"/>
        </w:rPr>
        <w:t xml:space="preserve">Were all races and ethnicities included in the review? </w:t>
      </w:r>
    </w:p>
    <w:p w14:paraId="64B5C6B5" w14:textId="17D64090" w:rsidR="003E7FC1" w:rsidRPr="005C29F8" w:rsidRDefault="003E7FC1" w:rsidP="007D435F">
      <w:pPr>
        <w:rPr>
          <w:rFonts w:cs="Arial"/>
          <w:color w:val="000000" w:themeColor="text1"/>
          <w:szCs w:val="16"/>
        </w:rPr>
      </w:pPr>
      <w:r w:rsidRPr="005C29F8">
        <w:rPr>
          <w:rFonts w:cs="Arial"/>
          <w:color w:val="000000" w:themeColor="text1"/>
          <w:szCs w:val="16"/>
        </w:rPr>
        <w:t>YES</w:t>
      </w:r>
    </w:p>
    <w:p w14:paraId="6A959542" w14:textId="25AC6B55" w:rsidR="00030B45" w:rsidRPr="005C29F8" w:rsidRDefault="000F256B" w:rsidP="004369B2">
      <w:pPr>
        <w:rPr>
          <w:b/>
          <w:color w:val="000000" w:themeColor="text1"/>
        </w:rPr>
      </w:pPr>
      <w:r w:rsidRPr="005C29F8">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5C29F8" w:rsidRDefault="002B7490" w:rsidP="00CE1CE8">
      <w:pPr>
        <w:rPr>
          <w:rFonts w:cs="Arial"/>
          <w:color w:val="000000" w:themeColor="text1"/>
          <w:szCs w:val="16"/>
        </w:rPr>
      </w:pPr>
      <w:bookmarkStart w:id="47" w:name="_Hlk494459610"/>
      <w:r w:rsidRPr="005C29F8">
        <w:rPr>
          <w:rFonts w:cs="Arial"/>
          <w:color w:val="000000" w:themeColor="text1"/>
          <w:szCs w:val="16"/>
        </w:rPr>
        <w:t xml:space="preserve">Massachusetts defines “disproportionate representation” using a calculation of weighted or alternate risk ratios and a review of the appropriateness of an LEA’s policies, practices, and procedures (PPPs) for identifying students as eligible for special education services. </w:t>
      </w:r>
      <w:r w:rsidRPr="005C29F8">
        <w:rPr>
          <w:rFonts w:cs="Arial"/>
          <w:color w:val="000000" w:themeColor="text1"/>
          <w:szCs w:val="16"/>
        </w:rPr>
        <w:br/>
        <w:t xml:space="preserve"> </w:t>
      </w:r>
      <w:r w:rsidRPr="005C29F8">
        <w:rPr>
          <w:rFonts w:cs="Arial"/>
          <w:color w:val="000000" w:themeColor="text1"/>
          <w:szCs w:val="16"/>
        </w:rPr>
        <w:br/>
        <w:t xml:space="preserve">MA DESE calculates a weighted or alternate risk ratio for each LEA, using a minimum cell size of 10 students with disabilities in each racial/ethnic group in every LEA. In LEAs in which there are at least 10 students with disabilities both in the racial/ethnic group, as well as the comparison group, MA DESE uses a weighted risk ratio. In cases where there are fewer than 10 students in the comparison group, MA DESE employs the alternate risk ratio. A cell of fewer than 10, though removed from the calculation, is reviewed individually to see if data irregularities for specific racial and ethnic groups in the LEA would suggest disproportionate representation due to inappropriate identification. All cells of greater than 10 are retained in the data set and are used to calculate disproportionate representation. Once the calculation is made for each district, the weighted or alternate risk ratios are compared to the two previous years’ weighted or alternate risk ratios. LEAs are flagged if, for three consecutive years, they exhibit a weighted or alternate risk ratio of 3.0 or greater for possible over-representation. All LEAs identified by way of this quantitative analysis are then subject to a review of the appropriateness of their policies, practices, and procedures (PPPs) for special education eligibility determination and disability identification, and communication with MA DESE about the identified disproportionate representation. If MA DESE determines the PPPs are inappropriate or otherwise inconsistent with federal and state regulations and concludes that the PPPs likely caused the disproportionate representation, then the LEA is identified as having disproportionate representation due to inappropriate identification and is required to take corrective actions. </w:t>
      </w:r>
      <w:r w:rsidRPr="005C29F8">
        <w:rPr>
          <w:rFonts w:cs="Arial"/>
          <w:color w:val="000000" w:themeColor="text1"/>
          <w:szCs w:val="16"/>
        </w:rPr>
        <w:br/>
        <w:t xml:space="preserve"> </w:t>
      </w:r>
      <w:r w:rsidRPr="005C29F8">
        <w:rPr>
          <w:rFonts w:cs="Arial"/>
          <w:color w:val="000000" w:themeColor="text1"/>
          <w:szCs w:val="16"/>
        </w:rPr>
        <w:br/>
        <w:t>For the FFY 2019 analysis, Massachusetts used the October 1, 2019 enrollment and child count data that it collects from LEAs through its Student Information Management System (SIMS). Four hundred and three LEAs were in operation in Massachusetts in October 2019, and 400 met the State's n size requirement for at least one racial/ethnic group. MA DESE found that three of these LEAs—a public school district and two charter schools-- were flagged. The school district was flagged for overrepresentation of African American/Black students. One charter school was flagged for overrepresentation of Hispanic students and the other for overrepresentation of Hispanic students and African American/Black students.</w:t>
      </w:r>
      <w:r w:rsidRPr="005C29F8">
        <w:rPr>
          <w:rFonts w:cs="Arial"/>
          <w:color w:val="000000" w:themeColor="text1"/>
          <w:szCs w:val="16"/>
        </w:rPr>
        <w:br/>
        <w:t xml:space="preserve">In reviewing the LEAs’ PPPs, MA DESE determined that in these three LEAs the disproportionate representation was not the result of inappropriate identification and no findings of noncompliance were made. </w:t>
      </w:r>
    </w:p>
    <w:bookmarkEnd w:id="47"/>
    <w:p w14:paraId="7574A63E" w14:textId="34AB5613" w:rsidR="000F256B" w:rsidRPr="005C29F8" w:rsidRDefault="000F256B" w:rsidP="004369B2">
      <w:pPr>
        <w:rPr>
          <w:b/>
          <w:color w:val="000000" w:themeColor="text1"/>
        </w:rPr>
      </w:pPr>
      <w:r w:rsidRPr="005C29F8">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5C29F8" w:rsidRDefault="002B7490" w:rsidP="003817C0">
      <w:pPr>
        <w:rPr>
          <w:rFonts w:cs="Arial"/>
          <w:color w:val="000000" w:themeColor="text1"/>
          <w:szCs w:val="16"/>
        </w:rPr>
      </w:pPr>
      <w:r w:rsidRPr="005C29F8">
        <w:rPr>
          <w:rFonts w:cs="Arial"/>
          <w:color w:val="000000" w:themeColor="text1"/>
          <w:szCs w:val="16"/>
        </w:rPr>
        <w:t xml:space="preserve">If an LEA displays a weighted or alternate risk ratio that exceeds 3.0 for three consecutive years for any racial/ethnic group, MA DESE follows up to review the appropriateness of the LEA's policies, practices, and procedures (PPPs). MA DESE requires the LEA to submit its PPPs regarding eligibility determination, along with any other data or information that may explain the pattern of disproportionate representation, including: </w:t>
      </w:r>
      <w:r w:rsidRPr="005C29F8">
        <w:rPr>
          <w:rFonts w:cs="Arial"/>
          <w:color w:val="000000" w:themeColor="text1"/>
          <w:szCs w:val="16"/>
        </w:rPr>
        <w:br/>
        <w:t xml:space="preserve">•LEA policies and practices regarding child find, student support teams, and special education referral and evaluation. </w:t>
      </w:r>
      <w:r w:rsidRPr="005C29F8">
        <w:rPr>
          <w:rFonts w:cs="Arial"/>
          <w:color w:val="000000" w:themeColor="text1"/>
          <w:szCs w:val="16"/>
        </w:rPr>
        <w:br/>
        <w:t xml:space="preserve">• Descriptions of tiered systems of support and/or other supports for struggling students in place within the LEA prior to referral for special education. </w:t>
      </w:r>
      <w:r w:rsidRPr="005C29F8">
        <w:rPr>
          <w:rFonts w:cs="Arial"/>
          <w:color w:val="000000" w:themeColor="text1"/>
          <w:szCs w:val="16"/>
        </w:rPr>
        <w:br/>
        <w:t xml:space="preserve">•Information regarding the LEA’s collaboration with other organizations (such as sending districts, local Early Intervention providers, etc.), if applicable. </w:t>
      </w:r>
      <w:r w:rsidRPr="005C29F8">
        <w:rPr>
          <w:rFonts w:cs="Arial"/>
          <w:color w:val="000000" w:themeColor="text1"/>
          <w:szCs w:val="16"/>
        </w:rPr>
        <w:br/>
        <w:t xml:space="preserve">•Information regarding any training or support that the LEA provides staff around cultural competency. </w:t>
      </w:r>
      <w:r w:rsidRPr="005C29F8">
        <w:rPr>
          <w:rFonts w:cs="Arial"/>
          <w:color w:val="000000" w:themeColor="text1"/>
          <w:szCs w:val="16"/>
        </w:rPr>
        <w:br/>
        <w:t xml:space="preserve">MA DESE then reviews this information to determine whether the disproportionate representation is the result of inappropriate identification. </w:t>
      </w:r>
      <w:r w:rsidRPr="005C29F8">
        <w:rPr>
          <w:rFonts w:cs="Arial"/>
          <w:color w:val="000000" w:themeColor="text1"/>
          <w:szCs w:val="16"/>
        </w:rPr>
        <w:br/>
        <w:t xml:space="preserve"> </w:t>
      </w:r>
      <w:r w:rsidRPr="005C29F8">
        <w:rPr>
          <w:rFonts w:cs="Arial"/>
          <w:color w:val="000000" w:themeColor="text1"/>
          <w:szCs w:val="16"/>
        </w:rPr>
        <w:br/>
        <w:t>MA DESE reviewed the policies, practices, and procedures, as described above, of the three LEAs identified as having disproportionate representation of racial and ethnic groups in special education and related services. MA DESE determined for each LEA that the disproportionate representation of racial and ethnic groups in special education and related services was not the result of inappropriate identification.</w:t>
      </w:r>
    </w:p>
    <w:p w14:paraId="3B71A72A" w14:textId="77777777" w:rsidR="00DF1529" w:rsidRPr="005C29F8" w:rsidRDefault="00DF1529" w:rsidP="00DF1529">
      <w:pPr>
        <w:rPr>
          <w:rFonts w:cs="Arial"/>
          <w:b/>
          <w:color w:val="000000" w:themeColor="text1"/>
          <w:szCs w:val="16"/>
        </w:rPr>
      </w:pPr>
      <w:bookmarkStart w:id="48" w:name="_Toc381956337"/>
      <w:bookmarkStart w:id="49" w:name="_Toc384383347"/>
      <w:bookmarkStart w:id="50" w:name="_Toc392159315"/>
      <w:r w:rsidRPr="005C29F8">
        <w:rPr>
          <w:rFonts w:cs="Arial"/>
          <w:b/>
          <w:color w:val="000000" w:themeColor="text1"/>
          <w:szCs w:val="16"/>
        </w:rPr>
        <w:t>Provide additional information about this indicator (optional)</w:t>
      </w:r>
    </w:p>
    <w:p w14:paraId="0CC85C5C" w14:textId="196142DC" w:rsidR="009B37A2" w:rsidRPr="005C29F8" w:rsidRDefault="009B37A2" w:rsidP="007D435F">
      <w:pPr>
        <w:rPr>
          <w:rFonts w:cs="Arial"/>
          <w:color w:val="000000" w:themeColor="text1"/>
          <w:szCs w:val="16"/>
        </w:rPr>
      </w:pPr>
    </w:p>
    <w:p w14:paraId="1FEDA55E" w14:textId="77777777" w:rsidR="00F14FC6" w:rsidRPr="005C29F8" w:rsidRDefault="00F14FC6" w:rsidP="004369B2">
      <w:pPr>
        <w:rPr>
          <w:color w:val="000000" w:themeColor="text1"/>
        </w:rPr>
      </w:pPr>
    </w:p>
    <w:p w14:paraId="69DF7E10" w14:textId="06D178D6" w:rsidR="009A755E" w:rsidRPr="005C29F8" w:rsidRDefault="009A755E" w:rsidP="004369B2">
      <w:pPr>
        <w:rPr>
          <w:color w:val="000000" w:themeColor="text1"/>
        </w:rPr>
      </w:pPr>
      <w:r w:rsidRPr="005C29F8">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5C29F8" w14:paraId="435C2E3A" w14:textId="77777777" w:rsidTr="004671FF">
        <w:trPr>
          <w:trHeight w:val="389"/>
          <w:tblHeader/>
        </w:trPr>
        <w:tc>
          <w:tcPr>
            <w:tcW w:w="1228" w:type="pct"/>
            <w:shd w:val="clear" w:color="auto" w:fill="auto"/>
            <w:vAlign w:val="bottom"/>
          </w:tcPr>
          <w:p w14:paraId="3DF4178F"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764124D7" w14:textId="77777777" w:rsidTr="004671FF">
        <w:tc>
          <w:tcPr>
            <w:tcW w:w="1228" w:type="pct"/>
            <w:shd w:val="clear" w:color="auto" w:fill="auto"/>
          </w:tcPr>
          <w:p w14:paraId="42664B40" w14:textId="26FCEE8E" w:rsidR="009A755E" w:rsidRPr="005C29F8" w:rsidRDefault="002B7490" w:rsidP="00A018D4">
            <w:pPr>
              <w:jc w:val="center"/>
              <w:rPr>
                <w:rFonts w:cs="Arial"/>
                <w:color w:val="000000" w:themeColor="text1"/>
                <w:szCs w:val="16"/>
              </w:rPr>
            </w:pPr>
            <w:r w:rsidRPr="005C29F8">
              <w:rPr>
                <w:rFonts w:cs="Arial"/>
                <w:color w:val="000000" w:themeColor="text1"/>
                <w:szCs w:val="16"/>
              </w:rPr>
              <w:t>0</w:t>
            </w:r>
          </w:p>
        </w:tc>
        <w:tc>
          <w:tcPr>
            <w:tcW w:w="1288" w:type="pct"/>
            <w:shd w:val="clear" w:color="auto" w:fill="auto"/>
          </w:tcPr>
          <w:p w14:paraId="6961AA78" w14:textId="6F435E76" w:rsidR="009A755E" w:rsidRPr="005C29F8" w:rsidRDefault="002B7490" w:rsidP="00A018D4">
            <w:pPr>
              <w:jc w:val="center"/>
              <w:rPr>
                <w:rFonts w:cs="Arial"/>
                <w:color w:val="000000" w:themeColor="text1"/>
                <w:szCs w:val="16"/>
              </w:rPr>
            </w:pPr>
            <w:r w:rsidRPr="005C29F8">
              <w:rPr>
                <w:rFonts w:cs="Arial"/>
                <w:color w:val="000000" w:themeColor="text1"/>
                <w:szCs w:val="16"/>
              </w:rPr>
              <w:t>0</w:t>
            </w:r>
          </w:p>
        </w:tc>
        <w:tc>
          <w:tcPr>
            <w:tcW w:w="1231" w:type="pct"/>
            <w:shd w:val="clear" w:color="auto" w:fill="auto"/>
          </w:tcPr>
          <w:p w14:paraId="62D59DBA" w14:textId="3A100C9A" w:rsidR="009A755E" w:rsidRPr="005C29F8" w:rsidRDefault="002B7490" w:rsidP="00A018D4">
            <w:pPr>
              <w:jc w:val="center"/>
              <w:rPr>
                <w:rFonts w:cs="Arial"/>
                <w:color w:val="000000" w:themeColor="text1"/>
                <w:szCs w:val="16"/>
              </w:rPr>
            </w:pPr>
            <w:r w:rsidRPr="005C29F8">
              <w:rPr>
                <w:rFonts w:cs="Arial"/>
                <w:color w:val="000000" w:themeColor="text1"/>
                <w:szCs w:val="16"/>
              </w:rPr>
              <w:t>0</w:t>
            </w:r>
          </w:p>
        </w:tc>
        <w:tc>
          <w:tcPr>
            <w:tcW w:w="1254" w:type="pct"/>
            <w:shd w:val="clear" w:color="auto" w:fill="auto"/>
          </w:tcPr>
          <w:p w14:paraId="3810C422" w14:textId="3AC4106C" w:rsidR="009A755E" w:rsidRPr="005C29F8" w:rsidRDefault="002B7490" w:rsidP="00A018D4">
            <w:pPr>
              <w:jc w:val="center"/>
              <w:rPr>
                <w:rFonts w:cs="Arial"/>
                <w:color w:val="000000" w:themeColor="text1"/>
                <w:szCs w:val="16"/>
              </w:rPr>
            </w:pPr>
            <w:r w:rsidRPr="005C29F8">
              <w:rPr>
                <w:rFonts w:cs="Arial"/>
                <w:color w:val="000000" w:themeColor="text1"/>
                <w:szCs w:val="16"/>
              </w:rPr>
              <w:t>0</w:t>
            </w:r>
          </w:p>
        </w:tc>
      </w:tr>
    </w:tbl>
    <w:p w14:paraId="47600374" w14:textId="77777777" w:rsidR="00F5391D" w:rsidRPr="005C29F8" w:rsidRDefault="00F5391D" w:rsidP="004369B2">
      <w:pPr>
        <w:rPr>
          <w:color w:val="000000" w:themeColor="text1"/>
        </w:rPr>
      </w:pPr>
    </w:p>
    <w:p w14:paraId="287CA0E8" w14:textId="27FCDCCD" w:rsidR="009A755E" w:rsidRPr="005C29F8" w:rsidRDefault="009A755E" w:rsidP="004369B2">
      <w:pPr>
        <w:rPr>
          <w:color w:val="000000" w:themeColor="text1"/>
        </w:rPr>
      </w:pPr>
      <w:r w:rsidRPr="005C29F8">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B09PPFFYNCFINDINGS"/>
      </w:tblPr>
      <w:tblGrid>
        <w:gridCol w:w="1888"/>
        <w:gridCol w:w="3133"/>
        <w:gridCol w:w="3123"/>
        <w:gridCol w:w="2646"/>
      </w:tblGrid>
      <w:tr w:rsidR="005C29F8" w:rsidRPr="005C29F8" w14:paraId="45BB80A1" w14:textId="77777777" w:rsidTr="000E4061">
        <w:trPr>
          <w:tblHeader/>
        </w:trPr>
        <w:tc>
          <w:tcPr>
            <w:tcW w:w="875" w:type="pct"/>
            <w:shd w:val="clear" w:color="auto" w:fill="auto"/>
            <w:vAlign w:val="bottom"/>
          </w:tcPr>
          <w:p w14:paraId="5035B654" w14:textId="11C86A56" w:rsidR="009A755E" w:rsidRPr="005C29F8" w:rsidRDefault="003A4027" w:rsidP="009A755E">
            <w:pPr>
              <w:jc w:val="center"/>
              <w:rPr>
                <w:rFonts w:cs="Arial"/>
                <w:b/>
                <w:color w:val="000000" w:themeColor="text1"/>
                <w:szCs w:val="16"/>
              </w:rPr>
            </w:pPr>
            <w:r w:rsidRPr="005C29F8">
              <w:rPr>
                <w:rFonts w:cs="Arial"/>
                <w:b/>
                <w:color w:val="000000" w:themeColor="text1"/>
                <w:szCs w:val="16"/>
              </w:rPr>
              <w:lastRenderedPageBreak/>
              <w:t>Year Findings of Noncompliance Were Identified</w:t>
            </w:r>
          </w:p>
        </w:tc>
        <w:tc>
          <w:tcPr>
            <w:tcW w:w="1452" w:type="pct"/>
            <w:shd w:val="clear" w:color="auto" w:fill="auto"/>
            <w:vAlign w:val="bottom"/>
          </w:tcPr>
          <w:p w14:paraId="37A08A62" w14:textId="2AAF722D"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Not Yet Verified as Corrected as of FFY 2018 APR</w:t>
            </w:r>
          </w:p>
        </w:tc>
        <w:tc>
          <w:tcPr>
            <w:tcW w:w="1447" w:type="pct"/>
            <w:shd w:val="clear" w:color="auto" w:fill="auto"/>
            <w:vAlign w:val="bottom"/>
          </w:tcPr>
          <w:p w14:paraId="24E9B196"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5988805E" w14:textId="77777777" w:rsidTr="000E4061">
        <w:tc>
          <w:tcPr>
            <w:tcW w:w="875" w:type="pct"/>
            <w:shd w:val="clear" w:color="auto" w:fill="auto"/>
          </w:tcPr>
          <w:p w14:paraId="45428D6F" w14:textId="7D4EAEAA" w:rsidR="009A755E" w:rsidRPr="005C29F8" w:rsidRDefault="009A755E" w:rsidP="00A018D4">
            <w:pPr>
              <w:jc w:val="center"/>
              <w:rPr>
                <w:rFonts w:cs="Arial"/>
                <w:color w:val="000000" w:themeColor="text1"/>
                <w:szCs w:val="16"/>
              </w:rPr>
            </w:pPr>
          </w:p>
        </w:tc>
        <w:tc>
          <w:tcPr>
            <w:tcW w:w="1452" w:type="pct"/>
            <w:shd w:val="clear" w:color="auto" w:fill="auto"/>
          </w:tcPr>
          <w:p w14:paraId="2538B936" w14:textId="1E5EBCEA" w:rsidR="009A755E" w:rsidRPr="005C29F8" w:rsidRDefault="009A755E">
            <w:pPr>
              <w:jc w:val="center"/>
              <w:rPr>
                <w:rFonts w:cs="Arial"/>
                <w:noProof/>
                <w:color w:val="000000" w:themeColor="text1"/>
                <w:szCs w:val="16"/>
              </w:rPr>
            </w:pPr>
          </w:p>
        </w:tc>
        <w:tc>
          <w:tcPr>
            <w:tcW w:w="1447" w:type="pct"/>
            <w:shd w:val="clear" w:color="auto" w:fill="auto"/>
          </w:tcPr>
          <w:p w14:paraId="0C2616F3" w14:textId="51C19A6F" w:rsidR="009A755E" w:rsidRPr="005C29F8" w:rsidRDefault="009A755E">
            <w:pPr>
              <w:jc w:val="center"/>
              <w:rPr>
                <w:rFonts w:cs="Arial"/>
                <w:noProof/>
                <w:color w:val="000000" w:themeColor="text1"/>
                <w:szCs w:val="16"/>
              </w:rPr>
            </w:pPr>
          </w:p>
        </w:tc>
        <w:tc>
          <w:tcPr>
            <w:tcW w:w="1226" w:type="pct"/>
            <w:shd w:val="clear" w:color="auto" w:fill="auto"/>
          </w:tcPr>
          <w:p w14:paraId="2C4B22F3" w14:textId="328F69BF" w:rsidR="009A755E" w:rsidRPr="005C29F8" w:rsidRDefault="009A755E">
            <w:pPr>
              <w:jc w:val="center"/>
              <w:rPr>
                <w:rFonts w:cs="Arial"/>
                <w:noProof/>
                <w:color w:val="000000" w:themeColor="text1"/>
                <w:szCs w:val="16"/>
              </w:rPr>
            </w:pPr>
          </w:p>
        </w:tc>
      </w:tr>
      <w:tr w:rsidR="005C29F8" w:rsidRPr="005C29F8" w14:paraId="64C29D12" w14:textId="77777777" w:rsidTr="000E4061">
        <w:tc>
          <w:tcPr>
            <w:tcW w:w="875" w:type="pct"/>
            <w:shd w:val="clear" w:color="auto" w:fill="auto"/>
          </w:tcPr>
          <w:p w14:paraId="64B189E9" w14:textId="0AFBAB97" w:rsidR="009A755E" w:rsidRPr="005C29F8" w:rsidRDefault="009A755E" w:rsidP="00A018D4">
            <w:pPr>
              <w:jc w:val="center"/>
              <w:rPr>
                <w:rFonts w:cs="Arial"/>
                <w:color w:val="000000" w:themeColor="text1"/>
                <w:szCs w:val="16"/>
              </w:rPr>
            </w:pPr>
          </w:p>
        </w:tc>
        <w:tc>
          <w:tcPr>
            <w:tcW w:w="1452" w:type="pct"/>
            <w:shd w:val="clear" w:color="auto" w:fill="auto"/>
          </w:tcPr>
          <w:p w14:paraId="0A04A1D7" w14:textId="686FEC4A" w:rsidR="009A755E" w:rsidRPr="005C29F8" w:rsidRDefault="009A755E">
            <w:pPr>
              <w:jc w:val="center"/>
              <w:rPr>
                <w:rFonts w:cs="Arial"/>
                <w:noProof/>
                <w:color w:val="000000" w:themeColor="text1"/>
                <w:szCs w:val="16"/>
              </w:rPr>
            </w:pPr>
          </w:p>
        </w:tc>
        <w:tc>
          <w:tcPr>
            <w:tcW w:w="1447" w:type="pct"/>
            <w:shd w:val="clear" w:color="auto" w:fill="auto"/>
          </w:tcPr>
          <w:p w14:paraId="6EC161AF" w14:textId="6E0D3C99" w:rsidR="009A755E" w:rsidRPr="005C29F8" w:rsidRDefault="009A755E">
            <w:pPr>
              <w:jc w:val="center"/>
              <w:rPr>
                <w:rFonts w:cs="Arial"/>
                <w:noProof/>
                <w:color w:val="000000" w:themeColor="text1"/>
                <w:szCs w:val="16"/>
              </w:rPr>
            </w:pPr>
          </w:p>
        </w:tc>
        <w:tc>
          <w:tcPr>
            <w:tcW w:w="1226" w:type="pct"/>
            <w:shd w:val="clear" w:color="auto" w:fill="auto"/>
          </w:tcPr>
          <w:p w14:paraId="0BCD79B4" w14:textId="02E3B9EE" w:rsidR="009A755E" w:rsidRPr="005C29F8" w:rsidRDefault="009A755E">
            <w:pPr>
              <w:jc w:val="center"/>
              <w:rPr>
                <w:rFonts w:cs="Arial"/>
                <w:noProof/>
                <w:color w:val="000000" w:themeColor="text1"/>
                <w:szCs w:val="16"/>
              </w:rPr>
            </w:pPr>
          </w:p>
        </w:tc>
      </w:tr>
      <w:tr w:rsidR="005C29F8" w:rsidRPr="005C29F8" w14:paraId="5DBE1D84" w14:textId="77777777" w:rsidTr="000E4061">
        <w:tc>
          <w:tcPr>
            <w:tcW w:w="875" w:type="pct"/>
            <w:shd w:val="clear" w:color="auto" w:fill="auto"/>
          </w:tcPr>
          <w:p w14:paraId="19109B9A" w14:textId="16CEFD65" w:rsidR="009A755E" w:rsidRPr="005C29F8" w:rsidRDefault="009A755E" w:rsidP="00A018D4">
            <w:pPr>
              <w:jc w:val="center"/>
              <w:rPr>
                <w:rFonts w:cs="Arial"/>
                <w:color w:val="000000" w:themeColor="text1"/>
                <w:szCs w:val="16"/>
              </w:rPr>
            </w:pPr>
          </w:p>
        </w:tc>
        <w:tc>
          <w:tcPr>
            <w:tcW w:w="1452" w:type="pct"/>
            <w:shd w:val="clear" w:color="auto" w:fill="auto"/>
          </w:tcPr>
          <w:p w14:paraId="2D2E112D" w14:textId="794C18F8" w:rsidR="009A755E" w:rsidRPr="005C29F8" w:rsidRDefault="009A755E">
            <w:pPr>
              <w:jc w:val="center"/>
              <w:rPr>
                <w:rFonts w:cs="Arial"/>
                <w:noProof/>
                <w:color w:val="000000" w:themeColor="text1"/>
                <w:szCs w:val="16"/>
              </w:rPr>
            </w:pPr>
          </w:p>
        </w:tc>
        <w:tc>
          <w:tcPr>
            <w:tcW w:w="1447" w:type="pct"/>
            <w:shd w:val="clear" w:color="auto" w:fill="auto"/>
          </w:tcPr>
          <w:p w14:paraId="5B55C7F5" w14:textId="3406276E" w:rsidR="009A755E" w:rsidRPr="005C29F8" w:rsidRDefault="009A755E">
            <w:pPr>
              <w:jc w:val="center"/>
              <w:rPr>
                <w:rFonts w:cs="Arial"/>
                <w:noProof/>
                <w:color w:val="000000" w:themeColor="text1"/>
                <w:szCs w:val="16"/>
              </w:rPr>
            </w:pPr>
          </w:p>
        </w:tc>
        <w:tc>
          <w:tcPr>
            <w:tcW w:w="1226" w:type="pct"/>
            <w:shd w:val="clear" w:color="auto" w:fill="auto"/>
          </w:tcPr>
          <w:p w14:paraId="04E4EF54" w14:textId="064E0A7A" w:rsidR="009A755E" w:rsidRPr="005C29F8" w:rsidRDefault="009A755E">
            <w:pPr>
              <w:jc w:val="center"/>
              <w:rPr>
                <w:rFonts w:cs="Arial"/>
                <w:noProof/>
                <w:color w:val="000000" w:themeColor="text1"/>
                <w:szCs w:val="16"/>
              </w:rPr>
            </w:pPr>
          </w:p>
        </w:tc>
      </w:tr>
    </w:tbl>
    <w:p w14:paraId="7A74DCD8" w14:textId="61B7BAF7" w:rsidR="004E2151" w:rsidRPr="0033429D" w:rsidRDefault="00400C56" w:rsidP="008645AD">
      <w:pPr>
        <w:pStyle w:val="Heading2"/>
      </w:pPr>
      <w:r w:rsidRPr="0033429D">
        <w:t>9</w:t>
      </w:r>
      <w:r w:rsidR="00844ADE" w:rsidRPr="0033429D">
        <w:t xml:space="preserve"> </w:t>
      </w:r>
      <w:r w:rsidRPr="0033429D">
        <w:t xml:space="preserve">- </w:t>
      </w:r>
      <w:r w:rsidR="004E2151" w:rsidRPr="0033429D">
        <w:t>Prior FFY Required Actions</w:t>
      </w:r>
    </w:p>
    <w:p w14:paraId="704944D3" w14:textId="21E697E2" w:rsidR="004E2151" w:rsidRPr="005C29F8" w:rsidRDefault="002B7490" w:rsidP="004E2151">
      <w:pPr>
        <w:rPr>
          <w:rFonts w:cs="Arial"/>
          <w:color w:val="000000" w:themeColor="text1"/>
          <w:szCs w:val="16"/>
        </w:rPr>
      </w:pPr>
      <w:r w:rsidRPr="005C29F8">
        <w:rPr>
          <w:rFonts w:cs="Arial"/>
          <w:color w:val="000000" w:themeColor="text1"/>
          <w:szCs w:val="16"/>
        </w:rPr>
        <w:t>None</w:t>
      </w:r>
    </w:p>
    <w:p w14:paraId="7A2A42E5" w14:textId="77777777" w:rsidR="00591597" w:rsidRPr="005C29F8" w:rsidRDefault="00591597" w:rsidP="004E2151">
      <w:pPr>
        <w:rPr>
          <w:rFonts w:cs="Arial"/>
          <w:color w:val="000000" w:themeColor="text1"/>
          <w:szCs w:val="16"/>
        </w:rPr>
      </w:pPr>
    </w:p>
    <w:p w14:paraId="1139CB4A" w14:textId="77777777" w:rsidR="00591597" w:rsidRPr="005C29F8" w:rsidRDefault="00591597" w:rsidP="004E2151">
      <w:pPr>
        <w:rPr>
          <w:rFonts w:cs="Arial"/>
          <w:color w:val="000000" w:themeColor="text1"/>
          <w:szCs w:val="16"/>
        </w:rPr>
      </w:pPr>
    </w:p>
    <w:p w14:paraId="6FDBF7F5" w14:textId="608C7842" w:rsidR="007F5071" w:rsidRPr="0033429D" w:rsidRDefault="00400C56" w:rsidP="008645AD">
      <w:pPr>
        <w:pStyle w:val="Heading2"/>
      </w:pPr>
      <w:r w:rsidRPr="0033429D">
        <w:t>9 - OSEP Response</w:t>
      </w:r>
    </w:p>
    <w:p w14:paraId="77DED45E" w14:textId="3920B295" w:rsidR="00481536" w:rsidRPr="005C29F8" w:rsidRDefault="00481536" w:rsidP="00212954">
      <w:pPr>
        <w:rPr>
          <w:rFonts w:cs="Arial"/>
          <w:color w:val="000000" w:themeColor="text1"/>
          <w:szCs w:val="16"/>
        </w:rPr>
      </w:pPr>
    </w:p>
    <w:p w14:paraId="3F79B021" w14:textId="16E0C852" w:rsidR="007F5071" w:rsidRPr="0033429D" w:rsidRDefault="00977D0D" w:rsidP="008645AD">
      <w:pPr>
        <w:pStyle w:val="Heading2"/>
      </w:pPr>
      <w:r w:rsidRPr="0033429D">
        <w:t>9 - Required Actions</w:t>
      </w:r>
    </w:p>
    <w:p w14:paraId="0B404586" w14:textId="0A97D85C" w:rsidR="00481536" w:rsidRPr="005C29F8" w:rsidRDefault="00481536" w:rsidP="00212954">
      <w:pPr>
        <w:rPr>
          <w:rFonts w:cs="Arial"/>
          <w:color w:val="000000" w:themeColor="text1"/>
          <w:szCs w:val="16"/>
        </w:rPr>
      </w:pPr>
    </w:p>
    <w:p w14:paraId="20A15EBC" w14:textId="77777777" w:rsidR="00102FA3" w:rsidRPr="005C29F8" w:rsidRDefault="00102FA3">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5D8087B6" w14:textId="0C652DF9" w:rsidR="00D03701" w:rsidRPr="005C29F8" w:rsidRDefault="00D03701" w:rsidP="000444E2">
      <w:pPr>
        <w:pStyle w:val="Heading1"/>
        <w:rPr>
          <w:color w:val="000000" w:themeColor="text1"/>
          <w:sz w:val="22"/>
        </w:rPr>
      </w:pPr>
      <w:r w:rsidRPr="005C29F8">
        <w:rPr>
          <w:color w:val="000000" w:themeColor="text1"/>
          <w:sz w:val="22"/>
        </w:rPr>
        <w:lastRenderedPageBreak/>
        <w:t>Indicator 10: Disproportionate Representation in Specific Disability Categories</w:t>
      </w:r>
      <w:bookmarkEnd w:id="48"/>
      <w:bookmarkEnd w:id="49"/>
      <w:bookmarkEnd w:id="50"/>
      <w:r w:rsidRPr="005C29F8">
        <w:rPr>
          <w:color w:val="000000" w:themeColor="text1"/>
          <w:sz w:val="22"/>
        </w:rPr>
        <w:t xml:space="preserve"> </w:t>
      </w:r>
    </w:p>
    <w:p w14:paraId="139B488B" w14:textId="77777777" w:rsidR="00B70FBF" w:rsidRPr="005C29F8" w:rsidRDefault="00B70FBF" w:rsidP="00A018D4">
      <w:pPr>
        <w:rPr>
          <w:color w:val="000000" w:themeColor="text1"/>
          <w:szCs w:val="20"/>
        </w:rPr>
      </w:pPr>
      <w:bookmarkStart w:id="51" w:name="_Toc384383348"/>
      <w:bookmarkStart w:id="52" w:name="_Toc392159316"/>
      <w:r w:rsidRPr="005C29F8">
        <w:rPr>
          <w:b/>
          <w:color w:val="000000" w:themeColor="text1"/>
          <w:sz w:val="20"/>
          <w:szCs w:val="20"/>
        </w:rPr>
        <w:t>Instructions and Measurement</w:t>
      </w:r>
    </w:p>
    <w:p w14:paraId="26E33C31" w14:textId="3616C8E9" w:rsidR="00CC634E" w:rsidRPr="005C29F8" w:rsidRDefault="00CC634E" w:rsidP="005A3C12">
      <w:pPr>
        <w:rPr>
          <w:rFonts w:cs="Arial"/>
          <w:b/>
          <w:color w:val="000000" w:themeColor="text1"/>
          <w:szCs w:val="16"/>
        </w:rPr>
      </w:pPr>
      <w:r w:rsidRPr="005C29F8">
        <w:rPr>
          <w:rFonts w:cs="Arial"/>
          <w:b/>
          <w:color w:val="000000" w:themeColor="text1"/>
          <w:szCs w:val="16"/>
        </w:rPr>
        <w:t>Monitoring Priority:</w:t>
      </w:r>
      <w:r w:rsidRPr="005C29F8">
        <w:rPr>
          <w:rFonts w:cs="Arial"/>
          <w:color w:val="000000" w:themeColor="text1"/>
          <w:szCs w:val="16"/>
        </w:rPr>
        <w:t xml:space="preserve"> Disproportionality</w:t>
      </w:r>
    </w:p>
    <w:p w14:paraId="2D2ACC66" w14:textId="77777777" w:rsidR="001D677D" w:rsidRPr="005C29F8" w:rsidRDefault="00CC634E" w:rsidP="005A3C12">
      <w:pPr>
        <w:rPr>
          <w:rFonts w:cs="Arial"/>
          <w:color w:val="000000" w:themeColor="text1"/>
          <w:szCs w:val="16"/>
        </w:rPr>
      </w:pPr>
      <w:r w:rsidRPr="005C29F8">
        <w:rPr>
          <w:rFonts w:cs="Arial"/>
          <w:b/>
          <w:color w:val="000000" w:themeColor="text1"/>
          <w:szCs w:val="16"/>
        </w:rPr>
        <w:t>Compliance indicator</w:t>
      </w:r>
      <w:r w:rsidRPr="005C29F8">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5C29F8" w:rsidRDefault="00CC634E" w:rsidP="005A3C12">
      <w:pPr>
        <w:rPr>
          <w:rFonts w:cs="Arial"/>
          <w:color w:val="000000" w:themeColor="text1"/>
          <w:szCs w:val="16"/>
        </w:rPr>
      </w:pPr>
      <w:r w:rsidRPr="005C29F8">
        <w:rPr>
          <w:rFonts w:cs="Arial"/>
          <w:color w:val="000000" w:themeColor="text1"/>
          <w:szCs w:val="16"/>
        </w:rPr>
        <w:t xml:space="preserve"> (20 U.S.C. 1416(a)(3)(C))</w:t>
      </w:r>
    </w:p>
    <w:p w14:paraId="37F13F1F" w14:textId="77777777" w:rsidR="001D677D" w:rsidRPr="005C29F8" w:rsidRDefault="001D677D" w:rsidP="004369B2">
      <w:pPr>
        <w:rPr>
          <w:color w:val="000000" w:themeColor="text1"/>
        </w:rPr>
      </w:pPr>
      <w:r w:rsidRPr="005C29F8">
        <w:rPr>
          <w:b/>
          <w:color w:val="000000" w:themeColor="text1"/>
        </w:rPr>
        <w:t>Data Source</w:t>
      </w:r>
    </w:p>
    <w:p w14:paraId="3D0F53DD" w14:textId="1C69F23D" w:rsidR="001D677D" w:rsidRPr="005C29F8" w:rsidRDefault="007A3964" w:rsidP="00286BDF">
      <w:pPr>
        <w:rPr>
          <w:rFonts w:cs="Arial"/>
          <w:color w:val="000000" w:themeColor="text1"/>
          <w:szCs w:val="16"/>
        </w:rPr>
      </w:pPr>
      <w:r w:rsidRPr="005C29F8">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5C29F8" w:rsidRDefault="001D677D" w:rsidP="004369B2">
      <w:pPr>
        <w:rPr>
          <w:color w:val="000000" w:themeColor="text1"/>
        </w:rPr>
      </w:pPr>
      <w:r w:rsidRPr="005C29F8">
        <w:rPr>
          <w:b/>
          <w:color w:val="000000" w:themeColor="text1"/>
        </w:rPr>
        <w:t>Measurement</w:t>
      </w:r>
    </w:p>
    <w:p w14:paraId="564157FF" w14:textId="77777777" w:rsidR="007A3964" w:rsidRPr="005C29F8" w:rsidRDefault="007A3964" w:rsidP="007A3964">
      <w:pPr>
        <w:rPr>
          <w:rFonts w:cs="Arial"/>
          <w:color w:val="000000" w:themeColor="text1"/>
          <w:szCs w:val="16"/>
        </w:rPr>
      </w:pPr>
      <w:r w:rsidRPr="005C29F8">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5C29F8" w:rsidRDefault="007A3964" w:rsidP="007A3964">
      <w:pPr>
        <w:rPr>
          <w:rFonts w:cs="Arial"/>
          <w:color w:val="000000" w:themeColor="text1"/>
          <w:szCs w:val="16"/>
        </w:rPr>
      </w:pPr>
      <w:r w:rsidRPr="005C29F8">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55A45462" w:rsidR="001D677D" w:rsidRPr="005C29F8" w:rsidRDefault="007A3964" w:rsidP="007A3964">
      <w:pPr>
        <w:rPr>
          <w:rFonts w:cs="Arial"/>
          <w:color w:val="000000" w:themeColor="text1"/>
          <w:szCs w:val="16"/>
        </w:rPr>
      </w:pPr>
      <w:r w:rsidRPr="005C29F8">
        <w:rPr>
          <w:rFonts w:cs="Arial"/>
          <w:color w:val="000000" w:themeColor="text1"/>
          <w:szCs w:val="16"/>
        </w:rPr>
        <w:t>Based on its review of the 618 data for FFY 2019,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2019 reporting period (i.e., after June 30, 2020).</w:t>
      </w:r>
    </w:p>
    <w:p w14:paraId="3C70F698" w14:textId="77777777" w:rsidR="001D677D" w:rsidRPr="005C29F8" w:rsidRDefault="001D677D" w:rsidP="004369B2">
      <w:pPr>
        <w:rPr>
          <w:color w:val="000000" w:themeColor="text1"/>
        </w:rPr>
      </w:pPr>
      <w:r w:rsidRPr="005C29F8">
        <w:rPr>
          <w:b/>
          <w:color w:val="000000" w:themeColor="text1"/>
        </w:rPr>
        <w:t>Instructions</w:t>
      </w:r>
    </w:p>
    <w:p w14:paraId="54B0F35E" w14:textId="77777777" w:rsidR="001D677D" w:rsidRPr="005C29F8" w:rsidRDefault="001D677D" w:rsidP="00286BDF">
      <w:pPr>
        <w:rPr>
          <w:rFonts w:cs="Arial"/>
          <w:color w:val="000000" w:themeColor="text1"/>
          <w:szCs w:val="16"/>
        </w:rPr>
      </w:pPr>
      <w:r w:rsidRPr="005C29F8">
        <w:rPr>
          <w:rFonts w:cs="Arial"/>
          <w:iCs/>
          <w:color w:val="000000" w:themeColor="text1"/>
          <w:szCs w:val="16"/>
        </w:rPr>
        <w:t>P</w:t>
      </w:r>
      <w:r w:rsidRPr="005C29F8">
        <w:rPr>
          <w:rFonts w:cs="Arial"/>
          <w:color w:val="000000" w:themeColor="text1"/>
          <w:szCs w:val="16"/>
        </w:rPr>
        <w:t>rovide racial/ethnic disproportionality data for all children aged 6 through 21 served under IDEA, aggregated across all disability categories.</w:t>
      </w:r>
    </w:p>
    <w:p w14:paraId="2375484C" w14:textId="77777777" w:rsidR="001D677D" w:rsidRPr="005C29F8" w:rsidRDefault="001D677D" w:rsidP="00286BDF">
      <w:pPr>
        <w:rPr>
          <w:rFonts w:cs="Arial"/>
          <w:color w:val="000000" w:themeColor="text1"/>
          <w:szCs w:val="16"/>
        </w:rPr>
      </w:pPr>
      <w:r w:rsidRPr="005C29F8">
        <w:rPr>
          <w:rFonts w:cs="Arial"/>
          <w:color w:val="000000" w:themeColor="text1"/>
          <w:szCs w:val="16"/>
        </w:rPr>
        <w:t>States are not required to report on underrepresentation.</w:t>
      </w:r>
    </w:p>
    <w:p w14:paraId="65635BB5" w14:textId="77777777" w:rsidR="001D677D" w:rsidRPr="005C29F8" w:rsidRDefault="001D677D" w:rsidP="00286BDF">
      <w:pPr>
        <w:rPr>
          <w:rFonts w:cs="Arial"/>
          <w:color w:val="000000" w:themeColor="text1"/>
          <w:szCs w:val="16"/>
        </w:rPr>
      </w:pPr>
      <w:r w:rsidRPr="005C29F8">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5C29F8" w:rsidRDefault="001D677D" w:rsidP="00286BDF">
      <w:pPr>
        <w:rPr>
          <w:rFonts w:cs="Arial"/>
          <w:color w:val="000000" w:themeColor="text1"/>
          <w:szCs w:val="16"/>
        </w:rPr>
      </w:pPr>
      <w:r w:rsidRPr="005C29F8">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77777777" w:rsidR="001D677D" w:rsidRPr="005C29F8" w:rsidRDefault="001D677D" w:rsidP="00286BDF">
      <w:pPr>
        <w:rPr>
          <w:rFonts w:cs="Arial"/>
          <w:color w:val="000000" w:themeColor="text1"/>
          <w:szCs w:val="16"/>
        </w:rPr>
      </w:pPr>
      <w:r w:rsidRPr="005C29F8">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4D68547C" w14:textId="77777777" w:rsidR="001D677D" w:rsidRPr="005C29F8" w:rsidRDefault="001D677D" w:rsidP="00286BDF">
      <w:pPr>
        <w:rPr>
          <w:rFonts w:cs="Arial"/>
          <w:color w:val="000000" w:themeColor="text1"/>
          <w:szCs w:val="16"/>
        </w:rPr>
      </w:pPr>
      <w:r w:rsidRPr="005C29F8">
        <w:rPr>
          <w:rFonts w:cs="Arial"/>
          <w:color w:val="000000" w:themeColor="text1"/>
          <w:szCs w:val="16"/>
        </w:rPr>
        <w:t>Targets must be 0%.</w:t>
      </w:r>
    </w:p>
    <w:p w14:paraId="7F575E8E" w14:textId="77777777" w:rsidR="001D677D" w:rsidRPr="005C29F8" w:rsidRDefault="001D677D" w:rsidP="00286BDF">
      <w:pPr>
        <w:rPr>
          <w:rFonts w:cs="Arial"/>
          <w:color w:val="000000" w:themeColor="text1"/>
          <w:szCs w:val="16"/>
        </w:rPr>
      </w:pPr>
      <w:r w:rsidRPr="005C29F8">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367E089E" w14:textId="469298D1" w:rsidR="001D677D" w:rsidRPr="005C29F8" w:rsidRDefault="007A3964" w:rsidP="00286BDF">
      <w:pPr>
        <w:rPr>
          <w:rFonts w:cs="Arial"/>
          <w:color w:val="000000" w:themeColor="text1"/>
          <w:szCs w:val="16"/>
        </w:rPr>
      </w:pPr>
      <w:r w:rsidRPr="005C29F8">
        <w:rPr>
          <w:rFonts w:cs="Arial"/>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307820E6" w14:textId="2418F86F" w:rsidR="00B70FBF" w:rsidRPr="0033429D" w:rsidRDefault="009F64D5" w:rsidP="008645AD">
      <w:pPr>
        <w:pStyle w:val="Heading2"/>
      </w:pPr>
      <w:bookmarkStart w:id="53" w:name="_Toc384383349"/>
      <w:bookmarkStart w:id="54" w:name="_Toc392159317"/>
      <w:bookmarkEnd w:id="51"/>
      <w:bookmarkEnd w:id="52"/>
      <w:r w:rsidRPr="0033429D">
        <w:t>10</w:t>
      </w:r>
      <w:r w:rsidR="00596F4D" w:rsidRPr="0033429D">
        <w:t xml:space="preserve"> </w:t>
      </w:r>
      <w:r w:rsidRPr="0033429D">
        <w:t xml:space="preserve">- </w:t>
      </w:r>
      <w:r w:rsidR="00D853AE" w:rsidRPr="0033429D">
        <w:t>Indicator Data</w:t>
      </w:r>
    </w:p>
    <w:p w14:paraId="198C31F1" w14:textId="77777777" w:rsidR="0091098C" w:rsidRPr="005C29F8" w:rsidRDefault="0091098C" w:rsidP="004369B2">
      <w:pPr>
        <w:rPr>
          <w:color w:val="000000" w:themeColor="text1"/>
        </w:rPr>
      </w:pPr>
      <w:r w:rsidRPr="005C29F8">
        <w:rPr>
          <w:b/>
          <w:color w:val="000000" w:themeColor="text1"/>
        </w:rPr>
        <w:t>Not Applicable</w:t>
      </w:r>
    </w:p>
    <w:p w14:paraId="769429F9" w14:textId="2143DCD6" w:rsidR="00C2395D" w:rsidRPr="005C29F8" w:rsidRDefault="001B07D3">
      <w:pPr>
        <w:rPr>
          <w:b/>
          <w:color w:val="000000" w:themeColor="text1"/>
        </w:rPr>
      </w:pPr>
      <w:r w:rsidRPr="005C29F8">
        <w:rPr>
          <w:b/>
          <w:color w:val="000000" w:themeColor="text1"/>
        </w:rPr>
        <w:t>Select yes if this indicator is not applicable.</w:t>
      </w:r>
    </w:p>
    <w:p w14:paraId="5BEDAC27" w14:textId="63B8B677" w:rsidR="00043AC9" w:rsidRDefault="00043AC9" w:rsidP="004369B2">
      <w:pPr>
        <w:rPr>
          <w:rFonts w:cs="Arial"/>
          <w:color w:val="000000" w:themeColor="text1"/>
          <w:szCs w:val="16"/>
        </w:rPr>
      </w:pPr>
      <w:r w:rsidRPr="005C29F8">
        <w:rPr>
          <w:rFonts w:cs="Arial"/>
          <w:color w:val="000000" w:themeColor="text1"/>
          <w:szCs w:val="16"/>
        </w:rPr>
        <w:t>NO</w:t>
      </w:r>
    </w:p>
    <w:p w14:paraId="74ABC795" w14:textId="77777777" w:rsidR="00C50290" w:rsidRPr="005C29F8" w:rsidRDefault="00C50290" w:rsidP="004369B2">
      <w:pPr>
        <w:rPr>
          <w:color w:val="000000" w:themeColor="text1"/>
        </w:rPr>
      </w:pPr>
    </w:p>
    <w:p w14:paraId="07402C56" w14:textId="1ED19344" w:rsidR="005A3C12" w:rsidRDefault="005A3C12" w:rsidP="004369B2">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14:paraId="7C3AA767" w14:textId="77777777" w:rsidTr="00123D76">
        <w:trPr>
          <w:trHeight w:val="311"/>
          <w:tblHeader/>
        </w:trPr>
        <w:tc>
          <w:tcPr>
            <w:tcW w:w="1797" w:type="dxa"/>
          </w:tcPr>
          <w:p w14:paraId="1A4E37E9" w14:textId="77777777" w:rsidR="00D533A5" w:rsidRDefault="00D533A5" w:rsidP="00123D76">
            <w:pPr>
              <w:jc w:val="center"/>
              <w:rPr>
                <w:b/>
                <w:color w:val="000000" w:themeColor="text1"/>
              </w:rPr>
            </w:pPr>
            <w:r w:rsidRPr="005C29F8">
              <w:rPr>
                <w:rFonts w:cs="Arial"/>
                <w:b/>
                <w:color w:val="000000" w:themeColor="text1"/>
                <w:szCs w:val="16"/>
              </w:rPr>
              <w:t>Baseline Year</w:t>
            </w:r>
          </w:p>
        </w:tc>
        <w:tc>
          <w:tcPr>
            <w:tcW w:w="1798" w:type="dxa"/>
          </w:tcPr>
          <w:p w14:paraId="45C39BBE" w14:textId="77777777" w:rsidR="00D533A5" w:rsidRDefault="00D533A5" w:rsidP="00123D76">
            <w:pPr>
              <w:jc w:val="center"/>
              <w:rPr>
                <w:b/>
                <w:color w:val="000000" w:themeColor="text1"/>
              </w:rPr>
            </w:pPr>
            <w:r>
              <w:rPr>
                <w:b/>
                <w:color w:val="000000" w:themeColor="text1"/>
              </w:rPr>
              <w:t>Baseline Data</w:t>
            </w:r>
          </w:p>
        </w:tc>
      </w:tr>
      <w:tr w:rsidR="00D533A5" w14:paraId="4AFD3BFF" w14:textId="77777777" w:rsidTr="00123D76">
        <w:trPr>
          <w:trHeight w:val="311"/>
        </w:trPr>
        <w:tc>
          <w:tcPr>
            <w:tcW w:w="1797" w:type="dxa"/>
            <w:vAlign w:val="center"/>
          </w:tcPr>
          <w:p w14:paraId="71352362" w14:textId="3C2D4289" w:rsidR="00D533A5" w:rsidRPr="00227D4B" w:rsidRDefault="00D533A5" w:rsidP="00123D76">
            <w:pPr>
              <w:jc w:val="center"/>
              <w:rPr>
                <w:bCs/>
                <w:color w:val="000000" w:themeColor="text1"/>
              </w:rPr>
            </w:pPr>
            <w:r w:rsidRPr="00227D4B">
              <w:rPr>
                <w:bCs/>
                <w:color w:val="000000" w:themeColor="text1"/>
              </w:rPr>
              <w:t>2016</w:t>
            </w:r>
          </w:p>
        </w:tc>
        <w:tc>
          <w:tcPr>
            <w:tcW w:w="1798" w:type="dxa"/>
            <w:vAlign w:val="center"/>
          </w:tcPr>
          <w:p w14:paraId="1E9B684E" w14:textId="004A2B05" w:rsidR="00D533A5" w:rsidRPr="00227D4B" w:rsidRDefault="00D533A5" w:rsidP="00123D76">
            <w:pPr>
              <w:jc w:val="center"/>
              <w:rPr>
                <w:bCs/>
                <w:color w:val="000000" w:themeColor="text1"/>
              </w:rPr>
            </w:pPr>
            <w:r w:rsidRPr="00227D4B">
              <w:rPr>
                <w:bCs/>
                <w:color w:val="000000" w:themeColor="text1"/>
              </w:rPr>
              <w:t>0.00%</w:t>
            </w:r>
          </w:p>
        </w:tc>
      </w:tr>
    </w:tbl>
    <w:p w14:paraId="690B4CC0" w14:textId="77777777" w:rsidR="00D533A5" w:rsidRPr="005C29F8"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5C29F8" w14:paraId="489E6808" w14:textId="77777777" w:rsidTr="0033429D">
        <w:trPr>
          <w:trHeight w:val="350"/>
        </w:trPr>
        <w:tc>
          <w:tcPr>
            <w:tcW w:w="833" w:type="pct"/>
            <w:tcBorders>
              <w:bottom w:val="single" w:sz="4" w:space="0" w:color="auto"/>
            </w:tcBorders>
            <w:shd w:val="clear" w:color="auto" w:fill="auto"/>
          </w:tcPr>
          <w:p w14:paraId="0171756F" w14:textId="77777777" w:rsidR="005A3C12" w:rsidRPr="005C29F8" w:rsidRDefault="005A3C12" w:rsidP="004369B2">
            <w:pPr>
              <w:jc w:val="center"/>
              <w:rPr>
                <w:b/>
                <w:color w:val="000000" w:themeColor="text1"/>
              </w:rPr>
            </w:pPr>
            <w:r w:rsidRPr="005C29F8">
              <w:rPr>
                <w:b/>
                <w:color w:val="000000" w:themeColor="text1"/>
              </w:rPr>
              <w:t>FFY</w:t>
            </w:r>
          </w:p>
        </w:tc>
        <w:tc>
          <w:tcPr>
            <w:tcW w:w="833" w:type="pct"/>
            <w:shd w:val="clear" w:color="auto" w:fill="auto"/>
          </w:tcPr>
          <w:p w14:paraId="78B2C5F0" w14:textId="44C4ABDF" w:rsidR="005A3C12" w:rsidRPr="005C29F8" w:rsidRDefault="002B7490" w:rsidP="0077257F">
            <w:pPr>
              <w:jc w:val="center"/>
              <w:rPr>
                <w:b/>
                <w:color w:val="000000" w:themeColor="text1"/>
              </w:rPr>
            </w:pPr>
            <w:r w:rsidRPr="005C29F8">
              <w:rPr>
                <w:b/>
                <w:color w:val="000000" w:themeColor="text1"/>
              </w:rPr>
              <w:t>2014</w:t>
            </w:r>
          </w:p>
        </w:tc>
        <w:tc>
          <w:tcPr>
            <w:tcW w:w="833" w:type="pct"/>
            <w:shd w:val="clear" w:color="auto" w:fill="auto"/>
          </w:tcPr>
          <w:p w14:paraId="7D60853E" w14:textId="148AFB2D" w:rsidR="005A3C12" w:rsidRPr="005C29F8" w:rsidRDefault="002B7490" w:rsidP="0077257F">
            <w:pPr>
              <w:jc w:val="center"/>
              <w:rPr>
                <w:b/>
                <w:color w:val="000000" w:themeColor="text1"/>
              </w:rPr>
            </w:pPr>
            <w:r w:rsidRPr="005C29F8">
              <w:rPr>
                <w:b/>
                <w:color w:val="000000" w:themeColor="text1"/>
              </w:rPr>
              <w:t>2015</w:t>
            </w:r>
          </w:p>
        </w:tc>
        <w:tc>
          <w:tcPr>
            <w:tcW w:w="833" w:type="pct"/>
            <w:shd w:val="clear" w:color="auto" w:fill="auto"/>
          </w:tcPr>
          <w:p w14:paraId="7AE4870B" w14:textId="1CBB7B36" w:rsidR="005A3C12" w:rsidRPr="005C29F8" w:rsidRDefault="002B7490" w:rsidP="0077257F">
            <w:pPr>
              <w:jc w:val="center"/>
              <w:rPr>
                <w:b/>
                <w:color w:val="000000" w:themeColor="text1"/>
              </w:rPr>
            </w:pPr>
            <w:r w:rsidRPr="005C29F8">
              <w:rPr>
                <w:b/>
                <w:color w:val="000000" w:themeColor="text1"/>
              </w:rPr>
              <w:t>2016</w:t>
            </w:r>
          </w:p>
        </w:tc>
        <w:tc>
          <w:tcPr>
            <w:tcW w:w="833" w:type="pct"/>
            <w:shd w:val="clear" w:color="auto" w:fill="auto"/>
          </w:tcPr>
          <w:p w14:paraId="2C1DA403" w14:textId="484DDCF7" w:rsidR="005A3C12" w:rsidRPr="005C29F8" w:rsidRDefault="002B7490" w:rsidP="0077257F">
            <w:pPr>
              <w:jc w:val="center"/>
              <w:rPr>
                <w:b/>
                <w:color w:val="000000" w:themeColor="text1"/>
              </w:rPr>
            </w:pPr>
            <w:r w:rsidRPr="005C29F8">
              <w:rPr>
                <w:b/>
                <w:color w:val="000000" w:themeColor="text1"/>
              </w:rPr>
              <w:t>2017</w:t>
            </w:r>
          </w:p>
        </w:tc>
        <w:tc>
          <w:tcPr>
            <w:tcW w:w="834" w:type="pct"/>
            <w:shd w:val="clear" w:color="auto" w:fill="auto"/>
          </w:tcPr>
          <w:p w14:paraId="0829DA0A" w14:textId="7480CDCA" w:rsidR="005A3C12" w:rsidRPr="005C29F8" w:rsidRDefault="002B7490" w:rsidP="0077257F">
            <w:pPr>
              <w:jc w:val="center"/>
              <w:rPr>
                <w:b/>
                <w:color w:val="000000" w:themeColor="text1"/>
              </w:rPr>
            </w:pPr>
            <w:r w:rsidRPr="005C29F8">
              <w:rPr>
                <w:b/>
                <w:color w:val="000000" w:themeColor="text1"/>
              </w:rPr>
              <w:t>2018</w:t>
            </w:r>
          </w:p>
        </w:tc>
      </w:tr>
      <w:tr w:rsidR="005C29F8" w:rsidRPr="005C29F8" w14:paraId="070DB2EE" w14:textId="77777777" w:rsidTr="0033429D">
        <w:trPr>
          <w:trHeight w:val="357"/>
        </w:trPr>
        <w:tc>
          <w:tcPr>
            <w:tcW w:w="833" w:type="pct"/>
            <w:shd w:val="clear" w:color="auto" w:fill="auto"/>
          </w:tcPr>
          <w:p w14:paraId="0009CFCE" w14:textId="3FC698CF" w:rsidR="005A3C12" w:rsidRPr="005C29F8" w:rsidRDefault="005A3C12" w:rsidP="00B6413B">
            <w:pPr>
              <w:rPr>
                <w:rFonts w:cs="Arial"/>
                <w:color w:val="000000" w:themeColor="text1"/>
                <w:szCs w:val="16"/>
              </w:rPr>
            </w:pPr>
            <w:r w:rsidRPr="005C29F8">
              <w:rPr>
                <w:rFonts w:cs="Arial"/>
                <w:color w:val="000000" w:themeColor="text1"/>
                <w:szCs w:val="16"/>
              </w:rPr>
              <w:t xml:space="preserve">Target </w:t>
            </w:r>
          </w:p>
        </w:tc>
        <w:tc>
          <w:tcPr>
            <w:tcW w:w="833" w:type="pct"/>
            <w:shd w:val="clear" w:color="auto" w:fill="auto"/>
          </w:tcPr>
          <w:p w14:paraId="1375BD99" w14:textId="6D10741B" w:rsidR="005A3C12" w:rsidRPr="005C29F8" w:rsidRDefault="009C65E9" w:rsidP="004369B2">
            <w:pPr>
              <w:jc w:val="center"/>
              <w:rPr>
                <w:rFonts w:cs="Arial"/>
                <w:color w:val="000000" w:themeColor="text1"/>
                <w:szCs w:val="16"/>
              </w:rPr>
            </w:pPr>
            <w:r w:rsidRPr="005C29F8">
              <w:rPr>
                <w:rFonts w:cs="Arial"/>
                <w:color w:val="000000" w:themeColor="text1"/>
                <w:szCs w:val="16"/>
              </w:rPr>
              <w:t>0%</w:t>
            </w:r>
          </w:p>
        </w:tc>
        <w:tc>
          <w:tcPr>
            <w:tcW w:w="833" w:type="pct"/>
            <w:shd w:val="clear" w:color="auto" w:fill="auto"/>
          </w:tcPr>
          <w:p w14:paraId="26F74D0F" w14:textId="4AE09CE9" w:rsidR="005A3C12" w:rsidRPr="005C29F8" w:rsidRDefault="009C65E9" w:rsidP="004369B2">
            <w:pPr>
              <w:jc w:val="center"/>
              <w:rPr>
                <w:rFonts w:cs="Arial"/>
                <w:color w:val="000000" w:themeColor="text1"/>
                <w:szCs w:val="16"/>
              </w:rPr>
            </w:pPr>
            <w:r w:rsidRPr="005C29F8">
              <w:rPr>
                <w:rFonts w:cs="Arial"/>
                <w:color w:val="000000" w:themeColor="text1"/>
                <w:szCs w:val="16"/>
              </w:rPr>
              <w:t>0%</w:t>
            </w:r>
          </w:p>
        </w:tc>
        <w:tc>
          <w:tcPr>
            <w:tcW w:w="833" w:type="pct"/>
            <w:shd w:val="clear" w:color="auto" w:fill="auto"/>
          </w:tcPr>
          <w:p w14:paraId="7853FB9A" w14:textId="12B0C6E3" w:rsidR="005A3C12" w:rsidRPr="005C29F8" w:rsidRDefault="009C65E9" w:rsidP="004369B2">
            <w:pPr>
              <w:jc w:val="center"/>
              <w:rPr>
                <w:rFonts w:cs="Arial"/>
                <w:color w:val="000000" w:themeColor="text1"/>
                <w:szCs w:val="16"/>
              </w:rPr>
            </w:pPr>
            <w:r w:rsidRPr="005C29F8">
              <w:rPr>
                <w:rFonts w:cs="Arial"/>
                <w:color w:val="000000" w:themeColor="text1"/>
                <w:szCs w:val="16"/>
              </w:rPr>
              <w:t>0%</w:t>
            </w:r>
          </w:p>
        </w:tc>
        <w:tc>
          <w:tcPr>
            <w:tcW w:w="833" w:type="pct"/>
            <w:shd w:val="clear" w:color="auto" w:fill="auto"/>
          </w:tcPr>
          <w:p w14:paraId="48E831B0" w14:textId="55B124AD" w:rsidR="005A3C12" w:rsidRPr="005C29F8" w:rsidRDefault="009C65E9" w:rsidP="004369B2">
            <w:pPr>
              <w:jc w:val="center"/>
              <w:rPr>
                <w:rFonts w:cs="Arial"/>
                <w:color w:val="000000" w:themeColor="text1"/>
                <w:szCs w:val="16"/>
              </w:rPr>
            </w:pPr>
            <w:r w:rsidRPr="005C29F8">
              <w:rPr>
                <w:rFonts w:cs="Arial"/>
                <w:color w:val="000000" w:themeColor="text1"/>
                <w:szCs w:val="16"/>
              </w:rPr>
              <w:t>0%</w:t>
            </w:r>
          </w:p>
        </w:tc>
        <w:tc>
          <w:tcPr>
            <w:tcW w:w="834" w:type="pct"/>
            <w:shd w:val="clear" w:color="auto" w:fill="auto"/>
          </w:tcPr>
          <w:p w14:paraId="0EC718C3" w14:textId="25E87C80" w:rsidR="005A3C12" w:rsidRPr="005C29F8" w:rsidRDefault="009C65E9" w:rsidP="004369B2">
            <w:pPr>
              <w:jc w:val="center"/>
              <w:rPr>
                <w:rFonts w:cs="Arial"/>
                <w:color w:val="000000" w:themeColor="text1"/>
                <w:szCs w:val="16"/>
              </w:rPr>
            </w:pPr>
            <w:r w:rsidRPr="005C29F8">
              <w:rPr>
                <w:rFonts w:cs="Arial"/>
                <w:color w:val="000000" w:themeColor="text1"/>
                <w:szCs w:val="16"/>
              </w:rPr>
              <w:t>0%</w:t>
            </w:r>
          </w:p>
        </w:tc>
      </w:tr>
      <w:tr w:rsidR="005C29F8" w:rsidRPr="005C29F8" w14:paraId="72345F0E" w14:textId="77777777" w:rsidTr="0033429D">
        <w:trPr>
          <w:trHeight w:val="85"/>
        </w:trPr>
        <w:tc>
          <w:tcPr>
            <w:tcW w:w="833" w:type="pct"/>
            <w:shd w:val="clear" w:color="auto" w:fill="auto"/>
          </w:tcPr>
          <w:p w14:paraId="33960FE1" w14:textId="77777777" w:rsidR="005A3C12" w:rsidRPr="005C29F8" w:rsidRDefault="005A3C12" w:rsidP="00B6413B">
            <w:pPr>
              <w:rPr>
                <w:rFonts w:cs="Arial"/>
                <w:color w:val="000000" w:themeColor="text1"/>
                <w:szCs w:val="16"/>
              </w:rPr>
            </w:pPr>
            <w:r w:rsidRPr="005C29F8">
              <w:rPr>
                <w:rFonts w:cs="Arial"/>
                <w:color w:val="000000" w:themeColor="text1"/>
                <w:szCs w:val="16"/>
              </w:rPr>
              <w:t>Data</w:t>
            </w:r>
          </w:p>
        </w:tc>
        <w:tc>
          <w:tcPr>
            <w:tcW w:w="833" w:type="pct"/>
            <w:shd w:val="clear" w:color="auto" w:fill="auto"/>
          </w:tcPr>
          <w:p w14:paraId="1EEC0627" w14:textId="677F8A3D" w:rsidR="005A3C12" w:rsidRPr="005C29F8" w:rsidRDefault="002B7490" w:rsidP="004369B2">
            <w:pPr>
              <w:jc w:val="center"/>
              <w:rPr>
                <w:rFonts w:cs="Arial"/>
                <w:color w:val="000000" w:themeColor="text1"/>
                <w:szCs w:val="16"/>
              </w:rPr>
            </w:pPr>
            <w:r w:rsidRPr="005C29F8">
              <w:rPr>
                <w:rFonts w:cs="Arial"/>
                <w:color w:val="000000" w:themeColor="text1"/>
                <w:szCs w:val="16"/>
              </w:rPr>
              <w:t>0.00%</w:t>
            </w:r>
          </w:p>
        </w:tc>
        <w:tc>
          <w:tcPr>
            <w:tcW w:w="833" w:type="pct"/>
            <w:shd w:val="clear" w:color="auto" w:fill="auto"/>
          </w:tcPr>
          <w:p w14:paraId="5FB4D0B8" w14:textId="190E02CD" w:rsidR="005A3C12" w:rsidRPr="005C29F8" w:rsidRDefault="002B7490" w:rsidP="004369B2">
            <w:pPr>
              <w:jc w:val="center"/>
              <w:rPr>
                <w:rFonts w:cs="Arial"/>
                <w:color w:val="000000" w:themeColor="text1"/>
                <w:szCs w:val="16"/>
              </w:rPr>
            </w:pPr>
            <w:r w:rsidRPr="005C29F8">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5C29F8" w:rsidRDefault="002B7490" w:rsidP="004369B2">
            <w:pPr>
              <w:jc w:val="center"/>
              <w:rPr>
                <w:rFonts w:cs="Arial"/>
                <w:color w:val="000000" w:themeColor="text1"/>
                <w:szCs w:val="16"/>
              </w:rPr>
            </w:pPr>
            <w:r w:rsidRPr="005C29F8">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5C29F8" w:rsidRDefault="002B7490" w:rsidP="004369B2">
            <w:pPr>
              <w:jc w:val="center"/>
              <w:rPr>
                <w:rFonts w:cs="Arial"/>
                <w:color w:val="000000" w:themeColor="text1"/>
                <w:szCs w:val="16"/>
              </w:rPr>
            </w:pPr>
            <w:r w:rsidRPr="005C29F8">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5C29F8" w:rsidRDefault="002B7490" w:rsidP="004369B2">
            <w:pPr>
              <w:jc w:val="center"/>
              <w:rPr>
                <w:rFonts w:cs="Arial"/>
                <w:color w:val="000000" w:themeColor="text1"/>
                <w:szCs w:val="16"/>
              </w:rPr>
            </w:pPr>
            <w:r w:rsidRPr="005C29F8">
              <w:rPr>
                <w:rFonts w:cs="Arial"/>
                <w:color w:val="000000" w:themeColor="text1"/>
                <w:szCs w:val="16"/>
              </w:rPr>
              <w:t>0.00%</w:t>
            </w:r>
          </w:p>
        </w:tc>
      </w:tr>
      <w:bookmarkEnd w:id="53"/>
      <w:bookmarkEnd w:id="54"/>
    </w:tbl>
    <w:p w14:paraId="1840A66A" w14:textId="77777777" w:rsidR="00BA687C" w:rsidRPr="005C29F8" w:rsidRDefault="00BA687C" w:rsidP="004369B2">
      <w:pPr>
        <w:rPr>
          <w:color w:val="000000" w:themeColor="text1"/>
        </w:rPr>
      </w:pPr>
    </w:p>
    <w:p w14:paraId="618FFFDA" w14:textId="2F1D75E5" w:rsidR="007A3964" w:rsidRPr="005C29F8" w:rsidRDefault="007A3964" w:rsidP="004369B2">
      <w:pPr>
        <w:rPr>
          <w:color w:val="000000" w:themeColor="text1"/>
        </w:rPr>
      </w:pPr>
      <w:r w:rsidRPr="005C29F8">
        <w:rPr>
          <w:b/>
          <w:color w:val="000000" w:themeColor="text1"/>
        </w:rPr>
        <w:t>Targets</w:t>
      </w:r>
    </w:p>
    <w:tbl>
      <w:tblPr>
        <w:tblW w:w="1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TARGETS"/>
      </w:tblPr>
      <w:tblGrid>
        <w:gridCol w:w="679"/>
        <w:gridCol w:w="2465"/>
      </w:tblGrid>
      <w:tr w:rsidR="00441578" w:rsidRPr="005C29F8" w14:paraId="66B5B2AB" w14:textId="77777777" w:rsidTr="0033429D">
        <w:trPr>
          <w:trHeight w:val="350"/>
        </w:trPr>
        <w:tc>
          <w:tcPr>
            <w:tcW w:w="1079" w:type="pct"/>
            <w:tcBorders>
              <w:bottom w:val="single" w:sz="4" w:space="0" w:color="auto"/>
            </w:tcBorders>
            <w:shd w:val="clear" w:color="auto" w:fill="auto"/>
          </w:tcPr>
          <w:p w14:paraId="6C572A94" w14:textId="77777777" w:rsidR="00441578" w:rsidRPr="005C29F8" w:rsidRDefault="00441578" w:rsidP="004369B2">
            <w:pPr>
              <w:jc w:val="center"/>
              <w:rPr>
                <w:b/>
                <w:color w:val="000000" w:themeColor="text1"/>
              </w:rPr>
            </w:pPr>
            <w:r w:rsidRPr="005C29F8">
              <w:rPr>
                <w:b/>
                <w:color w:val="000000" w:themeColor="text1"/>
              </w:rPr>
              <w:t>FFY</w:t>
            </w:r>
          </w:p>
        </w:tc>
        <w:tc>
          <w:tcPr>
            <w:tcW w:w="3921" w:type="pct"/>
            <w:shd w:val="clear" w:color="auto" w:fill="auto"/>
          </w:tcPr>
          <w:p w14:paraId="67096E8B" w14:textId="77777777" w:rsidR="00441578" w:rsidRPr="005C29F8" w:rsidRDefault="00441578" w:rsidP="004369B2">
            <w:pPr>
              <w:jc w:val="center"/>
              <w:rPr>
                <w:b/>
                <w:color w:val="000000" w:themeColor="text1"/>
              </w:rPr>
            </w:pPr>
            <w:r w:rsidRPr="005C29F8">
              <w:rPr>
                <w:b/>
                <w:color w:val="000000" w:themeColor="text1"/>
              </w:rPr>
              <w:t>2019</w:t>
            </w:r>
          </w:p>
        </w:tc>
      </w:tr>
      <w:tr w:rsidR="00441578" w:rsidRPr="005C29F8" w14:paraId="169ED4F0" w14:textId="77777777" w:rsidTr="00441578">
        <w:trPr>
          <w:trHeight w:val="357"/>
        </w:trPr>
        <w:tc>
          <w:tcPr>
            <w:tcW w:w="1079" w:type="pct"/>
            <w:shd w:val="clear" w:color="auto" w:fill="auto"/>
            <w:vAlign w:val="center"/>
          </w:tcPr>
          <w:p w14:paraId="639437BD" w14:textId="77777777" w:rsidR="00441578" w:rsidRPr="005C29F8" w:rsidRDefault="00441578" w:rsidP="00D95C14">
            <w:pPr>
              <w:rPr>
                <w:rFonts w:cs="Arial"/>
                <w:color w:val="000000" w:themeColor="text1"/>
                <w:szCs w:val="16"/>
              </w:rPr>
            </w:pPr>
            <w:r w:rsidRPr="005C29F8">
              <w:rPr>
                <w:rFonts w:cs="Arial"/>
                <w:color w:val="000000" w:themeColor="text1"/>
                <w:szCs w:val="16"/>
              </w:rPr>
              <w:t xml:space="preserve">Target </w:t>
            </w:r>
          </w:p>
        </w:tc>
        <w:tc>
          <w:tcPr>
            <w:tcW w:w="3921" w:type="pct"/>
            <w:shd w:val="clear" w:color="auto" w:fill="auto"/>
            <w:vAlign w:val="center"/>
          </w:tcPr>
          <w:p w14:paraId="482B43E6" w14:textId="62FCF10C" w:rsidR="00441578" w:rsidRPr="005C29F8" w:rsidRDefault="00441578" w:rsidP="00D95C14">
            <w:pPr>
              <w:jc w:val="center"/>
              <w:rPr>
                <w:rFonts w:cs="Arial"/>
                <w:color w:val="000000" w:themeColor="text1"/>
                <w:szCs w:val="16"/>
              </w:rPr>
            </w:pPr>
            <w:r w:rsidRPr="005C29F8">
              <w:rPr>
                <w:rFonts w:cs="Arial"/>
                <w:color w:val="000000" w:themeColor="text1"/>
                <w:szCs w:val="16"/>
              </w:rPr>
              <w:t>0%</w:t>
            </w:r>
          </w:p>
        </w:tc>
      </w:tr>
    </w:tbl>
    <w:p w14:paraId="52F4815B" w14:textId="77777777" w:rsidR="00BA687C" w:rsidRPr="005C29F8" w:rsidRDefault="00BA687C" w:rsidP="004369B2">
      <w:pPr>
        <w:rPr>
          <w:color w:val="000000" w:themeColor="text1"/>
        </w:rPr>
      </w:pPr>
    </w:p>
    <w:p w14:paraId="7CAE922F" w14:textId="00FD6CD6" w:rsidR="005A3C12" w:rsidRPr="005C29F8" w:rsidRDefault="005A3C12">
      <w:pPr>
        <w:rPr>
          <w:b/>
          <w:color w:val="000000" w:themeColor="text1"/>
        </w:rPr>
      </w:pPr>
      <w:r w:rsidRPr="005C29F8">
        <w:rPr>
          <w:b/>
          <w:color w:val="000000" w:themeColor="text1"/>
        </w:rPr>
        <w:t>FFY 2019 SPP/APR Data</w:t>
      </w:r>
    </w:p>
    <w:p w14:paraId="2910402D" w14:textId="579385FD" w:rsidR="00C2395D" w:rsidRPr="005C29F8" w:rsidRDefault="00C2395D">
      <w:pPr>
        <w:rPr>
          <w:rFonts w:cs="Arial"/>
          <w:b/>
          <w:color w:val="000000" w:themeColor="text1"/>
          <w:szCs w:val="16"/>
        </w:rPr>
      </w:pPr>
      <w:r w:rsidRPr="005C29F8">
        <w:rPr>
          <w:rFonts w:cs="Arial"/>
          <w:b/>
          <w:color w:val="000000" w:themeColor="text1"/>
          <w:szCs w:val="16"/>
        </w:rPr>
        <w:lastRenderedPageBreak/>
        <w:t>Has the state established a minimum n and/or cell size requirement? (yes/no)</w:t>
      </w:r>
    </w:p>
    <w:p w14:paraId="51881593" w14:textId="15FAF06D" w:rsidR="00C2395D" w:rsidRDefault="00C2395D">
      <w:pPr>
        <w:rPr>
          <w:rFonts w:cs="Arial"/>
          <w:color w:val="000000" w:themeColor="text1"/>
          <w:szCs w:val="16"/>
        </w:rPr>
      </w:pPr>
      <w:bookmarkStart w:id="55" w:name="_Hlk20258880"/>
      <w:r w:rsidRPr="005C29F8">
        <w:rPr>
          <w:rFonts w:cs="Arial"/>
          <w:color w:val="000000" w:themeColor="text1"/>
          <w:szCs w:val="16"/>
        </w:rPr>
        <w:t>YES</w:t>
      </w:r>
    </w:p>
    <w:bookmarkEnd w:id="55"/>
    <w:p w14:paraId="68C2343A" w14:textId="52DDFC94" w:rsidR="00C2395D" w:rsidRPr="005C29F8" w:rsidRDefault="00C2395D">
      <w:pPr>
        <w:rPr>
          <w:rFonts w:cs="Arial"/>
          <w:b/>
          <w:color w:val="000000" w:themeColor="text1"/>
          <w:szCs w:val="16"/>
        </w:rPr>
      </w:pPr>
      <w:r w:rsidRPr="005C29F8">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Default="00C2395D">
      <w:pPr>
        <w:rPr>
          <w:rFonts w:cs="Arial"/>
          <w:color w:val="000000" w:themeColor="text1"/>
          <w:szCs w:val="16"/>
        </w:rPr>
      </w:pPr>
      <w:r w:rsidRPr="005C29F8">
        <w:rPr>
          <w:rFonts w:cs="Arial"/>
          <w:color w:val="000000" w:themeColor="text1"/>
          <w:szCs w:val="16"/>
        </w:rPr>
        <w:t>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5C29F8" w:rsidRPr="005C29F8" w14:paraId="46B7EEE9" w14:textId="299BDFCD" w:rsidTr="00D56EC4">
        <w:trPr>
          <w:trHeight w:val="354"/>
        </w:trPr>
        <w:tc>
          <w:tcPr>
            <w:tcW w:w="556" w:type="pct"/>
            <w:shd w:val="clear" w:color="auto" w:fill="auto"/>
            <w:vAlign w:val="bottom"/>
          </w:tcPr>
          <w:p w14:paraId="0E28349C" w14:textId="77777777" w:rsidR="006A4596" w:rsidRPr="005C29F8" w:rsidRDefault="006A4596" w:rsidP="004369B2">
            <w:pPr>
              <w:jc w:val="center"/>
              <w:rPr>
                <w:b/>
                <w:color w:val="000000" w:themeColor="text1"/>
              </w:rPr>
            </w:pPr>
            <w:r w:rsidRPr="005C29F8">
              <w:rPr>
                <w:b/>
                <w:color w:val="000000" w:themeColor="text1"/>
              </w:rPr>
              <w:t>Number of districts with disproportionate representation of racial and ethnic groups in specific disability categories</w:t>
            </w:r>
          </w:p>
        </w:tc>
        <w:tc>
          <w:tcPr>
            <w:tcW w:w="583" w:type="pct"/>
            <w:shd w:val="clear" w:color="auto" w:fill="auto"/>
            <w:vAlign w:val="bottom"/>
          </w:tcPr>
          <w:p w14:paraId="3776FC0B" w14:textId="77777777" w:rsidR="006A4596" w:rsidRPr="005C29F8" w:rsidRDefault="006A4596" w:rsidP="004369B2">
            <w:pPr>
              <w:jc w:val="center"/>
              <w:rPr>
                <w:b/>
                <w:color w:val="000000" w:themeColor="text1"/>
              </w:rPr>
            </w:pPr>
            <w:r w:rsidRPr="005C29F8">
              <w:rPr>
                <w:b/>
                <w:color w:val="000000" w:themeColor="text1"/>
              </w:rPr>
              <w:t>Number of districts with disproportionate representation of racial and ethnic groups in specific disability categories that is the result of inappropriate identification</w:t>
            </w:r>
          </w:p>
        </w:tc>
        <w:tc>
          <w:tcPr>
            <w:tcW w:w="837" w:type="pct"/>
            <w:shd w:val="clear" w:color="auto" w:fill="auto"/>
            <w:vAlign w:val="bottom"/>
          </w:tcPr>
          <w:p w14:paraId="355E2973" w14:textId="5007428A" w:rsidR="006A4596" w:rsidRPr="005C29F8" w:rsidRDefault="003D7F56" w:rsidP="004369B2">
            <w:pPr>
              <w:jc w:val="center"/>
              <w:rPr>
                <w:b/>
                <w:color w:val="000000" w:themeColor="text1"/>
              </w:rPr>
            </w:pPr>
            <w:r w:rsidRPr="005C29F8">
              <w:rPr>
                <w:b/>
                <w:color w:val="000000" w:themeColor="text1"/>
              </w:rPr>
              <w:t>Number of Districts that met the State's minimum n-size</w:t>
            </w:r>
          </w:p>
        </w:tc>
        <w:tc>
          <w:tcPr>
            <w:tcW w:w="537" w:type="pct"/>
            <w:shd w:val="clear" w:color="auto" w:fill="auto"/>
            <w:vAlign w:val="bottom"/>
          </w:tcPr>
          <w:p w14:paraId="7466F790" w14:textId="11F3A28A" w:rsidR="006A4596" w:rsidRPr="005C29F8" w:rsidRDefault="00D95C14" w:rsidP="004369B2">
            <w:pPr>
              <w:jc w:val="center"/>
              <w:rPr>
                <w:b/>
                <w:color w:val="000000" w:themeColor="text1"/>
              </w:rPr>
            </w:pPr>
            <w:r w:rsidRPr="005C29F8">
              <w:rPr>
                <w:b/>
                <w:color w:val="000000" w:themeColor="text1"/>
              </w:rPr>
              <w:t>FFY 2018 Data</w:t>
            </w:r>
          </w:p>
        </w:tc>
        <w:tc>
          <w:tcPr>
            <w:tcW w:w="799" w:type="pct"/>
            <w:shd w:val="clear" w:color="auto" w:fill="auto"/>
            <w:vAlign w:val="bottom"/>
          </w:tcPr>
          <w:p w14:paraId="72475F3B" w14:textId="4AAF4277" w:rsidR="006A4596" w:rsidRPr="005C29F8" w:rsidRDefault="006A4596" w:rsidP="004369B2">
            <w:pPr>
              <w:jc w:val="center"/>
              <w:rPr>
                <w:b/>
                <w:color w:val="000000" w:themeColor="text1"/>
              </w:rPr>
            </w:pPr>
            <w:r w:rsidRPr="005C29F8">
              <w:rPr>
                <w:b/>
                <w:color w:val="000000" w:themeColor="text1"/>
              </w:rPr>
              <w:t>FFY 2019 Target</w:t>
            </w:r>
          </w:p>
        </w:tc>
        <w:tc>
          <w:tcPr>
            <w:tcW w:w="484" w:type="pct"/>
            <w:shd w:val="clear" w:color="auto" w:fill="auto"/>
            <w:vAlign w:val="bottom"/>
          </w:tcPr>
          <w:p w14:paraId="71FC938A" w14:textId="4095A583" w:rsidR="006A4596" w:rsidRPr="005C29F8" w:rsidRDefault="006A4596" w:rsidP="004369B2">
            <w:pPr>
              <w:jc w:val="center"/>
              <w:rPr>
                <w:b/>
                <w:color w:val="000000" w:themeColor="text1"/>
              </w:rPr>
            </w:pPr>
            <w:r w:rsidRPr="005C29F8">
              <w:rPr>
                <w:b/>
                <w:color w:val="000000" w:themeColor="text1"/>
              </w:rPr>
              <w:t>FFY 2019 Data</w:t>
            </w:r>
          </w:p>
        </w:tc>
        <w:tc>
          <w:tcPr>
            <w:tcW w:w="611" w:type="pct"/>
            <w:shd w:val="clear" w:color="auto" w:fill="auto"/>
            <w:vAlign w:val="bottom"/>
          </w:tcPr>
          <w:p w14:paraId="3412B11F" w14:textId="60F985B5" w:rsidR="006A4596" w:rsidRPr="005C29F8" w:rsidRDefault="006A4596" w:rsidP="004369B2">
            <w:pPr>
              <w:jc w:val="center"/>
              <w:rPr>
                <w:b/>
                <w:color w:val="000000" w:themeColor="text1"/>
              </w:rPr>
            </w:pPr>
            <w:r w:rsidRPr="005C29F8">
              <w:rPr>
                <w:b/>
                <w:color w:val="000000" w:themeColor="text1"/>
              </w:rPr>
              <w:t>Status</w:t>
            </w:r>
          </w:p>
        </w:tc>
        <w:tc>
          <w:tcPr>
            <w:tcW w:w="592" w:type="pct"/>
            <w:shd w:val="clear" w:color="auto" w:fill="auto"/>
            <w:vAlign w:val="bottom"/>
          </w:tcPr>
          <w:p w14:paraId="5BE578EA" w14:textId="42655681" w:rsidR="006A4596" w:rsidRPr="005C29F8" w:rsidRDefault="006A4596" w:rsidP="004369B2">
            <w:pPr>
              <w:jc w:val="center"/>
              <w:rPr>
                <w:b/>
                <w:color w:val="000000" w:themeColor="text1"/>
              </w:rPr>
            </w:pPr>
            <w:r w:rsidRPr="005C29F8">
              <w:rPr>
                <w:b/>
                <w:color w:val="000000" w:themeColor="text1"/>
              </w:rPr>
              <w:t>Slippage</w:t>
            </w:r>
          </w:p>
        </w:tc>
      </w:tr>
      <w:tr w:rsidR="005C29F8" w:rsidRPr="005C29F8" w14:paraId="15B9A5E7" w14:textId="77777777" w:rsidTr="00690A61">
        <w:tblPrEx>
          <w:jc w:val="center"/>
        </w:tblPrEx>
        <w:trPr>
          <w:trHeight w:val="361"/>
          <w:jc w:val="center"/>
        </w:trPr>
        <w:tc>
          <w:tcPr>
            <w:tcW w:w="556" w:type="pct"/>
            <w:shd w:val="clear" w:color="auto" w:fill="auto"/>
            <w:vAlign w:val="center"/>
          </w:tcPr>
          <w:p w14:paraId="4E60E5C8" w14:textId="6324B6DD" w:rsidR="00832807" w:rsidRPr="005C29F8" w:rsidRDefault="002B7490" w:rsidP="00A018D4">
            <w:pPr>
              <w:jc w:val="center"/>
              <w:rPr>
                <w:rFonts w:cs="Arial"/>
                <w:color w:val="000000" w:themeColor="text1"/>
                <w:szCs w:val="16"/>
              </w:rPr>
            </w:pPr>
            <w:r w:rsidRPr="005C29F8">
              <w:rPr>
                <w:rFonts w:cs="Arial"/>
                <w:color w:val="000000" w:themeColor="text1"/>
                <w:szCs w:val="16"/>
              </w:rPr>
              <w:t>8</w:t>
            </w:r>
          </w:p>
        </w:tc>
        <w:tc>
          <w:tcPr>
            <w:tcW w:w="583" w:type="pct"/>
            <w:shd w:val="clear" w:color="auto" w:fill="auto"/>
            <w:vAlign w:val="center"/>
          </w:tcPr>
          <w:p w14:paraId="765C1600" w14:textId="09979D5F" w:rsidR="00832807" w:rsidRPr="005C29F8" w:rsidRDefault="002B7490">
            <w:pPr>
              <w:jc w:val="center"/>
              <w:rPr>
                <w:rFonts w:cs="Arial"/>
                <w:color w:val="000000" w:themeColor="text1"/>
                <w:szCs w:val="16"/>
              </w:rPr>
            </w:pPr>
            <w:r w:rsidRPr="005C29F8">
              <w:rPr>
                <w:rFonts w:cs="Arial"/>
                <w:color w:val="000000" w:themeColor="text1"/>
                <w:szCs w:val="16"/>
              </w:rPr>
              <w:t>0</w:t>
            </w:r>
          </w:p>
        </w:tc>
        <w:tc>
          <w:tcPr>
            <w:tcW w:w="837" w:type="pct"/>
            <w:shd w:val="clear" w:color="auto" w:fill="auto"/>
          </w:tcPr>
          <w:p w14:paraId="2F5939A9" w14:textId="0BB9A6FC" w:rsidR="00832807" w:rsidRPr="005C29F8" w:rsidRDefault="002B7490">
            <w:pPr>
              <w:jc w:val="center"/>
              <w:rPr>
                <w:rFonts w:cs="Arial"/>
                <w:color w:val="000000" w:themeColor="text1"/>
                <w:szCs w:val="16"/>
              </w:rPr>
            </w:pPr>
            <w:r w:rsidRPr="005C29F8">
              <w:rPr>
                <w:rFonts w:cs="Arial"/>
                <w:color w:val="000000" w:themeColor="text1"/>
                <w:szCs w:val="16"/>
              </w:rPr>
              <w:t>360</w:t>
            </w:r>
          </w:p>
        </w:tc>
        <w:tc>
          <w:tcPr>
            <w:tcW w:w="537" w:type="pct"/>
            <w:shd w:val="clear" w:color="auto" w:fill="auto"/>
          </w:tcPr>
          <w:p w14:paraId="0D05C70A" w14:textId="18F3C221" w:rsidR="00832807" w:rsidRPr="005C29F8" w:rsidRDefault="002B7490">
            <w:pPr>
              <w:jc w:val="center"/>
              <w:rPr>
                <w:rFonts w:cs="Arial"/>
                <w:color w:val="000000" w:themeColor="text1"/>
                <w:szCs w:val="16"/>
              </w:rPr>
            </w:pPr>
            <w:r w:rsidRPr="005C29F8">
              <w:rPr>
                <w:rFonts w:cs="Arial"/>
                <w:color w:val="000000" w:themeColor="text1"/>
                <w:szCs w:val="16"/>
              </w:rPr>
              <w:t>0.00%</w:t>
            </w:r>
          </w:p>
        </w:tc>
        <w:tc>
          <w:tcPr>
            <w:tcW w:w="799" w:type="pct"/>
            <w:shd w:val="clear" w:color="auto" w:fill="auto"/>
          </w:tcPr>
          <w:p w14:paraId="31B1786A" w14:textId="1C0FB493" w:rsidR="00832807" w:rsidRPr="005C29F8" w:rsidRDefault="009C65E9">
            <w:pPr>
              <w:jc w:val="center"/>
              <w:rPr>
                <w:rFonts w:cs="Arial"/>
                <w:color w:val="000000" w:themeColor="text1"/>
                <w:szCs w:val="16"/>
              </w:rPr>
            </w:pPr>
            <w:r w:rsidRPr="005C29F8">
              <w:rPr>
                <w:rFonts w:cs="Arial"/>
                <w:color w:val="000000" w:themeColor="text1"/>
                <w:szCs w:val="16"/>
              </w:rPr>
              <w:t>0%</w:t>
            </w:r>
          </w:p>
        </w:tc>
        <w:tc>
          <w:tcPr>
            <w:tcW w:w="484" w:type="pct"/>
            <w:shd w:val="clear" w:color="auto" w:fill="auto"/>
          </w:tcPr>
          <w:p w14:paraId="006553AD" w14:textId="5CF8CF00" w:rsidR="00832807" w:rsidRPr="005C29F8" w:rsidRDefault="002B7490">
            <w:pPr>
              <w:jc w:val="center"/>
              <w:rPr>
                <w:rFonts w:cs="Arial"/>
                <w:color w:val="000000" w:themeColor="text1"/>
                <w:szCs w:val="16"/>
              </w:rPr>
            </w:pPr>
            <w:r w:rsidRPr="005C29F8">
              <w:rPr>
                <w:rFonts w:cs="Arial"/>
                <w:color w:val="000000" w:themeColor="text1"/>
                <w:szCs w:val="16"/>
              </w:rPr>
              <w:t>0.00%</w:t>
            </w:r>
          </w:p>
        </w:tc>
        <w:tc>
          <w:tcPr>
            <w:tcW w:w="611" w:type="pct"/>
            <w:shd w:val="clear" w:color="auto" w:fill="auto"/>
          </w:tcPr>
          <w:p w14:paraId="4A47CD2B" w14:textId="7BEFFB19" w:rsidR="00832807" w:rsidRPr="005C29F8" w:rsidRDefault="002B7490">
            <w:pPr>
              <w:jc w:val="center"/>
              <w:rPr>
                <w:rFonts w:cs="Arial"/>
                <w:color w:val="000000" w:themeColor="text1"/>
                <w:szCs w:val="16"/>
              </w:rPr>
            </w:pPr>
            <w:r w:rsidRPr="005C29F8">
              <w:rPr>
                <w:rFonts w:cs="Arial"/>
                <w:color w:val="000000" w:themeColor="text1"/>
                <w:szCs w:val="16"/>
              </w:rPr>
              <w:t>Met Target</w:t>
            </w:r>
          </w:p>
        </w:tc>
        <w:tc>
          <w:tcPr>
            <w:tcW w:w="592" w:type="pct"/>
            <w:shd w:val="clear" w:color="auto" w:fill="auto"/>
          </w:tcPr>
          <w:p w14:paraId="3F96C2BD" w14:textId="2A9BD6CA" w:rsidR="00832807" w:rsidRPr="005C29F8" w:rsidRDefault="002B7490">
            <w:pPr>
              <w:jc w:val="center"/>
              <w:rPr>
                <w:rFonts w:cs="Arial"/>
                <w:color w:val="000000" w:themeColor="text1"/>
                <w:szCs w:val="16"/>
              </w:rPr>
            </w:pPr>
            <w:r w:rsidRPr="005C29F8">
              <w:rPr>
                <w:rFonts w:cs="Arial"/>
                <w:color w:val="000000" w:themeColor="text1"/>
                <w:szCs w:val="16"/>
              </w:rPr>
              <w:t>No Slippage</w:t>
            </w:r>
          </w:p>
        </w:tc>
      </w:tr>
    </w:tbl>
    <w:p w14:paraId="59BA2CEF" w14:textId="4C507427" w:rsidR="00590296" w:rsidRPr="005C29F8" w:rsidRDefault="00A479A0" w:rsidP="00B6413B">
      <w:pPr>
        <w:rPr>
          <w:rFonts w:cs="Arial"/>
          <w:b/>
          <w:color w:val="000000" w:themeColor="text1"/>
          <w:szCs w:val="16"/>
        </w:rPr>
      </w:pPr>
      <w:r w:rsidRPr="005C29F8">
        <w:rPr>
          <w:rFonts w:cs="Arial"/>
          <w:b/>
          <w:color w:val="000000" w:themeColor="text1"/>
          <w:szCs w:val="16"/>
        </w:rPr>
        <w:t xml:space="preserve">Were all races and ethnicities included in the review? </w:t>
      </w:r>
    </w:p>
    <w:p w14:paraId="1590ED0F" w14:textId="7DC32C1D" w:rsidR="00590296" w:rsidRPr="005C29F8" w:rsidRDefault="00590296" w:rsidP="00B6413B">
      <w:pPr>
        <w:rPr>
          <w:rFonts w:cs="Arial"/>
          <w:color w:val="000000" w:themeColor="text1"/>
          <w:szCs w:val="16"/>
        </w:rPr>
      </w:pPr>
      <w:r w:rsidRPr="005C29F8">
        <w:rPr>
          <w:rFonts w:cs="Arial"/>
          <w:color w:val="000000" w:themeColor="text1"/>
          <w:szCs w:val="16"/>
        </w:rPr>
        <w:t>YES</w:t>
      </w:r>
    </w:p>
    <w:p w14:paraId="6EC83BB6" w14:textId="77777777" w:rsidR="0057259D" w:rsidRPr="005C29F8" w:rsidRDefault="0057259D" w:rsidP="004369B2">
      <w:pPr>
        <w:rPr>
          <w:b/>
          <w:color w:val="000000" w:themeColor="text1"/>
        </w:rPr>
      </w:pPr>
      <w:r w:rsidRPr="005C29F8">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5C29F8" w:rsidRDefault="002B7490" w:rsidP="003817C0">
      <w:pPr>
        <w:rPr>
          <w:rFonts w:cs="Arial"/>
          <w:color w:val="000000" w:themeColor="text1"/>
          <w:szCs w:val="16"/>
        </w:rPr>
      </w:pPr>
      <w:r w:rsidRPr="005C29F8">
        <w:rPr>
          <w:rFonts w:cs="Arial"/>
          <w:color w:val="000000" w:themeColor="text1"/>
          <w:szCs w:val="16"/>
        </w:rPr>
        <w:t xml:space="preserve">Massachusetts defines “disproportionate representation” using a calculation of weighted or alternate risk ratios and a review of the appropriateness of an LEA’s policies, practices, and procedures (PPPs) for identifying students as eligible for special education services. </w:t>
      </w:r>
      <w:r w:rsidRPr="005C29F8">
        <w:rPr>
          <w:rFonts w:cs="Arial"/>
          <w:color w:val="000000" w:themeColor="text1"/>
          <w:szCs w:val="16"/>
        </w:rPr>
        <w:br/>
        <w:t xml:space="preserve"> </w:t>
      </w:r>
      <w:r w:rsidRPr="005C29F8">
        <w:rPr>
          <w:rFonts w:cs="Arial"/>
          <w:color w:val="000000" w:themeColor="text1"/>
          <w:szCs w:val="16"/>
        </w:rPr>
        <w:br/>
        <w:t xml:space="preserve">MA DESE calculates a weighted or alternate risk ratio for every LEA in each of the six required disability categories (intellectual impairments, specific learning disabilities, emotional disturbance, speech/language impairments, other health impairments, autism) using a minimum cell size of 10 for each racial/ethnic disability group in every LEA. In LEAs in which there are at least 10 students with disabilities both in the racial/ethnic disability group, as well as the comparison group, MA DESE uses a weighted risk ratio. In cases where there are fewer than 10 students in the comparison group, MA DESE employs the alternate risk ratio. Cells of fewer than 10, though removed from the calculation, are reviewed individually to see if data irregularities for specific racial and ethnic groups in these LEAs would suggest disproportionate representation. All cells of greater than 10 are retained in the data set and are used to calculate disproportionate representation. Once the calculation is made for each LEA, the weighted or alternate risk ratios are compared to the two previous years’ weighted or alternate risk ratios. LEAs are flagged if, for three consecutive years, they exhibit a weighted or alternate risk ratio of 4.0 or greater for possible over-representation. </w:t>
      </w:r>
      <w:r w:rsidRPr="005C29F8">
        <w:rPr>
          <w:rFonts w:cs="Arial"/>
          <w:color w:val="000000" w:themeColor="text1"/>
          <w:szCs w:val="16"/>
        </w:rPr>
        <w:br/>
        <w:t xml:space="preserve"> </w:t>
      </w:r>
      <w:r w:rsidRPr="005C29F8">
        <w:rPr>
          <w:rFonts w:cs="Arial"/>
          <w:color w:val="000000" w:themeColor="text1"/>
          <w:szCs w:val="16"/>
        </w:rPr>
        <w:br/>
        <w:t xml:space="preserve">All LEAs identified by way of this quantitative analysis are then subject to a review by LEA staff and MA DESE of the appropriateness of their PPPs for special education eligibility determination and disability identification, along with any other information that may explain the pattern of disproportionate representation. Upon review, if MA DESE identifies that the PPPs are inappropriate or otherwise inconsistent with federal and state regulations and concludes that the PPPs likely caused the disproportionate representation, then the LEA is identified as having disproportionate representation due to inappropriate identification and is required to take corrective action. </w:t>
      </w:r>
      <w:r w:rsidRPr="005C29F8">
        <w:rPr>
          <w:rFonts w:cs="Arial"/>
          <w:color w:val="000000" w:themeColor="text1"/>
          <w:szCs w:val="16"/>
        </w:rPr>
        <w:br/>
        <w:t xml:space="preserve"> </w:t>
      </w:r>
      <w:r w:rsidRPr="005C29F8">
        <w:rPr>
          <w:rFonts w:cs="Arial"/>
          <w:color w:val="000000" w:themeColor="text1"/>
          <w:szCs w:val="16"/>
        </w:rPr>
        <w:br/>
        <w:t xml:space="preserve">For the FFY18 analysis, Massachusetts used the October 1, 2019 enrollment and child count data that it collects from LEAs through its Student Information Management System (SIMS). Four hundred three LEAs were in operation in Massachusetts in October 2019, and 43 LEAs did not have at least 10 students with disabilities in any racial/ethnic disability group, leaving 360 LEAs that met the state's n size requirement for at least one racial/ethnic disability group. </w:t>
      </w:r>
      <w:r w:rsidRPr="005C29F8">
        <w:rPr>
          <w:rFonts w:cs="Arial"/>
          <w:color w:val="000000" w:themeColor="text1"/>
          <w:szCs w:val="16"/>
        </w:rPr>
        <w:br/>
        <w:t xml:space="preserve"> </w:t>
      </w:r>
      <w:r w:rsidRPr="005C29F8">
        <w:rPr>
          <w:rFonts w:cs="Arial"/>
          <w:color w:val="000000" w:themeColor="text1"/>
          <w:szCs w:val="16"/>
        </w:rPr>
        <w:br/>
        <w:t>Of the eight LEAs flagged, the LEAs were flagged for the following reasons:</w:t>
      </w:r>
      <w:r w:rsidRPr="005C29F8">
        <w:rPr>
          <w:rFonts w:cs="Arial"/>
          <w:color w:val="000000" w:themeColor="text1"/>
          <w:szCs w:val="16"/>
        </w:rPr>
        <w:br/>
        <w:t xml:space="preserve">•One Charter School: African American/Black Students with Intellectual Disabilities </w:t>
      </w:r>
      <w:r w:rsidRPr="005C29F8">
        <w:rPr>
          <w:rFonts w:cs="Arial"/>
          <w:color w:val="000000" w:themeColor="text1"/>
          <w:szCs w:val="16"/>
        </w:rPr>
        <w:br/>
        <w:t xml:space="preserve">•One Charter School and One School District: Hispanic Students with Communication Disabilities </w:t>
      </w:r>
      <w:r w:rsidRPr="005C29F8">
        <w:rPr>
          <w:rFonts w:cs="Arial"/>
          <w:color w:val="000000" w:themeColor="text1"/>
          <w:szCs w:val="16"/>
        </w:rPr>
        <w:br/>
        <w:t xml:space="preserve">•Three Charter Schools: Hispanic Students with Specific Learning Disabilities </w:t>
      </w:r>
      <w:r w:rsidRPr="005C29F8">
        <w:rPr>
          <w:rFonts w:cs="Arial"/>
          <w:color w:val="000000" w:themeColor="text1"/>
          <w:szCs w:val="16"/>
        </w:rPr>
        <w:br/>
        <w:t>•Two Regional Vocational Schools: White Students with Health Disabilities</w:t>
      </w:r>
      <w:r w:rsidRPr="005C29F8">
        <w:rPr>
          <w:rFonts w:cs="Arial"/>
          <w:color w:val="000000" w:themeColor="text1"/>
          <w:szCs w:val="16"/>
        </w:rPr>
        <w:br/>
      </w:r>
      <w:r w:rsidRPr="005C29F8">
        <w:rPr>
          <w:rFonts w:cs="Arial"/>
          <w:color w:val="000000" w:themeColor="text1"/>
          <w:szCs w:val="16"/>
        </w:rPr>
        <w:br/>
        <w:t xml:space="preserve">MA DESE reviewed the policies, practices, and procedures of each of these 8 LEAs and determined that the disproportionate representation was not the result of inappropriate identification and no findings of non-compliance were made. </w:t>
      </w:r>
    </w:p>
    <w:p w14:paraId="469A27F6" w14:textId="13AEF7C8" w:rsidR="0057259D" w:rsidRPr="005C29F8" w:rsidRDefault="0057259D" w:rsidP="004369B2">
      <w:pPr>
        <w:rPr>
          <w:b/>
          <w:color w:val="000000" w:themeColor="text1"/>
        </w:rPr>
      </w:pPr>
      <w:r w:rsidRPr="005C29F8">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5C29F8" w:rsidRDefault="002B7490" w:rsidP="003817C0">
      <w:pPr>
        <w:rPr>
          <w:rFonts w:cs="Arial"/>
          <w:color w:val="000000" w:themeColor="text1"/>
          <w:szCs w:val="16"/>
        </w:rPr>
      </w:pPr>
      <w:r w:rsidRPr="005C29F8">
        <w:rPr>
          <w:rFonts w:cs="Arial"/>
          <w:color w:val="000000" w:themeColor="text1"/>
          <w:szCs w:val="16"/>
        </w:rPr>
        <w:t xml:space="preserve">If  an LEA displays a weighted or alternate risk ratio that exceeds 4.0 for three consecutive years for any racial/ethnic group in any disability area, MA DESE follows up to review the appropriateness of the LEA's policies, practices, and procedures. MA DESE requires the LEA to submit its policies, practices, and procedures regarding eligibility determination, along with any other data and information that may explain the pattern of disproportionate representation, including: </w:t>
      </w:r>
      <w:r w:rsidRPr="005C29F8">
        <w:rPr>
          <w:rFonts w:cs="Arial"/>
          <w:color w:val="000000" w:themeColor="text1"/>
          <w:szCs w:val="16"/>
        </w:rPr>
        <w:br/>
        <w:t xml:space="preserve">•LEA policies and practices regarding child find, student support teams, and special education referral and evaluation.  </w:t>
      </w:r>
      <w:r w:rsidRPr="005C29F8">
        <w:rPr>
          <w:rFonts w:cs="Arial"/>
          <w:color w:val="000000" w:themeColor="text1"/>
          <w:szCs w:val="16"/>
        </w:rPr>
        <w:br/>
        <w:t xml:space="preserve">• Descriptions of tiered systems of support and/or other supports for struggling students in place within the LEA prior to referral for special education. </w:t>
      </w:r>
      <w:r w:rsidRPr="005C29F8">
        <w:rPr>
          <w:rFonts w:cs="Arial"/>
          <w:color w:val="000000" w:themeColor="text1"/>
          <w:szCs w:val="16"/>
        </w:rPr>
        <w:br/>
        <w:t xml:space="preserve">•Information regarding the LEA’s collaboration with other organizations (such as sending districts, local Early Intervention providers, etc.), if applicable.  </w:t>
      </w:r>
      <w:r w:rsidRPr="005C29F8">
        <w:rPr>
          <w:rFonts w:cs="Arial"/>
          <w:color w:val="000000" w:themeColor="text1"/>
          <w:szCs w:val="16"/>
        </w:rPr>
        <w:br/>
        <w:t xml:space="preserve">•Information regarding any training or support that the LEA provides staff around cultural competency.  </w:t>
      </w:r>
      <w:r w:rsidRPr="005C29F8">
        <w:rPr>
          <w:rFonts w:cs="Arial"/>
          <w:color w:val="000000" w:themeColor="text1"/>
          <w:szCs w:val="16"/>
        </w:rPr>
        <w:br/>
        <w:t xml:space="preserve">MA DESE then reviews this information to determine whether the disproportionate representation is the result of inappropriate identification. </w:t>
      </w:r>
      <w:r w:rsidRPr="005C29F8">
        <w:rPr>
          <w:rFonts w:cs="Arial"/>
          <w:color w:val="000000" w:themeColor="text1"/>
          <w:szCs w:val="16"/>
        </w:rPr>
        <w:br/>
        <w:t xml:space="preserve"> </w:t>
      </w:r>
      <w:r w:rsidRPr="005C29F8">
        <w:rPr>
          <w:rFonts w:cs="Arial"/>
          <w:color w:val="000000" w:themeColor="text1"/>
          <w:szCs w:val="16"/>
        </w:rPr>
        <w:br/>
        <w:t xml:space="preserve">MA DESE reviewed the policies, practices, and procedures, as described above, of the eight  LEAs identified as having disproportionate representation of racial and ethnic groups in a specific disability area. MA DESE determined for each LEA that the disproportionate representation of racial and ethnic groups in specific disability areas was not the result of inappropriate identification. </w:t>
      </w:r>
    </w:p>
    <w:p w14:paraId="1FCF1BF3" w14:textId="77777777" w:rsidR="00DF1529" w:rsidRPr="005C29F8" w:rsidRDefault="00DF1529" w:rsidP="00DF1529">
      <w:pPr>
        <w:rPr>
          <w:rFonts w:cs="Arial"/>
          <w:b/>
          <w:color w:val="000000" w:themeColor="text1"/>
          <w:szCs w:val="16"/>
        </w:rPr>
      </w:pPr>
      <w:bookmarkStart w:id="56" w:name="_Toc381956338"/>
      <w:bookmarkStart w:id="57" w:name="_Toc384383352"/>
      <w:bookmarkStart w:id="58" w:name="_Toc392159320"/>
      <w:r w:rsidRPr="005C29F8">
        <w:rPr>
          <w:rFonts w:cs="Arial"/>
          <w:b/>
          <w:color w:val="000000" w:themeColor="text1"/>
          <w:szCs w:val="16"/>
        </w:rPr>
        <w:t>Provide additional information about this indicator (optional)</w:t>
      </w:r>
    </w:p>
    <w:p w14:paraId="6A3194C2" w14:textId="40939986" w:rsidR="00481536" w:rsidRPr="005C29F8" w:rsidRDefault="00481536" w:rsidP="007D435F">
      <w:pPr>
        <w:rPr>
          <w:rFonts w:cs="Arial"/>
          <w:color w:val="000000" w:themeColor="text1"/>
          <w:szCs w:val="16"/>
        </w:rPr>
      </w:pPr>
    </w:p>
    <w:p w14:paraId="4638F78F" w14:textId="77777777" w:rsidR="00BA687C" w:rsidRPr="005C29F8" w:rsidRDefault="00BA687C" w:rsidP="004369B2">
      <w:pPr>
        <w:rPr>
          <w:color w:val="000000" w:themeColor="text1"/>
        </w:rPr>
      </w:pPr>
    </w:p>
    <w:p w14:paraId="6268B372" w14:textId="47FB5F51" w:rsidR="009A755E" w:rsidRPr="005C29F8" w:rsidRDefault="009A755E" w:rsidP="004369B2">
      <w:pPr>
        <w:rPr>
          <w:color w:val="000000" w:themeColor="text1"/>
        </w:rPr>
      </w:pPr>
      <w:r w:rsidRPr="005C29F8">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5C29F8" w14:paraId="56588706" w14:textId="77777777" w:rsidTr="0033429D">
        <w:trPr>
          <w:trHeight w:val="389"/>
          <w:tblHeader/>
        </w:trPr>
        <w:tc>
          <w:tcPr>
            <w:tcW w:w="1228" w:type="pct"/>
            <w:shd w:val="clear" w:color="auto" w:fill="auto"/>
            <w:vAlign w:val="bottom"/>
          </w:tcPr>
          <w:p w14:paraId="65B8FFC5"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7C6EB489" w14:textId="77777777" w:rsidTr="00690A61">
        <w:tc>
          <w:tcPr>
            <w:tcW w:w="1228" w:type="pct"/>
            <w:shd w:val="clear" w:color="auto" w:fill="auto"/>
          </w:tcPr>
          <w:p w14:paraId="1D40E253" w14:textId="63B8E0E2" w:rsidR="009A755E" w:rsidRPr="005C29F8" w:rsidRDefault="002B7490" w:rsidP="004369B2">
            <w:pPr>
              <w:jc w:val="center"/>
              <w:rPr>
                <w:rFonts w:cs="Arial"/>
                <w:color w:val="000000" w:themeColor="text1"/>
                <w:szCs w:val="16"/>
              </w:rPr>
            </w:pPr>
            <w:r w:rsidRPr="005C29F8">
              <w:rPr>
                <w:rFonts w:cs="Arial"/>
                <w:color w:val="000000" w:themeColor="text1"/>
                <w:szCs w:val="16"/>
              </w:rPr>
              <w:t>0</w:t>
            </w:r>
          </w:p>
        </w:tc>
        <w:tc>
          <w:tcPr>
            <w:tcW w:w="1288" w:type="pct"/>
            <w:shd w:val="clear" w:color="auto" w:fill="auto"/>
          </w:tcPr>
          <w:p w14:paraId="5D374844" w14:textId="5622CFF8" w:rsidR="009A755E" w:rsidRPr="005C29F8" w:rsidRDefault="002B7490" w:rsidP="004369B2">
            <w:pPr>
              <w:jc w:val="center"/>
              <w:rPr>
                <w:rFonts w:cs="Arial"/>
                <w:color w:val="000000" w:themeColor="text1"/>
                <w:szCs w:val="16"/>
              </w:rPr>
            </w:pPr>
            <w:r w:rsidRPr="005C29F8">
              <w:rPr>
                <w:rFonts w:cs="Arial"/>
                <w:color w:val="000000" w:themeColor="text1"/>
                <w:szCs w:val="16"/>
              </w:rPr>
              <w:t>0</w:t>
            </w:r>
          </w:p>
        </w:tc>
        <w:tc>
          <w:tcPr>
            <w:tcW w:w="1231" w:type="pct"/>
            <w:shd w:val="clear" w:color="auto" w:fill="auto"/>
          </w:tcPr>
          <w:p w14:paraId="2CDC48CC" w14:textId="2F009478" w:rsidR="009A755E" w:rsidRPr="005C29F8" w:rsidRDefault="002B7490" w:rsidP="004369B2">
            <w:pPr>
              <w:jc w:val="center"/>
              <w:rPr>
                <w:rFonts w:cs="Arial"/>
                <w:color w:val="000000" w:themeColor="text1"/>
                <w:szCs w:val="16"/>
              </w:rPr>
            </w:pPr>
            <w:r w:rsidRPr="005C29F8">
              <w:rPr>
                <w:rFonts w:cs="Arial"/>
                <w:color w:val="000000" w:themeColor="text1"/>
                <w:szCs w:val="16"/>
              </w:rPr>
              <w:t>0</w:t>
            </w:r>
          </w:p>
        </w:tc>
        <w:tc>
          <w:tcPr>
            <w:tcW w:w="1254" w:type="pct"/>
            <w:shd w:val="clear" w:color="auto" w:fill="auto"/>
          </w:tcPr>
          <w:p w14:paraId="19E189C3" w14:textId="39CA8E23" w:rsidR="009A755E" w:rsidRPr="005C29F8" w:rsidRDefault="002B7490" w:rsidP="004369B2">
            <w:pPr>
              <w:jc w:val="center"/>
              <w:rPr>
                <w:rFonts w:cs="Arial"/>
                <w:color w:val="000000" w:themeColor="text1"/>
                <w:szCs w:val="16"/>
              </w:rPr>
            </w:pPr>
            <w:r w:rsidRPr="005C29F8">
              <w:rPr>
                <w:rFonts w:cs="Arial"/>
                <w:color w:val="000000" w:themeColor="text1"/>
                <w:szCs w:val="16"/>
              </w:rPr>
              <w:t>0</w:t>
            </w:r>
          </w:p>
        </w:tc>
      </w:tr>
    </w:tbl>
    <w:p w14:paraId="60BB42FC" w14:textId="704B7643" w:rsidR="009A755E" w:rsidRPr="005C29F8" w:rsidRDefault="009A755E" w:rsidP="004369B2">
      <w:pPr>
        <w:rPr>
          <w:color w:val="000000" w:themeColor="text1"/>
        </w:rPr>
      </w:pPr>
      <w:r w:rsidRPr="005C29F8">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B10BPPFFYNCFINDINGS"/>
      </w:tblPr>
      <w:tblGrid>
        <w:gridCol w:w="1888"/>
        <w:gridCol w:w="3334"/>
        <w:gridCol w:w="2743"/>
        <w:gridCol w:w="2825"/>
      </w:tblGrid>
      <w:tr w:rsidR="005C29F8" w:rsidRPr="005C29F8" w14:paraId="730926F0" w14:textId="77777777" w:rsidTr="00690A61">
        <w:trPr>
          <w:tblHeader/>
        </w:trPr>
        <w:tc>
          <w:tcPr>
            <w:tcW w:w="875" w:type="pct"/>
            <w:shd w:val="clear" w:color="auto" w:fill="auto"/>
            <w:vAlign w:val="bottom"/>
          </w:tcPr>
          <w:p w14:paraId="0B05B92F" w14:textId="50A415B8" w:rsidR="009A755E" w:rsidRPr="005C29F8" w:rsidRDefault="003A4027" w:rsidP="009A755E">
            <w:pPr>
              <w:jc w:val="center"/>
              <w:rPr>
                <w:rFonts w:cs="Arial"/>
                <w:b/>
                <w:color w:val="000000" w:themeColor="text1"/>
                <w:szCs w:val="16"/>
              </w:rPr>
            </w:pPr>
            <w:r w:rsidRPr="005C29F8">
              <w:rPr>
                <w:rFonts w:cs="Arial"/>
                <w:b/>
                <w:color w:val="000000" w:themeColor="text1"/>
                <w:szCs w:val="16"/>
              </w:rPr>
              <w:t>Year Findings of Noncompliance Were Identified</w:t>
            </w:r>
          </w:p>
        </w:tc>
        <w:tc>
          <w:tcPr>
            <w:tcW w:w="1545" w:type="pct"/>
            <w:shd w:val="clear" w:color="auto" w:fill="auto"/>
            <w:vAlign w:val="bottom"/>
          </w:tcPr>
          <w:p w14:paraId="759DE84F" w14:textId="1A04DCEE"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Not Yet Verified as Corrected as of FFY 2018 APR</w:t>
            </w:r>
          </w:p>
        </w:tc>
        <w:tc>
          <w:tcPr>
            <w:tcW w:w="1271" w:type="pct"/>
            <w:shd w:val="clear" w:color="auto" w:fill="auto"/>
            <w:vAlign w:val="bottom"/>
          </w:tcPr>
          <w:p w14:paraId="45E60D4B"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27C292A1" w14:textId="77777777" w:rsidTr="00690A61">
        <w:tc>
          <w:tcPr>
            <w:tcW w:w="875" w:type="pct"/>
            <w:shd w:val="clear" w:color="auto" w:fill="auto"/>
          </w:tcPr>
          <w:p w14:paraId="4127AE76" w14:textId="36C06893" w:rsidR="009A755E" w:rsidRPr="005C29F8" w:rsidRDefault="009A755E" w:rsidP="00A018D4">
            <w:pPr>
              <w:jc w:val="center"/>
              <w:rPr>
                <w:rFonts w:cs="Arial"/>
                <w:color w:val="000000" w:themeColor="text1"/>
                <w:szCs w:val="16"/>
              </w:rPr>
            </w:pPr>
          </w:p>
        </w:tc>
        <w:tc>
          <w:tcPr>
            <w:tcW w:w="1545" w:type="pct"/>
            <w:shd w:val="clear" w:color="auto" w:fill="auto"/>
          </w:tcPr>
          <w:p w14:paraId="2A5CC6A6" w14:textId="3962DD57" w:rsidR="009A755E" w:rsidRPr="005C29F8" w:rsidRDefault="009A755E">
            <w:pPr>
              <w:jc w:val="center"/>
              <w:rPr>
                <w:rFonts w:cs="Arial"/>
                <w:noProof/>
                <w:color w:val="000000" w:themeColor="text1"/>
                <w:szCs w:val="16"/>
              </w:rPr>
            </w:pPr>
          </w:p>
        </w:tc>
        <w:tc>
          <w:tcPr>
            <w:tcW w:w="1271" w:type="pct"/>
            <w:shd w:val="clear" w:color="auto" w:fill="auto"/>
          </w:tcPr>
          <w:p w14:paraId="443DA9B8" w14:textId="5BA02353" w:rsidR="009A755E" w:rsidRPr="005C29F8" w:rsidRDefault="009A755E">
            <w:pPr>
              <w:jc w:val="center"/>
              <w:rPr>
                <w:rFonts w:cs="Arial"/>
                <w:noProof/>
                <w:color w:val="000000" w:themeColor="text1"/>
                <w:szCs w:val="16"/>
              </w:rPr>
            </w:pPr>
          </w:p>
        </w:tc>
        <w:tc>
          <w:tcPr>
            <w:tcW w:w="1309" w:type="pct"/>
            <w:shd w:val="clear" w:color="auto" w:fill="auto"/>
          </w:tcPr>
          <w:p w14:paraId="0CA4C267" w14:textId="5E5F97F2" w:rsidR="009A755E" w:rsidRPr="005C29F8" w:rsidRDefault="009A755E">
            <w:pPr>
              <w:jc w:val="center"/>
              <w:rPr>
                <w:rFonts w:cs="Arial"/>
                <w:noProof/>
                <w:color w:val="000000" w:themeColor="text1"/>
                <w:szCs w:val="16"/>
              </w:rPr>
            </w:pPr>
          </w:p>
        </w:tc>
      </w:tr>
      <w:tr w:rsidR="005C29F8" w:rsidRPr="005C29F8" w14:paraId="21AB92FA" w14:textId="77777777" w:rsidTr="00690A61">
        <w:tc>
          <w:tcPr>
            <w:tcW w:w="875" w:type="pct"/>
            <w:shd w:val="clear" w:color="auto" w:fill="auto"/>
          </w:tcPr>
          <w:p w14:paraId="6E800094" w14:textId="1F782081" w:rsidR="009A755E" w:rsidRPr="005C29F8" w:rsidRDefault="009A755E" w:rsidP="00A018D4">
            <w:pPr>
              <w:jc w:val="center"/>
              <w:rPr>
                <w:rFonts w:cs="Arial"/>
                <w:color w:val="000000" w:themeColor="text1"/>
                <w:szCs w:val="16"/>
              </w:rPr>
            </w:pPr>
          </w:p>
        </w:tc>
        <w:tc>
          <w:tcPr>
            <w:tcW w:w="1545" w:type="pct"/>
            <w:shd w:val="clear" w:color="auto" w:fill="auto"/>
          </w:tcPr>
          <w:p w14:paraId="3FA322A7" w14:textId="2543A74B" w:rsidR="009A755E" w:rsidRPr="005C29F8" w:rsidRDefault="009A755E">
            <w:pPr>
              <w:jc w:val="center"/>
              <w:rPr>
                <w:rFonts w:cs="Arial"/>
                <w:noProof/>
                <w:color w:val="000000" w:themeColor="text1"/>
                <w:szCs w:val="16"/>
              </w:rPr>
            </w:pPr>
          </w:p>
        </w:tc>
        <w:tc>
          <w:tcPr>
            <w:tcW w:w="1271" w:type="pct"/>
            <w:shd w:val="clear" w:color="auto" w:fill="auto"/>
          </w:tcPr>
          <w:p w14:paraId="7075484B" w14:textId="56719905" w:rsidR="009A755E" w:rsidRPr="005C29F8" w:rsidRDefault="009A755E">
            <w:pPr>
              <w:jc w:val="center"/>
              <w:rPr>
                <w:rFonts w:cs="Arial"/>
                <w:noProof/>
                <w:color w:val="000000" w:themeColor="text1"/>
                <w:szCs w:val="16"/>
              </w:rPr>
            </w:pPr>
          </w:p>
        </w:tc>
        <w:tc>
          <w:tcPr>
            <w:tcW w:w="1309" w:type="pct"/>
            <w:shd w:val="clear" w:color="auto" w:fill="auto"/>
          </w:tcPr>
          <w:p w14:paraId="5E63471A" w14:textId="5230E0AF" w:rsidR="009A755E" w:rsidRPr="005C29F8" w:rsidRDefault="009A755E">
            <w:pPr>
              <w:jc w:val="center"/>
              <w:rPr>
                <w:rFonts w:cs="Arial"/>
                <w:noProof/>
                <w:color w:val="000000" w:themeColor="text1"/>
                <w:szCs w:val="16"/>
              </w:rPr>
            </w:pPr>
          </w:p>
        </w:tc>
      </w:tr>
      <w:tr w:rsidR="005C29F8" w:rsidRPr="005C29F8" w14:paraId="57ACE7BC" w14:textId="77777777" w:rsidTr="00690A61">
        <w:tc>
          <w:tcPr>
            <w:tcW w:w="875" w:type="pct"/>
            <w:shd w:val="clear" w:color="auto" w:fill="auto"/>
          </w:tcPr>
          <w:p w14:paraId="4E325530" w14:textId="03DA8FEF" w:rsidR="009A755E" w:rsidRPr="005C29F8" w:rsidRDefault="009A755E" w:rsidP="00A018D4">
            <w:pPr>
              <w:jc w:val="center"/>
              <w:rPr>
                <w:rFonts w:cs="Arial"/>
                <w:color w:val="000000" w:themeColor="text1"/>
                <w:szCs w:val="16"/>
              </w:rPr>
            </w:pPr>
          </w:p>
        </w:tc>
        <w:tc>
          <w:tcPr>
            <w:tcW w:w="1545" w:type="pct"/>
            <w:shd w:val="clear" w:color="auto" w:fill="auto"/>
          </w:tcPr>
          <w:p w14:paraId="7BFB0081" w14:textId="12B35F6B" w:rsidR="009A755E" w:rsidRPr="005C29F8" w:rsidRDefault="009A755E">
            <w:pPr>
              <w:jc w:val="center"/>
              <w:rPr>
                <w:rFonts w:cs="Arial"/>
                <w:noProof/>
                <w:color w:val="000000" w:themeColor="text1"/>
                <w:szCs w:val="16"/>
              </w:rPr>
            </w:pPr>
          </w:p>
        </w:tc>
        <w:tc>
          <w:tcPr>
            <w:tcW w:w="1271" w:type="pct"/>
            <w:shd w:val="clear" w:color="auto" w:fill="auto"/>
          </w:tcPr>
          <w:p w14:paraId="674F4E8B" w14:textId="257F6F9E" w:rsidR="009A755E" w:rsidRPr="005C29F8" w:rsidRDefault="009A755E">
            <w:pPr>
              <w:jc w:val="center"/>
              <w:rPr>
                <w:rFonts w:cs="Arial"/>
                <w:noProof/>
                <w:color w:val="000000" w:themeColor="text1"/>
                <w:szCs w:val="16"/>
              </w:rPr>
            </w:pPr>
          </w:p>
        </w:tc>
        <w:tc>
          <w:tcPr>
            <w:tcW w:w="1309" w:type="pct"/>
            <w:shd w:val="clear" w:color="auto" w:fill="auto"/>
          </w:tcPr>
          <w:p w14:paraId="68852A19" w14:textId="65403F00" w:rsidR="009A755E" w:rsidRPr="005C29F8" w:rsidRDefault="009A755E">
            <w:pPr>
              <w:jc w:val="center"/>
              <w:rPr>
                <w:rFonts w:cs="Arial"/>
                <w:noProof/>
                <w:color w:val="000000" w:themeColor="text1"/>
                <w:szCs w:val="16"/>
              </w:rPr>
            </w:pPr>
          </w:p>
        </w:tc>
      </w:tr>
    </w:tbl>
    <w:p w14:paraId="53A11FEB" w14:textId="6CFF8254" w:rsidR="004E2151" w:rsidRPr="0033429D" w:rsidRDefault="009F64D5" w:rsidP="008645AD">
      <w:pPr>
        <w:pStyle w:val="Heading2"/>
      </w:pPr>
      <w:r w:rsidRPr="0033429D">
        <w:t>10</w:t>
      </w:r>
      <w:r w:rsidR="00596F4D" w:rsidRPr="0033429D">
        <w:t xml:space="preserve"> </w:t>
      </w:r>
      <w:r w:rsidRPr="0033429D">
        <w:t xml:space="preserve">- </w:t>
      </w:r>
      <w:r w:rsidR="004E2151" w:rsidRPr="0033429D">
        <w:t>Prior FFY Required Actions</w:t>
      </w:r>
    </w:p>
    <w:p w14:paraId="67525E19" w14:textId="2FAD1162" w:rsidR="004E2151" w:rsidRPr="005C29F8" w:rsidRDefault="002B7490" w:rsidP="004E2151">
      <w:pPr>
        <w:rPr>
          <w:rFonts w:cs="Arial"/>
          <w:color w:val="000000" w:themeColor="text1"/>
          <w:szCs w:val="16"/>
        </w:rPr>
      </w:pPr>
      <w:r w:rsidRPr="005C29F8">
        <w:rPr>
          <w:rFonts w:cs="Arial"/>
          <w:color w:val="000000" w:themeColor="text1"/>
          <w:szCs w:val="16"/>
        </w:rPr>
        <w:t>None</w:t>
      </w:r>
    </w:p>
    <w:p w14:paraId="7C7C5568" w14:textId="77777777" w:rsidR="009F69E7" w:rsidRPr="005C29F8" w:rsidRDefault="009F69E7" w:rsidP="004E2151">
      <w:pPr>
        <w:rPr>
          <w:rFonts w:cs="Arial"/>
          <w:color w:val="000000" w:themeColor="text1"/>
          <w:szCs w:val="16"/>
        </w:rPr>
      </w:pPr>
    </w:p>
    <w:p w14:paraId="7C3D22D6" w14:textId="3FC2A3F5" w:rsidR="004E2151" w:rsidRPr="005C29F8" w:rsidRDefault="004E2151" w:rsidP="004E2151">
      <w:pPr>
        <w:rPr>
          <w:rFonts w:cs="Arial"/>
          <w:color w:val="000000" w:themeColor="text1"/>
          <w:szCs w:val="16"/>
        </w:rPr>
      </w:pPr>
    </w:p>
    <w:p w14:paraId="024AE3FE" w14:textId="2137BFB6" w:rsidR="007F5071" w:rsidRPr="0033429D" w:rsidRDefault="008B2598" w:rsidP="008645AD">
      <w:pPr>
        <w:pStyle w:val="Heading2"/>
      </w:pPr>
      <w:r w:rsidRPr="0033429D">
        <w:t>10 - OSEP Response</w:t>
      </w:r>
    </w:p>
    <w:p w14:paraId="4384A342" w14:textId="2981C3D3" w:rsidR="00481536" w:rsidRPr="005C29F8" w:rsidRDefault="00481536" w:rsidP="00212954">
      <w:pPr>
        <w:rPr>
          <w:rFonts w:cs="Arial"/>
          <w:color w:val="000000" w:themeColor="text1"/>
          <w:szCs w:val="16"/>
        </w:rPr>
      </w:pPr>
    </w:p>
    <w:p w14:paraId="36F60250" w14:textId="56BA36D9" w:rsidR="007F5071" w:rsidRPr="0033429D" w:rsidRDefault="007C1BCF" w:rsidP="008645AD">
      <w:pPr>
        <w:pStyle w:val="Heading2"/>
      </w:pPr>
      <w:r w:rsidRPr="0033429D">
        <w:t xml:space="preserve">10 - </w:t>
      </w:r>
      <w:r w:rsidR="007F5071" w:rsidRPr="0033429D">
        <w:t>Required Actions</w:t>
      </w:r>
    </w:p>
    <w:p w14:paraId="12C0EBBF" w14:textId="69C4D7D0" w:rsidR="00481536" w:rsidRPr="005C29F8" w:rsidRDefault="00481536" w:rsidP="00212954">
      <w:pPr>
        <w:rPr>
          <w:rFonts w:cs="Arial"/>
          <w:color w:val="000000" w:themeColor="text1"/>
          <w:szCs w:val="16"/>
        </w:rPr>
      </w:pPr>
    </w:p>
    <w:p w14:paraId="2B0C5DE2" w14:textId="77777777" w:rsidR="00102FA3" w:rsidRPr="005C29F8" w:rsidRDefault="00102FA3">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11F067DF" w14:textId="45BAD1B8" w:rsidR="00D03701" w:rsidRPr="005C29F8" w:rsidRDefault="00D03701" w:rsidP="000444E2">
      <w:pPr>
        <w:pStyle w:val="Heading1"/>
        <w:rPr>
          <w:color w:val="000000" w:themeColor="text1"/>
          <w:sz w:val="22"/>
        </w:rPr>
      </w:pPr>
      <w:r w:rsidRPr="005C29F8">
        <w:rPr>
          <w:color w:val="000000" w:themeColor="text1"/>
          <w:sz w:val="22"/>
        </w:rPr>
        <w:lastRenderedPageBreak/>
        <w:t>Indicator 11: Child Find</w:t>
      </w:r>
      <w:bookmarkEnd w:id="56"/>
      <w:bookmarkEnd w:id="57"/>
      <w:bookmarkEnd w:id="58"/>
    </w:p>
    <w:p w14:paraId="4F5D642D" w14:textId="77777777" w:rsidR="00E119B0" w:rsidRPr="005C29F8" w:rsidRDefault="00E119B0" w:rsidP="00A018D4">
      <w:pPr>
        <w:rPr>
          <w:color w:val="000000" w:themeColor="text1"/>
          <w:szCs w:val="20"/>
        </w:rPr>
      </w:pPr>
      <w:bookmarkStart w:id="59" w:name="_Toc384383353"/>
      <w:bookmarkStart w:id="60" w:name="_Toc392159321"/>
      <w:r w:rsidRPr="005C29F8">
        <w:rPr>
          <w:b/>
          <w:color w:val="000000" w:themeColor="text1"/>
          <w:sz w:val="20"/>
          <w:szCs w:val="20"/>
        </w:rPr>
        <w:t>Instructions and Measurement</w:t>
      </w:r>
    </w:p>
    <w:p w14:paraId="4ECD8CEF" w14:textId="094F874E" w:rsidR="001F3A65" w:rsidRPr="005C29F8" w:rsidRDefault="001F3A65" w:rsidP="00832807">
      <w:pPr>
        <w:rPr>
          <w:rFonts w:cs="Arial"/>
          <w:color w:val="000000" w:themeColor="text1"/>
          <w:szCs w:val="16"/>
        </w:rPr>
      </w:pPr>
      <w:r w:rsidRPr="005C29F8">
        <w:rPr>
          <w:rFonts w:cs="Arial"/>
          <w:b/>
          <w:color w:val="000000" w:themeColor="text1"/>
          <w:szCs w:val="16"/>
        </w:rPr>
        <w:t>Monitoring Priority</w:t>
      </w:r>
      <w:r w:rsidRPr="005C29F8">
        <w:rPr>
          <w:rFonts w:cs="Arial"/>
          <w:color w:val="000000" w:themeColor="text1"/>
          <w:szCs w:val="16"/>
        </w:rPr>
        <w:t>: Effective General Supervision Part B / Child Find</w:t>
      </w:r>
    </w:p>
    <w:p w14:paraId="56D17CB3" w14:textId="77777777" w:rsidR="003356F1" w:rsidRPr="005C29F8" w:rsidRDefault="001F3A65" w:rsidP="00832807">
      <w:pPr>
        <w:rPr>
          <w:rFonts w:cs="Arial"/>
          <w:color w:val="000000" w:themeColor="text1"/>
          <w:szCs w:val="16"/>
        </w:rPr>
      </w:pPr>
      <w:r w:rsidRPr="005C29F8">
        <w:rPr>
          <w:rFonts w:cs="Arial"/>
          <w:b/>
          <w:color w:val="000000" w:themeColor="text1"/>
          <w:szCs w:val="16"/>
        </w:rPr>
        <w:t>Compliance indicator</w:t>
      </w:r>
      <w:r w:rsidRPr="005C29F8">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5C29F8" w:rsidRDefault="001F3A65" w:rsidP="00832807">
      <w:pPr>
        <w:rPr>
          <w:rFonts w:cs="Arial"/>
          <w:color w:val="000000" w:themeColor="text1"/>
          <w:szCs w:val="16"/>
        </w:rPr>
      </w:pPr>
      <w:r w:rsidRPr="005C29F8">
        <w:rPr>
          <w:rFonts w:cs="Arial"/>
          <w:color w:val="000000" w:themeColor="text1"/>
          <w:szCs w:val="16"/>
        </w:rPr>
        <w:t>(20 U.S.C. 1416(a)(3)(B))</w:t>
      </w:r>
    </w:p>
    <w:p w14:paraId="3DA9D44A" w14:textId="77777777" w:rsidR="003356F1" w:rsidRPr="005C29F8" w:rsidRDefault="003356F1" w:rsidP="004369B2">
      <w:pPr>
        <w:rPr>
          <w:color w:val="000000" w:themeColor="text1"/>
        </w:rPr>
      </w:pPr>
      <w:r w:rsidRPr="005C29F8">
        <w:rPr>
          <w:b/>
          <w:color w:val="000000" w:themeColor="text1"/>
        </w:rPr>
        <w:t>Data Source</w:t>
      </w:r>
    </w:p>
    <w:p w14:paraId="3741FEFD" w14:textId="2D50FC3E" w:rsidR="003356F1" w:rsidRPr="005C29F8" w:rsidRDefault="003356F1" w:rsidP="00286BDF">
      <w:pPr>
        <w:rPr>
          <w:rFonts w:cs="Arial"/>
          <w:color w:val="000000" w:themeColor="text1"/>
          <w:szCs w:val="16"/>
        </w:rPr>
      </w:pPr>
      <w:r w:rsidRPr="005C29F8">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5C29F8" w:rsidRDefault="003356F1" w:rsidP="004369B2">
      <w:pPr>
        <w:rPr>
          <w:color w:val="000000" w:themeColor="text1"/>
        </w:rPr>
      </w:pPr>
      <w:r w:rsidRPr="005C29F8">
        <w:rPr>
          <w:b/>
          <w:color w:val="000000" w:themeColor="text1"/>
        </w:rPr>
        <w:t>Measurement</w:t>
      </w:r>
    </w:p>
    <w:p w14:paraId="6421FFFB" w14:textId="6BB4E0C2" w:rsidR="003356F1" w:rsidRPr="005C29F8" w:rsidRDefault="003F4D08" w:rsidP="006A01BD">
      <w:pPr>
        <w:spacing w:before="0" w:after="0"/>
        <w:ind w:firstLine="720"/>
        <w:rPr>
          <w:rFonts w:eastAsia="Times New Roman" w:cs="Arial"/>
          <w:color w:val="000000" w:themeColor="text1"/>
          <w:szCs w:val="16"/>
        </w:rPr>
      </w:pPr>
      <w:r w:rsidRPr="005C29F8">
        <w:rPr>
          <w:rFonts w:eastAsia="Times New Roman" w:cs="Arial"/>
          <w:color w:val="000000" w:themeColor="text1"/>
          <w:szCs w:val="16"/>
        </w:rPr>
        <w:t>a. # of children for whom parental consent to evaluate was received.</w:t>
      </w:r>
    </w:p>
    <w:p w14:paraId="07661B9A" w14:textId="43097164" w:rsidR="003356F1" w:rsidRPr="005C29F8" w:rsidRDefault="003F4D08" w:rsidP="006A01BD">
      <w:pPr>
        <w:spacing w:before="0" w:after="0"/>
        <w:ind w:firstLine="720"/>
        <w:rPr>
          <w:rFonts w:eastAsia="Times New Roman" w:cs="Arial"/>
          <w:color w:val="000000" w:themeColor="text1"/>
          <w:szCs w:val="16"/>
        </w:rPr>
      </w:pPr>
      <w:r w:rsidRPr="005C29F8">
        <w:rPr>
          <w:rFonts w:eastAsia="Times New Roman" w:cs="Arial"/>
          <w:color w:val="000000" w:themeColor="text1"/>
          <w:szCs w:val="16"/>
        </w:rPr>
        <w:t>b. # of children whose evaluations were completed within 60 days (or State-established timeline).</w:t>
      </w:r>
    </w:p>
    <w:p w14:paraId="733D8722" w14:textId="77777777" w:rsidR="003356F1" w:rsidRPr="005C29F8" w:rsidRDefault="003356F1" w:rsidP="006A01BD">
      <w:pPr>
        <w:spacing w:before="0" w:after="210"/>
        <w:ind w:left="720"/>
        <w:rPr>
          <w:rFonts w:eastAsia="Times New Roman" w:cs="Arial"/>
          <w:color w:val="000000" w:themeColor="text1"/>
          <w:szCs w:val="16"/>
        </w:rPr>
      </w:pPr>
      <w:r w:rsidRPr="005C29F8">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5C29F8" w:rsidRDefault="003356F1" w:rsidP="006A01BD">
      <w:pPr>
        <w:spacing w:before="0" w:after="210"/>
        <w:ind w:firstLine="720"/>
        <w:rPr>
          <w:rFonts w:eastAsia="Times New Roman" w:cs="Arial"/>
          <w:color w:val="000000" w:themeColor="text1"/>
          <w:szCs w:val="16"/>
        </w:rPr>
      </w:pPr>
      <w:r w:rsidRPr="005C29F8">
        <w:rPr>
          <w:rFonts w:eastAsia="Times New Roman" w:cs="Arial"/>
          <w:color w:val="000000" w:themeColor="text1"/>
          <w:szCs w:val="16"/>
        </w:rPr>
        <w:t>Percent = [(b) divided by (a)] times 100.</w:t>
      </w:r>
    </w:p>
    <w:p w14:paraId="5F28023C" w14:textId="77777777" w:rsidR="003356F1" w:rsidRPr="005C29F8" w:rsidRDefault="003356F1" w:rsidP="004369B2">
      <w:pPr>
        <w:rPr>
          <w:color w:val="000000" w:themeColor="text1"/>
        </w:rPr>
      </w:pPr>
      <w:r w:rsidRPr="005C29F8">
        <w:rPr>
          <w:b/>
          <w:color w:val="000000" w:themeColor="text1"/>
        </w:rPr>
        <w:t>Instructions</w:t>
      </w:r>
    </w:p>
    <w:p w14:paraId="3DD8C135" w14:textId="77777777" w:rsidR="003356F1" w:rsidRPr="005C29F8" w:rsidRDefault="003356F1" w:rsidP="00286BDF">
      <w:pPr>
        <w:rPr>
          <w:rFonts w:cs="Arial"/>
          <w:color w:val="000000" w:themeColor="text1"/>
          <w:szCs w:val="16"/>
        </w:rPr>
      </w:pPr>
      <w:r w:rsidRPr="005C29F8">
        <w:rPr>
          <w:rFonts w:cs="Arial"/>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5C29F8" w:rsidRDefault="003356F1" w:rsidP="00286BDF">
      <w:pPr>
        <w:rPr>
          <w:rFonts w:cs="Arial"/>
          <w:color w:val="000000" w:themeColor="text1"/>
          <w:szCs w:val="16"/>
        </w:rPr>
      </w:pPr>
      <w:r w:rsidRPr="005C29F8">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5C29F8" w:rsidRDefault="003356F1" w:rsidP="00286BDF">
      <w:pPr>
        <w:rPr>
          <w:rFonts w:cs="Arial"/>
          <w:color w:val="000000" w:themeColor="text1"/>
          <w:szCs w:val="16"/>
        </w:rPr>
      </w:pPr>
      <w:r w:rsidRPr="005C29F8">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5C29F8" w:rsidRDefault="003356F1" w:rsidP="00286BDF">
      <w:pPr>
        <w:rPr>
          <w:rFonts w:cs="Arial"/>
          <w:color w:val="000000" w:themeColor="text1"/>
          <w:szCs w:val="16"/>
        </w:rPr>
      </w:pPr>
      <w:r w:rsidRPr="005C29F8">
        <w:rPr>
          <w:rFonts w:cs="Arial"/>
          <w:color w:val="000000" w:themeColor="text1"/>
          <w:szCs w:val="16"/>
        </w:rPr>
        <w:t>Targets must be 100%.</w:t>
      </w:r>
    </w:p>
    <w:p w14:paraId="6E371C53" w14:textId="77777777" w:rsidR="003356F1" w:rsidRPr="005C29F8" w:rsidRDefault="003356F1" w:rsidP="00286BDF">
      <w:pPr>
        <w:rPr>
          <w:rFonts w:cs="Arial"/>
          <w:color w:val="000000" w:themeColor="text1"/>
          <w:szCs w:val="16"/>
        </w:rPr>
      </w:pPr>
      <w:r w:rsidRPr="005C29F8">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53468DF8" w14:textId="5D4ECEE2" w:rsidR="003356F1" w:rsidRPr="005C29F8" w:rsidRDefault="007A3964" w:rsidP="00286BDF">
      <w:pPr>
        <w:rPr>
          <w:rFonts w:cs="Arial"/>
          <w:color w:val="000000" w:themeColor="text1"/>
          <w:szCs w:val="16"/>
        </w:rPr>
      </w:pPr>
      <w:r w:rsidRPr="005C29F8">
        <w:rPr>
          <w:rFonts w:cs="Arial"/>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4CA3F78B" w14:textId="72C271DF" w:rsidR="00DB20BC" w:rsidRPr="0033429D" w:rsidRDefault="00C22B92" w:rsidP="00123D76">
      <w:pPr>
        <w:pStyle w:val="Heading2"/>
      </w:pPr>
      <w:bookmarkStart w:id="61" w:name="_Toc384383354"/>
      <w:bookmarkStart w:id="62" w:name="_Toc392159322"/>
      <w:bookmarkEnd w:id="59"/>
      <w:bookmarkEnd w:id="60"/>
      <w:r w:rsidRPr="0033429D">
        <w:t>11</w:t>
      </w:r>
      <w:r w:rsidR="00596F4D" w:rsidRPr="0033429D">
        <w:t xml:space="preserve"> </w:t>
      </w:r>
      <w:r w:rsidRPr="0033429D">
        <w:t xml:space="preserve">- </w:t>
      </w:r>
      <w:r w:rsidR="00DB20BC" w:rsidRPr="0033429D">
        <w:t>Indicator Data</w:t>
      </w:r>
    </w:p>
    <w:p w14:paraId="7C465821" w14:textId="6E27EB07" w:rsidR="00B6413B" w:rsidRDefault="00B6413B" w:rsidP="004369B2">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14:paraId="1E9ECD4B" w14:textId="77777777" w:rsidTr="00123D76">
        <w:trPr>
          <w:trHeight w:val="311"/>
          <w:tblHeader/>
        </w:trPr>
        <w:tc>
          <w:tcPr>
            <w:tcW w:w="1797" w:type="dxa"/>
          </w:tcPr>
          <w:p w14:paraId="7AF55935" w14:textId="77777777" w:rsidR="00126B45" w:rsidRDefault="00126B45" w:rsidP="00123D76">
            <w:pPr>
              <w:jc w:val="center"/>
              <w:rPr>
                <w:b/>
                <w:color w:val="000000" w:themeColor="text1"/>
              </w:rPr>
            </w:pPr>
            <w:r w:rsidRPr="005C29F8">
              <w:rPr>
                <w:rFonts w:cs="Arial"/>
                <w:b/>
                <w:color w:val="000000" w:themeColor="text1"/>
                <w:szCs w:val="16"/>
              </w:rPr>
              <w:t>Baseline Year</w:t>
            </w:r>
          </w:p>
        </w:tc>
        <w:tc>
          <w:tcPr>
            <w:tcW w:w="1798" w:type="dxa"/>
          </w:tcPr>
          <w:p w14:paraId="316C30F4" w14:textId="77777777" w:rsidR="00126B45" w:rsidRDefault="00126B45" w:rsidP="00123D76">
            <w:pPr>
              <w:jc w:val="center"/>
              <w:rPr>
                <w:b/>
                <w:color w:val="000000" w:themeColor="text1"/>
              </w:rPr>
            </w:pPr>
            <w:r>
              <w:rPr>
                <w:b/>
                <w:color w:val="000000" w:themeColor="text1"/>
              </w:rPr>
              <w:t>Baseline Data</w:t>
            </w:r>
          </w:p>
        </w:tc>
      </w:tr>
      <w:tr w:rsidR="00126B45" w14:paraId="1CE17451" w14:textId="77777777" w:rsidTr="00123D76">
        <w:trPr>
          <w:trHeight w:val="311"/>
        </w:trPr>
        <w:tc>
          <w:tcPr>
            <w:tcW w:w="1797" w:type="dxa"/>
            <w:vAlign w:val="center"/>
          </w:tcPr>
          <w:p w14:paraId="4D36891E" w14:textId="227D3313" w:rsidR="00126B45" w:rsidRPr="00227D4B" w:rsidRDefault="00126B45" w:rsidP="00123D76">
            <w:pPr>
              <w:jc w:val="center"/>
              <w:rPr>
                <w:bCs/>
                <w:color w:val="000000" w:themeColor="text1"/>
              </w:rPr>
            </w:pPr>
            <w:r w:rsidRPr="00227D4B">
              <w:rPr>
                <w:bCs/>
                <w:color w:val="000000" w:themeColor="text1"/>
              </w:rPr>
              <w:t>2017</w:t>
            </w:r>
          </w:p>
        </w:tc>
        <w:tc>
          <w:tcPr>
            <w:tcW w:w="1798" w:type="dxa"/>
            <w:vAlign w:val="center"/>
          </w:tcPr>
          <w:p w14:paraId="403719B1" w14:textId="522EF75C" w:rsidR="00126B45" w:rsidRPr="00227D4B" w:rsidRDefault="00126B45" w:rsidP="00123D76">
            <w:pPr>
              <w:jc w:val="center"/>
              <w:rPr>
                <w:bCs/>
                <w:color w:val="000000" w:themeColor="text1"/>
              </w:rPr>
            </w:pPr>
            <w:r w:rsidRPr="00227D4B">
              <w:rPr>
                <w:bCs/>
                <w:color w:val="000000" w:themeColor="text1"/>
              </w:rPr>
              <w:t>96.50%</w:t>
            </w:r>
          </w:p>
        </w:tc>
      </w:tr>
    </w:tbl>
    <w:p w14:paraId="0C706E5F" w14:textId="77777777" w:rsidR="00126B45" w:rsidRPr="005C29F8"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5C29F8" w14:paraId="185735BC" w14:textId="77777777" w:rsidTr="0033429D">
        <w:trPr>
          <w:trHeight w:val="350"/>
        </w:trPr>
        <w:tc>
          <w:tcPr>
            <w:tcW w:w="833" w:type="pct"/>
            <w:tcBorders>
              <w:bottom w:val="single" w:sz="4" w:space="0" w:color="auto"/>
            </w:tcBorders>
            <w:shd w:val="clear" w:color="auto" w:fill="auto"/>
          </w:tcPr>
          <w:p w14:paraId="40BFC57F" w14:textId="77777777" w:rsidR="00B6413B" w:rsidRPr="005C29F8" w:rsidRDefault="00B6413B" w:rsidP="004369B2">
            <w:pPr>
              <w:jc w:val="center"/>
              <w:rPr>
                <w:rFonts w:cs="Arial"/>
                <w:b/>
                <w:color w:val="000000" w:themeColor="text1"/>
                <w:szCs w:val="16"/>
              </w:rPr>
            </w:pPr>
            <w:r w:rsidRPr="005C29F8">
              <w:rPr>
                <w:rFonts w:cs="Arial"/>
                <w:b/>
                <w:color w:val="000000" w:themeColor="text1"/>
                <w:szCs w:val="16"/>
              </w:rPr>
              <w:t>FFY</w:t>
            </w:r>
          </w:p>
        </w:tc>
        <w:tc>
          <w:tcPr>
            <w:tcW w:w="833" w:type="pct"/>
            <w:shd w:val="clear" w:color="auto" w:fill="auto"/>
          </w:tcPr>
          <w:p w14:paraId="180872C1" w14:textId="09E6591B" w:rsidR="00B6413B" w:rsidRPr="005C29F8" w:rsidRDefault="002B7490" w:rsidP="00B6413B">
            <w:pPr>
              <w:jc w:val="center"/>
              <w:rPr>
                <w:rFonts w:cs="Arial"/>
                <w:b/>
                <w:color w:val="000000" w:themeColor="text1"/>
                <w:szCs w:val="16"/>
              </w:rPr>
            </w:pPr>
            <w:r w:rsidRPr="005C29F8">
              <w:rPr>
                <w:rFonts w:cs="Arial"/>
                <w:b/>
                <w:color w:val="000000" w:themeColor="text1"/>
                <w:szCs w:val="16"/>
              </w:rPr>
              <w:t>2014</w:t>
            </w:r>
          </w:p>
        </w:tc>
        <w:tc>
          <w:tcPr>
            <w:tcW w:w="833" w:type="pct"/>
            <w:shd w:val="clear" w:color="auto" w:fill="auto"/>
          </w:tcPr>
          <w:p w14:paraId="172712E2" w14:textId="17CB7B21" w:rsidR="00B6413B" w:rsidRPr="005C29F8" w:rsidRDefault="002B7490" w:rsidP="00B6413B">
            <w:pPr>
              <w:jc w:val="center"/>
              <w:rPr>
                <w:rFonts w:cs="Arial"/>
                <w:b/>
                <w:color w:val="000000" w:themeColor="text1"/>
                <w:szCs w:val="16"/>
              </w:rPr>
            </w:pPr>
            <w:r w:rsidRPr="005C29F8">
              <w:rPr>
                <w:rFonts w:cs="Arial"/>
                <w:b/>
                <w:color w:val="000000" w:themeColor="text1"/>
                <w:szCs w:val="16"/>
              </w:rPr>
              <w:t>2015</w:t>
            </w:r>
          </w:p>
        </w:tc>
        <w:tc>
          <w:tcPr>
            <w:tcW w:w="833" w:type="pct"/>
            <w:shd w:val="clear" w:color="auto" w:fill="auto"/>
          </w:tcPr>
          <w:p w14:paraId="510C277D" w14:textId="7361F007" w:rsidR="00B6413B" w:rsidRPr="005C29F8" w:rsidRDefault="002B7490" w:rsidP="00B6413B">
            <w:pPr>
              <w:jc w:val="center"/>
              <w:rPr>
                <w:rFonts w:cs="Arial"/>
                <w:b/>
                <w:color w:val="000000" w:themeColor="text1"/>
                <w:szCs w:val="16"/>
              </w:rPr>
            </w:pPr>
            <w:r w:rsidRPr="005C29F8">
              <w:rPr>
                <w:rFonts w:cs="Arial"/>
                <w:b/>
                <w:color w:val="000000" w:themeColor="text1"/>
                <w:szCs w:val="16"/>
              </w:rPr>
              <w:t>2016</w:t>
            </w:r>
          </w:p>
        </w:tc>
        <w:tc>
          <w:tcPr>
            <w:tcW w:w="833" w:type="pct"/>
            <w:shd w:val="clear" w:color="auto" w:fill="auto"/>
          </w:tcPr>
          <w:p w14:paraId="5A53D9E0" w14:textId="2FECDD8F" w:rsidR="00B6413B" w:rsidRPr="005C29F8" w:rsidRDefault="002B7490" w:rsidP="00B6413B">
            <w:pPr>
              <w:jc w:val="center"/>
              <w:rPr>
                <w:rFonts w:cs="Arial"/>
                <w:b/>
                <w:color w:val="000000" w:themeColor="text1"/>
                <w:szCs w:val="16"/>
              </w:rPr>
            </w:pPr>
            <w:r w:rsidRPr="005C29F8">
              <w:rPr>
                <w:rFonts w:cs="Arial"/>
                <w:b/>
                <w:color w:val="000000" w:themeColor="text1"/>
                <w:szCs w:val="16"/>
              </w:rPr>
              <w:t>2017</w:t>
            </w:r>
          </w:p>
        </w:tc>
        <w:tc>
          <w:tcPr>
            <w:tcW w:w="834" w:type="pct"/>
            <w:shd w:val="clear" w:color="auto" w:fill="auto"/>
          </w:tcPr>
          <w:p w14:paraId="5DDA3CB1" w14:textId="7CA07026" w:rsidR="00B6413B" w:rsidRPr="005C29F8" w:rsidRDefault="002B7490" w:rsidP="00B6413B">
            <w:pPr>
              <w:jc w:val="center"/>
              <w:rPr>
                <w:rFonts w:cs="Arial"/>
                <w:b/>
                <w:color w:val="000000" w:themeColor="text1"/>
                <w:szCs w:val="16"/>
              </w:rPr>
            </w:pPr>
            <w:r w:rsidRPr="005C29F8">
              <w:rPr>
                <w:rFonts w:cs="Arial"/>
                <w:b/>
                <w:color w:val="000000" w:themeColor="text1"/>
                <w:szCs w:val="16"/>
              </w:rPr>
              <w:t>2018</w:t>
            </w:r>
          </w:p>
        </w:tc>
      </w:tr>
      <w:tr w:rsidR="005C29F8" w:rsidRPr="005C29F8" w14:paraId="1D8C5E85" w14:textId="77777777" w:rsidTr="0033429D">
        <w:trPr>
          <w:trHeight w:val="357"/>
        </w:trPr>
        <w:tc>
          <w:tcPr>
            <w:tcW w:w="833" w:type="pct"/>
            <w:shd w:val="clear" w:color="auto" w:fill="auto"/>
          </w:tcPr>
          <w:p w14:paraId="64B52232" w14:textId="6E60704D" w:rsidR="00B6413B" w:rsidRPr="005C29F8" w:rsidRDefault="00B6413B" w:rsidP="00B6413B">
            <w:pPr>
              <w:rPr>
                <w:rFonts w:cs="Arial"/>
                <w:color w:val="000000" w:themeColor="text1"/>
                <w:szCs w:val="16"/>
              </w:rPr>
            </w:pPr>
            <w:r w:rsidRPr="005C29F8">
              <w:rPr>
                <w:rFonts w:cs="Arial"/>
                <w:color w:val="000000" w:themeColor="text1"/>
                <w:szCs w:val="16"/>
              </w:rPr>
              <w:t xml:space="preserve">Target </w:t>
            </w:r>
          </w:p>
        </w:tc>
        <w:tc>
          <w:tcPr>
            <w:tcW w:w="833" w:type="pct"/>
            <w:shd w:val="clear" w:color="auto" w:fill="auto"/>
          </w:tcPr>
          <w:p w14:paraId="13EDBB26" w14:textId="03929D2F" w:rsidR="00B6413B" w:rsidRPr="005C29F8" w:rsidRDefault="00B16A26">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22315242" w14:textId="2AA4BC03" w:rsidR="00B6413B" w:rsidRPr="005C29F8" w:rsidRDefault="00B16A26">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592D8352" w14:textId="0CCD91D0" w:rsidR="00B6413B" w:rsidRPr="005C29F8" w:rsidRDefault="00B16A26">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4213B65B" w14:textId="455FA06B" w:rsidR="00B6413B" w:rsidRPr="005C29F8" w:rsidRDefault="00B16A26">
            <w:pPr>
              <w:jc w:val="center"/>
              <w:rPr>
                <w:rFonts w:cs="Arial"/>
                <w:color w:val="000000" w:themeColor="text1"/>
                <w:szCs w:val="16"/>
              </w:rPr>
            </w:pPr>
            <w:r w:rsidRPr="005C29F8">
              <w:rPr>
                <w:rFonts w:cs="Arial"/>
                <w:color w:val="000000" w:themeColor="text1"/>
                <w:szCs w:val="16"/>
              </w:rPr>
              <w:t>100%</w:t>
            </w:r>
          </w:p>
        </w:tc>
        <w:tc>
          <w:tcPr>
            <w:tcW w:w="834" w:type="pct"/>
            <w:shd w:val="clear" w:color="auto" w:fill="auto"/>
          </w:tcPr>
          <w:p w14:paraId="0947AB89" w14:textId="009A0A22" w:rsidR="00B6413B" w:rsidRPr="005C29F8" w:rsidRDefault="00B16A26">
            <w:pPr>
              <w:jc w:val="center"/>
              <w:rPr>
                <w:rFonts w:cs="Arial"/>
                <w:color w:val="000000" w:themeColor="text1"/>
                <w:szCs w:val="16"/>
              </w:rPr>
            </w:pPr>
            <w:r w:rsidRPr="005C29F8">
              <w:rPr>
                <w:rFonts w:cs="Arial"/>
                <w:color w:val="000000" w:themeColor="text1"/>
                <w:szCs w:val="16"/>
              </w:rPr>
              <w:t>100%</w:t>
            </w:r>
          </w:p>
        </w:tc>
      </w:tr>
      <w:tr w:rsidR="005C29F8" w:rsidRPr="005C29F8" w14:paraId="034A91A9" w14:textId="77777777" w:rsidTr="0033429D">
        <w:trPr>
          <w:trHeight w:val="85"/>
        </w:trPr>
        <w:tc>
          <w:tcPr>
            <w:tcW w:w="833" w:type="pct"/>
            <w:shd w:val="clear" w:color="auto" w:fill="auto"/>
          </w:tcPr>
          <w:p w14:paraId="2D12CD30" w14:textId="77777777" w:rsidR="00B6413B" w:rsidRPr="005C29F8" w:rsidRDefault="00B6413B" w:rsidP="00B6413B">
            <w:pPr>
              <w:rPr>
                <w:rFonts w:cs="Arial"/>
                <w:color w:val="000000" w:themeColor="text1"/>
                <w:szCs w:val="16"/>
              </w:rPr>
            </w:pPr>
            <w:r w:rsidRPr="005C29F8">
              <w:rPr>
                <w:rFonts w:cs="Arial"/>
                <w:color w:val="000000" w:themeColor="text1"/>
                <w:szCs w:val="16"/>
              </w:rPr>
              <w:t>Data</w:t>
            </w:r>
          </w:p>
        </w:tc>
        <w:tc>
          <w:tcPr>
            <w:tcW w:w="833" w:type="pct"/>
            <w:shd w:val="clear" w:color="auto" w:fill="auto"/>
          </w:tcPr>
          <w:p w14:paraId="45567F1B" w14:textId="15BD6387" w:rsidR="00B6413B" w:rsidRPr="005C29F8" w:rsidRDefault="002B7490" w:rsidP="00A018D4">
            <w:pPr>
              <w:jc w:val="center"/>
              <w:rPr>
                <w:rFonts w:cs="Arial"/>
                <w:color w:val="000000" w:themeColor="text1"/>
                <w:szCs w:val="16"/>
              </w:rPr>
            </w:pPr>
            <w:r w:rsidRPr="005C29F8">
              <w:rPr>
                <w:rFonts w:cs="Arial"/>
                <w:color w:val="000000" w:themeColor="text1"/>
                <w:szCs w:val="16"/>
              </w:rPr>
              <w:t>99.29%</w:t>
            </w:r>
          </w:p>
        </w:tc>
        <w:tc>
          <w:tcPr>
            <w:tcW w:w="833" w:type="pct"/>
            <w:shd w:val="clear" w:color="auto" w:fill="auto"/>
          </w:tcPr>
          <w:p w14:paraId="22571264" w14:textId="18DEE061" w:rsidR="00B6413B" w:rsidRPr="005C29F8" w:rsidRDefault="002B7490" w:rsidP="00A018D4">
            <w:pPr>
              <w:jc w:val="center"/>
              <w:rPr>
                <w:rFonts w:cs="Arial"/>
                <w:color w:val="000000" w:themeColor="text1"/>
                <w:szCs w:val="16"/>
              </w:rPr>
            </w:pPr>
            <w:r w:rsidRPr="005C29F8">
              <w:rPr>
                <w:rFonts w:cs="Arial"/>
                <w:color w:val="000000" w:themeColor="text1"/>
                <w:szCs w:val="16"/>
              </w:rPr>
              <w:t>95.26%</w:t>
            </w:r>
          </w:p>
        </w:tc>
        <w:tc>
          <w:tcPr>
            <w:tcW w:w="833" w:type="pct"/>
            <w:tcBorders>
              <w:bottom w:val="single" w:sz="4" w:space="0" w:color="auto"/>
            </w:tcBorders>
            <w:shd w:val="clear" w:color="auto" w:fill="auto"/>
            <w:vAlign w:val="center"/>
          </w:tcPr>
          <w:p w14:paraId="0169492B" w14:textId="35C25712" w:rsidR="00B6413B" w:rsidRPr="005C29F8" w:rsidRDefault="002B7490" w:rsidP="00A018D4">
            <w:pPr>
              <w:jc w:val="center"/>
              <w:rPr>
                <w:rFonts w:cs="Arial"/>
                <w:color w:val="000000" w:themeColor="text1"/>
                <w:szCs w:val="16"/>
              </w:rPr>
            </w:pPr>
            <w:r w:rsidRPr="005C29F8">
              <w:rPr>
                <w:rFonts w:cs="Arial"/>
                <w:color w:val="000000" w:themeColor="text1"/>
                <w:szCs w:val="16"/>
              </w:rPr>
              <w:t>95.83%</w:t>
            </w:r>
          </w:p>
        </w:tc>
        <w:tc>
          <w:tcPr>
            <w:tcW w:w="833" w:type="pct"/>
            <w:tcBorders>
              <w:bottom w:val="single" w:sz="4" w:space="0" w:color="auto"/>
            </w:tcBorders>
            <w:shd w:val="clear" w:color="auto" w:fill="auto"/>
            <w:vAlign w:val="center"/>
          </w:tcPr>
          <w:p w14:paraId="3F28AAFF" w14:textId="54CE0344" w:rsidR="00B6413B" w:rsidRPr="005C29F8" w:rsidRDefault="002B7490" w:rsidP="00A018D4">
            <w:pPr>
              <w:jc w:val="center"/>
              <w:rPr>
                <w:rFonts w:cs="Arial"/>
                <w:color w:val="000000" w:themeColor="text1"/>
                <w:szCs w:val="16"/>
              </w:rPr>
            </w:pPr>
            <w:r w:rsidRPr="005C29F8">
              <w:rPr>
                <w:rFonts w:cs="Arial"/>
                <w:color w:val="000000" w:themeColor="text1"/>
                <w:szCs w:val="16"/>
              </w:rPr>
              <w:t>96.50%</w:t>
            </w:r>
          </w:p>
        </w:tc>
        <w:tc>
          <w:tcPr>
            <w:tcW w:w="834" w:type="pct"/>
            <w:tcBorders>
              <w:bottom w:val="single" w:sz="4" w:space="0" w:color="auto"/>
            </w:tcBorders>
            <w:shd w:val="clear" w:color="auto" w:fill="auto"/>
            <w:vAlign w:val="center"/>
          </w:tcPr>
          <w:p w14:paraId="1634D135" w14:textId="4B1B8A56" w:rsidR="00B6413B" w:rsidRPr="005C29F8" w:rsidRDefault="002B7490" w:rsidP="00A018D4">
            <w:pPr>
              <w:jc w:val="center"/>
              <w:rPr>
                <w:rFonts w:cs="Arial"/>
                <w:color w:val="000000" w:themeColor="text1"/>
                <w:szCs w:val="16"/>
              </w:rPr>
            </w:pPr>
            <w:r w:rsidRPr="005C29F8">
              <w:rPr>
                <w:rFonts w:cs="Arial"/>
                <w:color w:val="000000" w:themeColor="text1"/>
                <w:szCs w:val="16"/>
              </w:rPr>
              <w:t>91.69%</w:t>
            </w:r>
          </w:p>
        </w:tc>
      </w:tr>
    </w:tbl>
    <w:p w14:paraId="4B68E2EB" w14:textId="77777777" w:rsidR="00DE2E22" w:rsidRPr="005C29F8" w:rsidRDefault="00DE2E22" w:rsidP="004369B2">
      <w:pPr>
        <w:rPr>
          <w:color w:val="000000" w:themeColor="text1"/>
        </w:rPr>
      </w:pPr>
    </w:p>
    <w:p w14:paraId="665BBDF2" w14:textId="3C595D9B" w:rsidR="007A3964" w:rsidRPr="005C29F8" w:rsidRDefault="007A3964" w:rsidP="004369B2">
      <w:pPr>
        <w:rPr>
          <w:color w:val="000000" w:themeColor="text1"/>
        </w:rPr>
      </w:pPr>
      <w:r w:rsidRPr="005C29F8">
        <w:rPr>
          <w:b/>
          <w:color w:val="000000" w:themeColor="text1"/>
        </w:rPr>
        <w:t>Targets</w:t>
      </w:r>
    </w:p>
    <w:tbl>
      <w:tblPr>
        <w:tblW w:w="1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2465"/>
      </w:tblGrid>
      <w:tr w:rsidR="00441578" w:rsidRPr="005C29F8" w14:paraId="76DFECC2" w14:textId="77777777" w:rsidTr="0033429D">
        <w:trPr>
          <w:trHeight w:val="350"/>
        </w:trPr>
        <w:tc>
          <w:tcPr>
            <w:tcW w:w="1079" w:type="pct"/>
            <w:tcBorders>
              <w:bottom w:val="single" w:sz="4" w:space="0" w:color="auto"/>
            </w:tcBorders>
            <w:shd w:val="clear" w:color="auto" w:fill="auto"/>
          </w:tcPr>
          <w:p w14:paraId="6892E70C" w14:textId="77777777" w:rsidR="00441578" w:rsidRPr="005C29F8" w:rsidRDefault="00441578" w:rsidP="004369B2">
            <w:pPr>
              <w:jc w:val="center"/>
              <w:rPr>
                <w:b/>
                <w:color w:val="000000" w:themeColor="text1"/>
              </w:rPr>
            </w:pPr>
            <w:r w:rsidRPr="005C29F8">
              <w:rPr>
                <w:b/>
                <w:color w:val="000000" w:themeColor="text1"/>
              </w:rPr>
              <w:t>FFY</w:t>
            </w:r>
          </w:p>
        </w:tc>
        <w:tc>
          <w:tcPr>
            <w:tcW w:w="3921" w:type="pct"/>
            <w:shd w:val="clear" w:color="auto" w:fill="auto"/>
          </w:tcPr>
          <w:p w14:paraId="66B6940B" w14:textId="77777777" w:rsidR="00441578" w:rsidRPr="005C29F8" w:rsidRDefault="00441578" w:rsidP="004369B2">
            <w:pPr>
              <w:jc w:val="center"/>
              <w:rPr>
                <w:b/>
                <w:color w:val="000000" w:themeColor="text1"/>
              </w:rPr>
            </w:pPr>
            <w:r w:rsidRPr="005C29F8">
              <w:rPr>
                <w:b/>
                <w:color w:val="000000" w:themeColor="text1"/>
              </w:rPr>
              <w:t>2019</w:t>
            </w:r>
          </w:p>
        </w:tc>
      </w:tr>
      <w:tr w:rsidR="00441578" w:rsidRPr="005C29F8" w14:paraId="3EC10007" w14:textId="77777777" w:rsidTr="00441578">
        <w:trPr>
          <w:trHeight w:val="357"/>
        </w:trPr>
        <w:tc>
          <w:tcPr>
            <w:tcW w:w="1079" w:type="pct"/>
            <w:shd w:val="clear" w:color="auto" w:fill="auto"/>
            <w:vAlign w:val="center"/>
          </w:tcPr>
          <w:p w14:paraId="078AD14E" w14:textId="77777777" w:rsidR="00441578" w:rsidRPr="005C29F8" w:rsidRDefault="00441578" w:rsidP="00D95C14">
            <w:pPr>
              <w:rPr>
                <w:rFonts w:cs="Arial"/>
                <w:color w:val="000000" w:themeColor="text1"/>
                <w:szCs w:val="16"/>
              </w:rPr>
            </w:pPr>
            <w:r w:rsidRPr="005C29F8">
              <w:rPr>
                <w:rFonts w:cs="Arial"/>
                <w:color w:val="000000" w:themeColor="text1"/>
                <w:szCs w:val="16"/>
              </w:rPr>
              <w:t xml:space="preserve">Target </w:t>
            </w:r>
          </w:p>
        </w:tc>
        <w:tc>
          <w:tcPr>
            <w:tcW w:w="3921" w:type="pct"/>
            <w:shd w:val="clear" w:color="auto" w:fill="auto"/>
            <w:vAlign w:val="center"/>
          </w:tcPr>
          <w:p w14:paraId="738C5681" w14:textId="308364FD" w:rsidR="00441578" w:rsidRPr="005C29F8" w:rsidRDefault="00441578" w:rsidP="00D95C14">
            <w:pPr>
              <w:jc w:val="center"/>
              <w:rPr>
                <w:rFonts w:cs="Arial"/>
                <w:color w:val="000000" w:themeColor="text1"/>
                <w:szCs w:val="16"/>
              </w:rPr>
            </w:pPr>
            <w:r w:rsidRPr="005C29F8">
              <w:rPr>
                <w:rFonts w:cs="Arial"/>
                <w:color w:val="000000" w:themeColor="text1"/>
                <w:szCs w:val="16"/>
              </w:rPr>
              <w:t>100%</w:t>
            </w:r>
          </w:p>
        </w:tc>
      </w:tr>
    </w:tbl>
    <w:p w14:paraId="5CBD7BB2" w14:textId="77777777" w:rsidR="00DE2E22" w:rsidRPr="005C29F8" w:rsidRDefault="00DE2E22" w:rsidP="004369B2">
      <w:pPr>
        <w:rPr>
          <w:color w:val="000000" w:themeColor="text1"/>
        </w:rPr>
      </w:pPr>
    </w:p>
    <w:p w14:paraId="3FAEB3AB" w14:textId="3363AEFC" w:rsidR="00D03701" w:rsidRPr="005C29F8" w:rsidRDefault="00EC46E4" w:rsidP="004369B2">
      <w:pPr>
        <w:rPr>
          <w:color w:val="000000" w:themeColor="text1"/>
        </w:rPr>
      </w:pPr>
      <w:r w:rsidRPr="005C29F8">
        <w:rPr>
          <w:b/>
          <w:color w:val="000000" w:themeColor="text1"/>
        </w:rPr>
        <w:t>FFY 2019 SPP/APR Data</w:t>
      </w:r>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5C29F8" w:rsidRPr="005C29F8" w14:paraId="4D51CA61" w14:textId="77777777" w:rsidTr="008227D4">
        <w:trPr>
          <w:trHeight w:val="357"/>
          <w:tblHeader/>
        </w:trPr>
        <w:tc>
          <w:tcPr>
            <w:tcW w:w="677" w:type="pct"/>
            <w:shd w:val="clear" w:color="auto" w:fill="auto"/>
            <w:vAlign w:val="bottom"/>
          </w:tcPr>
          <w:p w14:paraId="2C2F9079" w14:textId="77777777" w:rsidR="003356F1" w:rsidRPr="005C29F8" w:rsidRDefault="003356F1" w:rsidP="00681BA6">
            <w:pPr>
              <w:jc w:val="center"/>
              <w:rPr>
                <w:rFonts w:cs="Arial"/>
                <w:b/>
                <w:color w:val="000000" w:themeColor="text1"/>
                <w:szCs w:val="16"/>
              </w:rPr>
            </w:pPr>
            <w:r w:rsidRPr="005C29F8">
              <w:rPr>
                <w:rFonts w:cs="Arial"/>
                <w:b/>
                <w:color w:val="000000" w:themeColor="text1"/>
                <w:szCs w:val="16"/>
              </w:rPr>
              <w:t>(a) Number of children for whom parental consent to evaluate was received</w:t>
            </w:r>
          </w:p>
        </w:tc>
        <w:tc>
          <w:tcPr>
            <w:tcW w:w="631" w:type="pct"/>
            <w:shd w:val="clear" w:color="auto" w:fill="auto"/>
            <w:vAlign w:val="bottom"/>
          </w:tcPr>
          <w:p w14:paraId="37C63445" w14:textId="77777777" w:rsidR="003356F1" w:rsidRPr="005C29F8" w:rsidRDefault="003356F1" w:rsidP="00681BA6">
            <w:pPr>
              <w:jc w:val="center"/>
              <w:rPr>
                <w:rFonts w:cs="Arial"/>
                <w:b/>
                <w:color w:val="000000" w:themeColor="text1"/>
                <w:szCs w:val="16"/>
              </w:rPr>
            </w:pPr>
            <w:r w:rsidRPr="005C29F8">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123CCF31" w:rsidR="003356F1" w:rsidRPr="005C29F8" w:rsidRDefault="00D95C14" w:rsidP="00681BA6">
            <w:pPr>
              <w:jc w:val="center"/>
              <w:rPr>
                <w:rFonts w:cs="Arial"/>
                <w:b/>
                <w:color w:val="000000" w:themeColor="text1"/>
                <w:szCs w:val="16"/>
              </w:rPr>
            </w:pPr>
            <w:r w:rsidRPr="005C29F8">
              <w:rPr>
                <w:rFonts w:cs="Arial"/>
                <w:b/>
                <w:color w:val="000000" w:themeColor="text1"/>
                <w:szCs w:val="16"/>
              </w:rPr>
              <w:t>FFY 2018 Data</w:t>
            </w:r>
          </w:p>
        </w:tc>
        <w:tc>
          <w:tcPr>
            <w:tcW w:w="984" w:type="pct"/>
            <w:shd w:val="clear" w:color="auto" w:fill="auto"/>
            <w:vAlign w:val="bottom"/>
          </w:tcPr>
          <w:p w14:paraId="46349806" w14:textId="41E555E1" w:rsidR="003356F1" w:rsidRPr="005C29F8" w:rsidRDefault="003356F1" w:rsidP="00681BA6">
            <w:pPr>
              <w:jc w:val="center"/>
              <w:rPr>
                <w:rFonts w:cs="Arial"/>
                <w:b/>
                <w:color w:val="000000" w:themeColor="text1"/>
                <w:szCs w:val="16"/>
              </w:rPr>
            </w:pPr>
            <w:r w:rsidRPr="005C29F8">
              <w:rPr>
                <w:rFonts w:cs="Arial"/>
                <w:b/>
                <w:color w:val="000000" w:themeColor="text1"/>
                <w:szCs w:val="16"/>
              </w:rPr>
              <w:t>FFY 2019 Target</w:t>
            </w:r>
          </w:p>
        </w:tc>
        <w:tc>
          <w:tcPr>
            <w:tcW w:w="586" w:type="pct"/>
            <w:shd w:val="clear" w:color="auto" w:fill="auto"/>
            <w:vAlign w:val="bottom"/>
          </w:tcPr>
          <w:p w14:paraId="789B0350" w14:textId="161C72BB" w:rsidR="003356F1" w:rsidRPr="005C29F8" w:rsidRDefault="003356F1" w:rsidP="00681BA6">
            <w:pPr>
              <w:jc w:val="center"/>
              <w:rPr>
                <w:rFonts w:cs="Arial"/>
                <w:b/>
                <w:color w:val="000000" w:themeColor="text1"/>
                <w:szCs w:val="16"/>
              </w:rPr>
            </w:pPr>
            <w:r w:rsidRPr="005C29F8">
              <w:rPr>
                <w:rFonts w:cs="Arial"/>
                <w:b/>
                <w:color w:val="000000" w:themeColor="text1"/>
                <w:szCs w:val="16"/>
              </w:rPr>
              <w:t>FFY 2019 Data</w:t>
            </w:r>
          </w:p>
        </w:tc>
        <w:tc>
          <w:tcPr>
            <w:tcW w:w="747" w:type="pct"/>
            <w:shd w:val="clear" w:color="auto" w:fill="auto"/>
            <w:vAlign w:val="bottom"/>
          </w:tcPr>
          <w:p w14:paraId="1F8A5D0B" w14:textId="1CA25A33" w:rsidR="003356F1" w:rsidRPr="005C29F8" w:rsidRDefault="003356F1" w:rsidP="00681BA6">
            <w:pPr>
              <w:jc w:val="center"/>
              <w:rPr>
                <w:rFonts w:cs="Arial"/>
                <w:b/>
                <w:color w:val="000000" w:themeColor="text1"/>
                <w:szCs w:val="16"/>
              </w:rPr>
            </w:pPr>
            <w:r w:rsidRPr="005C29F8">
              <w:rPr>
                <w:rFonts w:cs="Arial"/>
                <w:b/>
                <w:color w:val="000000" w:themeColor="text1"/>
                <w:szCs w:val="16"/>
              </w:rPr>
              <w:t>Status</w:t>
            </w:r>
          </w:p>
        </w:tc>
        <w:tc>
          <w:tcPr>
            <w:tcW w:w="722" w:type="pct"/>
            <w:shd w:val="clear" w:color="auto" w:fill="auto"/>
            <w:vAlign w:val="bottom"/>
          </w:tcPr>
          <w:p w14:paraId="072F67FA" w14:textId="0AF25FE9" w:rsidR="003356F1" w:rsidRPr="005C29F8" w:rsidRDefault="003356F1" w:rsidP="00681BA6">
            <w:pPr>
              <w:jc w:val="center"/>
              <w:rPr>
                <w:rFonts w:cs="Arial"/>
                <w:b/>
                <w:color w:val="000000" w:themeColor="text1"/>
                <w:szCs w:val="16"/>
              </w:rPr>
            </w:pPr>
            <w:r w:rsidRPr="005C29F8">
              <w:rPr>
                <w:rFonts w:cs="Arial"/>
                <w:b/>
                <w:color w:val="000000" w:themeColor="text1"/>
                <w:szCs w:val="16"/>
              </w:rPr>
              <w:t>Slippage</w:t>
            </w:r>
          </w:p>
        </w:tc>
      </w:tr>
      <w:tr w:rsidR="005C29F8" w:rsidRPr="005C29F8"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5C29F8" w:rsidRDefault="002B7490" w:rsidP="004369B2">
            <w:pPr>
              <w:jc w:val="center"/>
              <w:rPr>
                <w:rFonts w:cs="Arial"/>
                <w:color w:val="000000" w:themeColor="text1"/>
                <w:szCs w:val="16"/>
              </w:rPr>
            </w:pPr>
            <w:r w:rsidRPr="005C29F8">
              <w:rPr>
                <w:rFonts w:cs="Arial"/>
                <w:color w:val="000000" w:themeColor="text1"/>
                <w:szCs w:val="16"/>
              </w:rPr>
              <w:t>1,506</w:t>
            </w:r>
          </w:p>
        </w:tc>
        <w:tc>
          <w:tcPr>
            <w:tcW w:w="631" w:type="pct"/>
            <w:shd w:val="clear" w:color="auto" w:fill="auto"/>
          </w:tcPr>
          <w:p w14:paraId="12D46373" w14:textId="70B5728E" w:rsidR="00227DE4" w:rsidRPr="005C29F8" w:rsidRDefault="002B7490" w:rsidP="004369B2">
            <w:pPr>
              <w:jc w:val="center"/>
              <w:rPr>
                <w:rFonts w:cs="Arial"/>
                <w:color w:val="000000" w:themeColor="text1"/>
                <w:szCs w:val="16"/>
              </w:rPr>
            </w:pPr>
            <w:r w:rsidRPr="005C29F8">
              <w:rPr>
                <w:rFonts w:cs="Arial"/>
                <w:color w:val="000000" w:themeColor="text1"/>
                <w:szCs w:val="16"/>
              </w:rPr>
              <w:t>1,465</w:t>
            </w:r>
          </w:p>
        </w:tc>
        <w:tc>
          <w:tcPr>
            <w:tcW w:w="652" w:type="pct"/>
            <w:shd w:val="clear" w:color="auto" w:fill="auto"/>
          </w:tcPr>
          <w:p w14:paraId="78F7DC6F" w14:textId="0C25E273" w:rsidR="00227DE4" w:rsidRPr="005C29F8" w:rsidRDefault="002B7490" w:rsidP="004369B2">
            <w:pPr>
              <w:jc w:val="center"/>
              <w:rPr>
                <w:rFonts w:cs="Arial"/>
                <w:color w:val="000000" w:themeColor="text1"/>
                <w:szCs w:val="16"/>
              </w:rPr>
            </w:pPr>
            <w:r w:rsidRPr="005C29F8">
              <w:rPr>
                <w:rFonts w:cs="Arial"/>
                <w:color w:val="000000" w:themeColor="text1"/>
                <w:szCs w:val="16"/>
              </w:rPr>
              <w:t>91.69%</w:t>
            </w:r>
          </w:p>
        </w:tc>
        <w:tc>
          <w:tcPr>
            <w:tcW w:w="984" w:type="pct"/>
            <w:shd w:val="clear" w:color="auto" w:fill="auto"/>
          </w:tcPr>
          <w:p w14:paraId="57D08E3A" w14:textId="02A6843C" w:rsidR="00227DE4" w:rsidRPr="005C29F8" w:rsidRDefault="00B16A26" w:rsidP="004369B2">
            <w:pPr>
              <w:jc w:val="center"/>
              <w:rPr>
                <w:rFonts w:cs="Arial"/>
                <w:color w:val="000000" w:themeColor="text1"/>
                <w:szCs w:val="16"/>
              </w:rPr>
            </w:pPr>
            <w:r w:rsidRPr="005C29F8">
              <w:rPr>
                <w:rFonts w:cs="Arial"/>
                <w:color w:val="000000" w:themeColor="text1"/>
                <w:szCs w:val="16"/>
              </w:rPr>
              <w:t>100%</w:t>
            </w:r>
          </w:p>
        </w:tc>
        <w:tc>
          <w:tcPr>
            <w:tcW w:w="586" w:type="pct"/>
            <w:shd w:val="clear" w:color="auto" w:fill="auto"/>
          </w:tcPr>
          <w:p w14:paraId="76ED234E" w14:textId="0761C4C5" w:rsidR="00227DE4" w:rsidRPr="005C29F8" w:rsidRDefault="002B7490" w:rsidP="004369B2">
            <w:pPr>
              <w:jc w:val="center"/>
              <w:rPr>
                <w:rFonts w:cs="Arial"/>
                <w:color w:val="000000" w:themeColor="text1"/>
                <w:szCs w:val="16"/>
              </w:rPr>
            </w:pPr>
            <w:r w:rsidRPr="005C29F8">
              <w:rPr>
                <w:rFonts w:cs="Arial"/>
                <w:color w:val="000000" w:themeColor="text1"/>
                <w:szCs w:val="16"/>
              </w:rPr>
              <w:t>97.28%</w:t>
            </w:r>
          </w:p>
        </w:tc>
        <w:tc>
          <w:tcPr>
            <w:tcW w:w="747" w:type="pct"/>
            <w:shd w:val="clear" w:color="auto" w:fill="auto"/>
          </w:tcPr>
          <w:p w14:paraId="0270582F" w14:textId="73E1CA33" w:rsidR="00227DE4" w:rsidRPr="005C29F8" w:rsidRDefault="002B7490" w:rsidP="004369B2">
            <w:pPr>
              <w:jc w:val="center"/>
              <w:rPr>
                <w:rFonts w:cs="Arial"/>
                <w:color w:val="000000" w:themeColor="text1"/>
                <w:szCs w:val="16"/>
              </w:rPr>
            </w:pPr>
            <w:r w:rsidRPr="005C29F8">
              <w:rPr>
                <w:rFonts w:cs="Arial"/>
                <w:color w:val="000000" w:themeColor="text1"/>
                <w:szCs w:val="16"/>
              </w:rPr>
              <w:t>Did Not Meet Target</w:t>
            </w:r>
          </w:p>
        </w:tc>
        <w:tc>
          <w:tcPr>
            <w:tcW w:w="722" w:type="pct"/>
            <w:shd w:val="clear" w:color="auto" w:fill="auto"/>
          </w:tcPr>
          <w:p w14:paraId="2AF3A578" w14:textId="64369F07" w:rsidR="00227DE4" w:rsidRPr="005C29F8" w:rsidRDefault="002B7490" w:rsidP="004369B2">
            <w:pPr>
              <w:jc w:val="center"/>
              <w:rPr>
                <w:rFonts w:cs="Arial"/>
                <w:color w:val="000000" w:themeColor="text1"/>
                <w:szCs w:val="16"/>
              </w:rPr>
            </w:pPr>
            <w:r w:rsidRPr="005C29F8">
              <w:rPr>
                <w:rFonts w:cs="Arial"/>
                <w:color w:val="000000" w:themeColor="text1"/>
                <w:szCs w:val="16"/>
              </w:rPr>
              <w:t>No Slippage</w:t>
            </w:r>
          </w:p>
        </w:tc>
      </w:tr>
    </w:tbl>
    <w:p w14:paraId="00FCD0E7" w14:textId="5068539E" w:rsidR="00596F83" w:rsidRPr="005C29F8" w:rsidRDefault="00596F83" w:rsidP="007D435F">
      <w:pPr>
        <w:rPr>
          <w:rFonts w:cs="Arial"/>
          <w:b/>
          <w:color w:val="000000" w:themeColor="text1"/>
          <w:szCs w:val="16"/>
        </w:rPr>
      </w:pPr>
      <w:r w:rsidRPr="005C29F8">
        <w:rPr>
          <w:rFonts w:cs="Arial"/>
          <w:b/>
          <w:color w:val="000000" w:themeColor="text1"/>
          <w:szCs w:val="16"/>
        </w:rPr>
        <w:lastRenderedPageBreak/>
        <w:t>Number of children included in (a) but not included in (b)</w:t>
      </w:r>
    </w:p>
    <w:p w14:paraId="500E5C8C" w14:textId="708E8E06" w:rsidR="00596F83" w:rsidRPr="005C29F8" w:rsidRDefault="00596F83" w:rsidP="007D435F">
      <w:pPr>
        <w:rPr>
          <w:rFonts w:cs="Arial"/>
          <w:color w:val="000000" w:themeColor="text1"/>
          <w:szCs w:val="16"/>
        </w:rPr>
      </w:pPr>
      <w:r w:rsidRPr="005C29F8">
        <w:rPr>
          <w:rFonts w:cs="Arial"/>
          <w:color w:val="000000" w:themeColor="text1"/>
          <w:szCs w:val="16"/>
        </w:rPr>
        <w:t>41</w:t>
      </w:r>
    </w:p>
    <w:p w14:paraId="59300647" w14:textId="301BC4BA" w:rsidR="00E418E6" w:rsidRPr="005C29F8" w:rsidRDefault="00481536" w:rsidP="006A01BD">
      <w:pPr>
        <w:rPr>
          <w:b/>
          <w:color w:val="000000" w:themeColor="text1"/>
        </w:rPr>
      </w:pPr>
      <w:r w:rsidRPr="005C29F8">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6620F3" w:rsidRDefault="002B7490" w:rsidP="006A01BD">
      <w:pPr>
        <w:rPr>
          <w:color w:val="000000" w:themeColor="text1"/>
        </w:rPr>
      </w:pPr>
      <w:r w:rsidRPr="006620F3">
        <w:rPr>
          <w:color w:val="000000" w:themeColor="text1"/>
        </w:rPr>
        <w:t xml:space="preserve">In FFY 2019, there were 41 students in the data collection cohort districts for whom initial evaluations were not completed timely within the State-established timeline of 45 days. On average, those delays exceeded the State-established timeline by 8.18 school working days. This has decreased by 1.99 days as compared to last year’s average of 10.17 days. Of note is the difference between the mean, median, and mode for the number of working days beyond the 45-day timeline. The mean amount of days beyond the 45-day timeline, as reported above, was 8.18 days. The median was 5 days beyond the 45-day timeline, and the mode was 2 days beyond the 45-day timeline. </w:t>
      </w:r>
      <w:r w:rsidRPr="006620F3">
        <w:rPr>
          <w:color w:val="000000" w:themeColor="text1"/>
        </w:rPr>
        <w:br/>
      </w:r>
      <w:r w:rsidRPr="006620F3">
        <w:rPr>
          <w:color w:val="000000" w:themeColor="text1"/>
        </w:rPr>
        <w:br/>
        <w:t>District-related issues with scheduling and timing of evaluations are not acceptable reasons for delay and are determined to be noncompliance. Of the delays reported in FFY 2019, most were attributed to the school/district’s having scheduling conflicts and the districts’ evaluators’ reports not received on time. A few other delays were reported to be a result of insufficient staff, lack of qualified staff, and staff illness.</w:t>
      </w:r>
      <w:r w:rsidRPr="006620F3">
        <w:rPr>
          <w:color w:val="000000" w:themeColor="text1"/>
        </w:rPr>
        <w:br/>
        <w:t xml:space="preserve"> </w:t>
      </w:r>
      <w:r w:rsidRPr="006620F3">
        <w:rPr>
          <w:color w:val="000000" w:themeColor="text1"/>
        </w:rPr>
        <w:br/>
        <w:t>Noncompliance is not identified for delays that are as a result of circumstances over which the districts did not have control, such as school closures for weather or unanticipated emergencies, parent-identified needs such as parent scheduling challenges or missing scheduled meetings, extended student absences or student illness, and extensions to evaluation timelines with agreement of the parents. Although these types of delays do not result in MA DESE finding noncompliance, these issues are addressed by MA DESE in the technical assistance the agency provides to districts that is focused on creating local systems and supports that anticipate contingencies to prevent unexpected delays</w:t>
      </w:r>
    </w:p>
    <w:p w14:paraId="4FE2B83B" w14:textId="50CDAD1F" w:rsidR="00596F83" w:rsidRPr="005C29F8" w:rsidRDefault="00596F83" w:rsidP="00596F83">
      <w:pPr>
        <w:rPr>
          <w:rFonts w:cs="Arial"/>
          <w:b/>
          <w:color w:val="000000" w:themeColor="text1"/>
          <w:szCs w:val="16"/>
        </w:rPr>
      </w:pPr>
      <w:r w:rsidRPr="005C29F8">
        <w:rPr>
          <w:rFonts w:cs="Arial"/>
          <w:b/>
          <w:color w:val="000000" w:themeColor="text1"/>
          <w:szCs w:val="16"/>
        </w:rPr>
        <w:t>Indicate the evaluation timeline used:</w:t>
      </w:r>
    </w:p>
    <w:p w14:paraId="7D77618A" w14:textId="3A3B87A2" w:rsidR="00596F83" w:rsidRDefault="00596F83" w:rsidP="004369B2">
      <w:pPr>
        <w:rPr>
          <w:rFonts w:cs="Arial"/>
          <w:color w:val="000000" w:themeColor="text1"/>
          <w:szCs w:val="16"/>
        </w:rPr>
      </w:pPr>
      <w:r w:rsidRPr="005C29F8">
        <w:rPr>
          <w:rFonts w:cs="Arial"/>
          <w:color w:val="000000" w:themeColor="text1"/>
          <w:szCs w:val="16"/>
        </w:rPr>
        <w:t>The State established a timeline within which the evaluation must be conducted</w:t>
      </w:r>
    </w:p>
    <w:p w14:paraId="7D54DFB3" w14:textId="4948BCA9" w:rsidR="00E418E6" w:rsidRPr="005C29F8" w:rsidRDefault="00481536" w:rsidP="001011BB">
      <w:pPr>
        <w:tabs>
          <w:tab w:val="left" w:pos="751"/>
        </w:tabs>
        <w:rPr>
          <w:rFonts w:cs="Arial"/>
          <w:b/>
          <w:color w:val="000000" w:themeColor="text1"/>
          <w:szCs w:val="16"/>
        </w:rPr>
      </w:pPr>
      <w:r w:rsidRPr="005C29F8">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Default="002B7490" w:rsidP="001011BB">
      <w:pPr>
        <w:tabs>
          <w:tab w:val="left" w:pos="751"/>
        </w:tabs>
        <w:rPr>
          <w:rFonts w:cs="Arial"/>
          <w:color w:val="000000" w:themeColor="text1"/>
          <w:szCs w:val="16"/>
        </w:rPr>
      </w:pPr>
      <w:r w:rsidRPr="005C29F8">
        <w:rPr>
          <w:rFonts w:cs="Arial"/>
          <w:color w:val="000000" w:themeColor="text1"/>
          <w:szCs w:val="16"/>
        </w:rPr>
        <w:t xml:space="preserve">The State's timeline for initial evaluations is 45 school working days. See 603 CMR 28.05(1): Special Education - Education Laws and Regulations. </w:t>
      </w:r>
      <w:r w:rsidRPr="005C29F8">
        <w:rPr>
          <w:rFonts w:cs="Arial"/>
          <w:color w:val="000000" w:themeColor="text1"/>
          <w:szCs w:val="16"/>
        </w:rPr>
        <w:br/>
        <w:t xml:space="preserve">603 CMR 28.05: The Team Process and Development of the IEP states: </w:t>
      </w:r>
      <w:r w:rsidRPr="005C29F8">
        <w:rPr>
          <w:rFonts w:cs="Arial"/>
          <w:color w:val="000000" w:themeColor="text1"/>
          <w:szCs w:val="16"/>
        </w:rPr>
        <w:br/>
        <w:t xml:space="preserve"> </w:t>
      </w:r>
      <w:r w:rsidRPr="005C29F8">
        <w:rPr>
          <w:rFonts w:cs="Arial"/>
          <w:color w:val="000000" w:themeColor="text1"/>
          <w:szCs w:val="16"/>
        </w:rPr>
        <w:br/>
        <w:t>Within 45 school working days after receipt of a parent's written consent to an initial evaluation or reevaluation, the school district shall: provide an evaluation; convene a Team meeting to review the evaluation data, determine whether the student requires special education and, if required, develop an IEP in accordance with state and federal laws; and provide the parents with two copies of the proposed IEP and proposed placement, except that the proposal of placement may be delayed according to the provisions of 603 CMR 28.06(2)(e); or, if the Team determines that the student is not eligible for special education, the school district shall send a written explanation of the finding that the student is not eligible. The evaluation assessments shall be completed within 30 school working days after receipt of parental consent for evaluation. Summaries of such assessments shall be completed so as to ensure their availability to parents at least two days prior to the Team meeting. If consent is received within 30 to 45 school working days before the end of the school year, the school district shall ensure that a Team meeting is scheduled so as to allow for the provision of a proposed IEP or written notice of the finding that the student is not eligible no later than 14 days after the end of the school year.</w:t>
      </w:r>
    </w:p>
    <w:p w14:paraId="7B602C87" w14:textId="77777777" w:rsidR="00596F83" w:rsidRPr="005C29F8" w:rsidRDefault="00030B45">
      <w:pPr>
        <w:rPr>
          <w:b/>
          <w:color w:val="000000" w:themeColor="text1"/>
        </w:rPr>
      </w:pPr>
      <w:r w:rsidRPr="005C29F8">
        <w:rPr>
          <w:b/>
          <w:color w:val="000000" w:themeColor="text1"/>
        </w:rPr>
        <w:t xml:space="preserve">What is the source of the data provided for this indicator? </w:t>
      </w:r>
    </w:p>
    <w:p w14:paraId="6EC5182D" w14:textId="7DE4D103" w:rsidR="00030B45" w:rsidRDefault="002B7490" w:rsidP="004369B2">
      <w:pPr>
        <w:rPr>
          <w:iCs/>
          <w:color w:val="000000" w:themeColor="text1"/>
        </w:rPr>
      </w:pPr>
      <w:r w:rsidRPr="005C29F8">
        <w:rPr>
          <w:iCs/>
          <w:color w:val="000000" w:themeColor="text1"/>
        </w:rPr>
        <w:t>State monitoring</w:t>
      </w:r>
    </w:p>
    <w:p w14:paraId="5C41E868" w14:textId="77777777" w:rsidR="00030B45" w:rsidRPr="005C29F8" w:rsidRDefault="00030B45" w:rsidP="004369B2">
      <w:pPr>
        <w:rPr>
          <w:b/>
          <w:color w:val="000000" w:themeColor="text1"/>
        </w:rPr>
      </w:pPr>
      <w:r w:rsidRPr="005C29F8">
        <w:rPr>
          <w:b/>
          <w:color w:val="000000" w:themeColor="text1"/>
        </w:rPr>
        <w:t xml:space="preserve">Describe the method used to collect these data, and if data are from the State’s monitoring, describe the procedures used to collect these data. </w:t>
      </w:r>
    </w:p>
    <w:p w14:paraId="41D2EA17" w14:textId="243E2564" w:rsidR="00326C0B" w:rsidRDefault="002B7490" w:rsidP="00030B45">
      <w:pPr>
        <w:rPr>
          <w:rFonts w:cs="Arial"/>
          <w:color w:val="000000" w:themeColor="text1"/>
          <w:szCs w:val="16"/>
        </w:rPr>
      </w:pPr>
      <w:r w:rsidRPr="005C29F8">
        <w:rPr>
          <w:rFonts w:cs="Arial"/>
          <w:color w:val="000000" w:themeColor="text1"/>
          <w:szCs w:val="16"/>
        </w:rPr>
        <w:t>MA DESE collects Indicator 11 data through the Tiered Focused Monitoring (TFM) review process conducted by MA DESE's Public School Monitoring Office (PSM). Please see the Introduction section for a detailed explanation of this process. As noted in the Introduction, the only LEA exception to this process is Boston Public Schools, for which MA DESE continues to oversee data collection on an annual basis for all Indicators.</w:t>
      </w:r>
    </w:p>
    <w:p w14:paraId="4F981BFF" w14:textId="77777777" w:rsidR="00C86164" w:rsidRPr="005C29F8" w:rsidRDefault="00C86164" w:rsidP="00C86164">
      <w:pPr>
        <w:rPr>
          <w:rFonts w:cs="Arial"/>
          <w:b/>
          <w:color w:val="000000" w:themeColor="text1"/>
          <w:szCs w:val="16"/>
        </w:rPr>
      </w:pPr>
      <w:bookmarkStart w:id="63" w:name="_Toc381956339"/>
      <w:bookmarkStart w:id="64" w:name="_Toc384383357"/>
      <w:bookmarkStart w:id="65" w:name="_Toc392159325"/>
      <w:r w:rsidRPr="005C29F8">
        <w:rPr>
          <w:rFonts w:cs="Arial"/>
          <w:b/>
          <w:color w:val="000000" w:themeColor="text1"/>
          <w:szCs w:val="16"/>
        </w:rPr>
        <w:t>Provide additional information about this indicator (optional)</w:t>
      </w:r>
    </w:p>
    <w:p w14:paraId="4D7330D9" w14:textId="5E39C58C" w:rsidR="00326C0B" w:rsidRPr="005C29F8" w:rsidRDefault="002B7490" w:rsidP="007D435F">
      <w:pPr>
        <w:rPr>
          <w:rFonts w:cs="Arial"/>
          <w:color w:val="000000" w:themeColor="text1"/>
          <w:szCs w:val="16"/>
        </w:rPr>
      </w:pPr>
      <w:r w:rsidRPr="005C29F8">
        <w:rPr>
          <w:rFonts w:cs="Arial"/>
          <w:color w:val="000000" w:themeColor="text1"/>
          <w:szCs w:val="16"/>
        </w:rPr>
        <w:t>During the FFY 2019 data collection period, participating cohort LEAs received parental consent for initial evaluation for 1506 students. Of those evaluations, 1465, or 97.28%, were completed within the State established timeline of 45-school working days. This is an increase of 5.59 percentage points from last year’s reported compliance rate, which was 91.69%. Of all the evaluations completed in FFY 2019, 933 students were deemed to be eligible for special education services. Additionally, 539 students were found not eligible for special education services, and 34 students were not yet determined for eligibility when the data was reported.</w:t>
      </w:r>
      <w:r w:rsidRPr="005C29F8">
        <w:rPr>
          <w:rFonts w:cs="Arial"/>
          <w:color w:val="000000" w:themeColor="text1"/>
          <w:szCs w:val="16"/>
        </w:rPr>
        <w:br/>
      </w:r>
      <w:r w:rsidRPr="005C29F8">
        <w:rPr>
          <w:rFonts w:cs="Arial"/>
          <w:color w:val="000000" w:themeColor="text1"/>
          <w:szCs w:val="16"/>
        </w:rPr>
        <w:br/>
        <w:t>In FFY 2019, MA DESE conducted a two-step verification process by contacting LEAs to explain their data reporting prior to issuing formal letters of finding alongside the required correction activities. This two-step process gave the LEAs an opportunity to explain and rectify errors in their data prior to MA DESE issuing a written finding. This process resulted in 9 findings of non-compliance. The 9 LEAs are currently developing and implementing their comprehensive corrective action plans, and/or submitting subsequent data to the MA DESE to demonstrate compliance with regulatory requirements.</w:t>
      </w:r>
      <w:r w:rsidRPr="005C29F8">
        <w:rPr>
          <w:rFonts w:cs="Arial"/>
          <w:color w:val="000000" w:themeColor="text1"/>
          <w:szCs w:val="16"/>
        </w:rPr>
        <w:br/>
      </w:r>
      <w:r w:rsidRPr="005C29F8">
        <w:rPr>
          <w:rFonts w:cs="Arial"/>
          <w:color w:val="000000" w:themeColor="text1"/>
          <w:szCs w:val="16"/>
        </w:rPr>
        <w:br/>
        <w:t xml:space="preserve">Through all verification activities, MA DESE makes sure that noncompliance corrections are made and verified as complete as soon as possible following the identification of noncompliance, and within one year after the findings are made. First, MA DESE analyzes data provided by the LEAs to ensure that for each student affected by delays in evaluation timelines, LEAs completed evaluations and determined students’ eligibility, although not timely. Through this process, MA DESE verifies that each of the LEAs has corrected noncompliance for each student affected by it, unless the student is no longer within the jurisdiction of the LEA by determining that initial evaluations are completed, even if completed beyond the State's timeline. Second, MA DESE requires each LEA to engage in a root cause analysis and develop a comprehensive corrective action report as part of the procedures to ensure that each LEA is implementing the applicable regulatory requirements correctly. LEAs assess data and systems in consultation with MA DESE to identify the reasons for noncompliance and create corrective actions to amend policy or practice, and/or develop and implement appropriate systems related to the causes of noncompliance. MA DESE then reviews additional data and documentation demonstrating the LEAs’ implementation of corrective action activities, and subsequent student data to determine that the LEAs are now correctly implementing the relevant regulatory requirements. </w:t>
      </w:r>
      <w:r w:rsidRPr="005C29F8">
        <w:rPr>
          <w:rFonts w:cs="Arial"/>
          <w:color w:val="000000" w:themeColor="text1"/>
          <w:szCs w:val="16"/>
        </w:rPr>
        <w:br/>
        <w:t xml:space="preserve"> </w:t>
      </w:r>
      <w:r w:rsidRPr="005C29F8">
        <w:rPr>
          <w:rFonts w:cs="Arial"/>
          <w:color w:val="000000" w:themeColor="text1"/>
          <w:szCs w:val="16"/>
        </w:rPr>
        <w:br/>
        <w:t xml:space="preserve">Current corrective action plans require LEAs to: </w:t>
      </w:r>
      <w:r w:rsidRPr="005C29F8">
        <w:rPr>
          <w:rFonts w:cs="Arial"/>
          <w:color w:val="000000" w:themeColor="text1"/>
          <w:szCs w:val="16"/>
        </w:rPr>
        <w:br/>
        <w:t xml:space="preserve">• Hire and retain qualified staff (including team leaders, evaluators, and school psychologists);   </w:t>
      </w:r>
      <w:r w:rsidRPr="005C29F8">
        <w:rPr>
          <w:rFonts w:cs="Arial"/>
          <w:color w:val="000000" w:themeColor="text1"/>
          <w:szCs w:val="16"/>
        </w:rPr>
        <w:br/>
        <w:t xml:space="preserve">• Review and revise LEA policies, practices, and procedures to determine root cause of the delays; </w:t>
      </w:r>
      <w:r w:rsidRPr="005C29F8">
        <w:rPr>
          <w:rFonts w:cs="Arial"/>
          <w:color w:val="000000" w:themeColor="text1"/>
          <w:szCs w:val="16"/>
        </w:rPr>
        <w:br/>
        <w:t xml:space="preserve">• Address scheduling conflicts by providing additional meeting days when staff are available for team meetings; </w:t>
      </w:r>
      <w:r w:rsidRPr="005C29F8">
        <w:rPr>
          <w:rFonts w:cs="Arial"/>
          <w:color w:val="000000" w:themeColor="text1"/>
          <w:szCs w:val="16"/>
        </w:rPr>
        <w:br/>
        <w:t xml:space="preserve">• Provide internal special education department professional development; and </w:t>
      </w:r>
      <w:r w:rsidRPr="005C29F8">
        <w:rPr>
          <w:rFonts w:cs="Arial"/>
          <w:color w:val="000000" w:themeColor="text1"/>
          <w:szCs w:val="16"/>
        </w:rPr>
        <w:br/>
        <w:t xml:space="preserve">• Report quarterly compilations of initial referral status, results, and outcomes. </w:t>
      </w:r>
    </w:p>
    <w:p w14:paraId="53B75C36" w14:textId="77777777" w:rsidR="00DE2E22" w:rsidRPr="005C29F8" w:rsidRDefault="00DE2E22" w:rsidP="004369B2">
      <w:pPr>
        <w:rPr>
          <w:color w:val="000000" w:themeColor="text1"/>
        </w:rPr>
      </w:pPr>
    </w:p>
    <w:p w14:paraId="3221D503" w14:textId="5C6A292D" w:rsidR="009A755E" w:rsidRPr="005C29F8" w:rsidRDefault="009A755E" w:rsidP="004369B2">
      <w:pPr>
        <w:rPr>
          <w:color w:val="000000" w:themeColor="text1"/>
        </w:rPr>
      </w:pPr>
      <w:r w:rsidRPr="005C29F8">
        <w:rPr>
          <w:b/>
          <w:color w:val="000000" w:themeColor="text1"/>
        </w:rPr>
        <w:lastRenderedPageBreak/>
        <w:t>Correction of Findings of Noncompliance Identified in FFY 2018</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5C29F8" w14:paraId="19F31341" w14:textId="77777777" w:rsidTr="008227D4">
        <w:trPr>
          <w:trHeight w:val="389"/>
          <w:tblHeader/>
        </w:trPr>
        <w:tc>
          <w:tcPr>
            <w:tcW w:w="1228" w:type="pct"/>
            <w:shd w:val="clear" w:color="auto" w:fill="auto"/>
            <w:vAlign w:val="bottom"/>
          </w:tcPr>
          <w:p w14:paraId="56F59E58"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4A7D6F00" w14:textId="77777777" w:rsidTr="008227D4">
        <w:tc>
          <w:tcPr>
            <w:tcW w:w="1228" w:type="pct"/>
            <w:shd w:val="clear" w:color="auto" w:fill="auto"/>
          </w:tcPr>
          <w:p w14:paraId="1D3665CE" w14:textId="31AA2004" w:rsidR="009A755E" w:rsidRPr="005C29F8" w:rsidRDefault="002B7490" w:rsidP="00A018D4">
            <w:pPr>
              <w:jc w:val="center"/>
              <w:rPr>
                <w:rFonts w:cs="Arial"/>
                <w:color w:val="000000" w:themeColor="text1"/>
                <w:szCs w:val="16"/>
              </w:rPr>
            </w:pPr>
            <w:r w:rsidRPr="005C29F8">
              <w:rPr>
                <w:rFonts w:cs="Arial"/>
                <w:color w:val="000000" w:themeColor="text1"/>
                <w:szCs w:val="16"/>
              </w:rPr>
              <w:t>7</w:t>
            </w:r>
          </w:p>
        </w:tc>
        <w:tc>
          <w:tcPr>
            <w:tcW w:w="1288" w:type="pct"/>
            <w:shd w:val="clear" w:color="auto" w:fill="auto"/>
          </w:tcPr>
          <w:p w14:paraId="4AEC445C" w14:textId="6396B491" w:rsidR="009A755E" w:rsidRPr="005C29F8" w:rsidRDefault="002B7490" w:rsidP="00A018D4">
            <w:pPr>
              <w:jc w:val="center"/>
              <w:rPr>
                <w:rFonts w:cs="Arial"/>
                <w:color w:val="000000" w:themeColor="text1"/>
                <w:szCs w:val="16"/>
              </w:rPr>
            </w:pPr>
            <w:r w:rsidRPr="005C29F8">
              <w:rPr>
                <w:rFonts w:cs="Arial"/>
                <w:color w:val="000000" w:themeColor="text1"/>
                <w:szCs w:val="16"/>
              </w:rPr>
              <w:t>6</w:t>
            </w:r>
          </w:p>
        </w:tc>
        <w:tc>
          <w:tcPr>
            <w:tcW w:w="1231" w:type="pct"/>
            <w:shd w:val="clear" w:color="auto" w:fill="auto"/>
          </w:tcPr>
          <w:p w14:paraId="650763EC" w14:textId="5B71F402" w:rsidR="009A755E" w:rsidRPr="005C29F8" w:rsidRDefault="002B7490" w:rsidP="00A018D4">
            <w:pPr>
              <w:jc w:val="center"/>
              <w:rPr>
                <w:rFonts w:cs="Arial"/>
                <w:color w:val="000000" w:themeColor="text1"/>
                <w:szCs w:val="16"/>
              </w:rPr>
            </w:pPr>
            <w:r w:rsidRPr="005C29F8">
              <w:rPr>
                <w:rFonts w:cs="Arial"/>
                <w:color w:val="000000" w:themeColor="text1"/>
                <w:szCs w:val="16"/>
              </w:rPr>
              <w:t>1</w:t>
            </w:r>
          </w:p>
        </w:tc>
        <w:tc>
          <w:tcPr>
            <w:tcW w:w="1254" w:type="pct"/>
            <w:shd w:val="clear" w:color="auto" w:fill="auto"/>
          </w:tcPr>
          <w:p w14:paraId="67914127" w14:textId="0865F5F8" w:rsidR="009A755E" w:rsidRPr="005C29F8" w:rsidRDefault="002B7490" w:rsidP="00A018D4">
            <w:pPr>
              <w:jc w:val="center"/>
              <w:rPr>
                <w:rFonts w:cs="Arial"/>
                <w:color w:val="000000" w:themeColor="text1"/>
                <w:szCs w:val="16"/>
              </w:rPr>
            </w:pPr>
            <w:r w:rsidRPr="005C29F8">
              <w:rPr>
                <w:rFonts w:cs="Arial"/>
                <w:color w:val="000000" w:themeColor="text1"/>
                <w:szCs w:val="16"/>
              </w:rPr>
              <w:t>0</w:t>
            </w:r>
          </w:p>
        </w:tc>
      </w:tr>
    </w:tbl>
    <w:p w14:paraId="49183A2D" w14:textId="6FBA9ADB" w:rsidR="009A755E" w:rsidRPr="005C29F8" w:rsidRDefault="00062E68" w:rsidP="004369B2">
      <w:pPr>
        <w:rPr>
          <w:color w:val="000000" w:themeColor="text1"/>
        </w:rPr>
      </w:pPr>
      <w:r w:rsidRPr="005C29F8">
        <w:rPr>
          <w:b/>
          <w:color w:val="000000" w:themeColor="text1"/>
        </w:rPr>
        <w:t>FFY 2018 Findings of Noncompliance Verified as Corrected</w:t>
      </w:r>
    </w:p>
    <w:p w14:paraId="417CAEC2" w14:textId="31AFF485" w:rsidR="009A755E" w:rsidRPr="005C29F8" w:rsidRDefault="009A755E" w:rsidP="009A755E">
      <w:pPr>
        <w:rPr>
          <w:rFonts w:cs="Arial"/>
          <w:b/>
          <w:color w:val="000000" w:themeColor="text1"/>
          <w:szCs w:val="16"/>
        </w:rPr>
      </w:pPr>
      <w:r w:rsidRPr="005C29F8">
        <w:rPr>
          <w:rFonts w:cs="Arial"/>
          <w:b/>
          <w:color w:val="000000" w:themeColor="text1"/>
          <w:szCs w:val="16"/>
        </w:rPr>
        <w:t xml:space="preserve">Describe how the State verified that the source of noncompliance is correctly implementing the </w:t>
      </w:r>
      <w:r w:rsidRPr="005C29F8">
        <w:rPr>
          <w:rFonts w:cs="Arial"/>
          <w:b/>
          <w:i/>
          <w:color w:val="000000" w:themeColor="text1"/>
          <w:szCs w:val="16"/>
        </w:rPr>
        <w:t>regulatory requirements</w:t>
      </w:r>
    </w:p>
    <w:p w14:paraId="61965D8E" w14:textId="42E8D356" w:rsidR="00326C0B" w:rsidRPr="005C29F8" w:rsidRDefault="002B7490" w:rsidP="009A755E">
      <w:pPr>
        <w:rPr>
          <w:rFonts w:cs="Arial"/>
          <w:color w:val="000000" w:themeColor="text1"/>
          <w:szCs w:val="16"/>
        </w:rPr>
      </w:pPr>
      <w:r w:rsidRPr="005C29F8">
        <w:rPr>
          <w:rFonts w:cs="Arial"/>
          <w:color w:val="000000" w:themeColor="text1"/>
          <w:szCs w:val="16"/>
        </w:rPr>
        <w:t xml:space="preserve">In its FFY 2018 APR, MA DESE made 7 findings of noncompliance under Indicator 11. Consistent with the process described above, MA DESE required each LEA to assess the root cause(s) of noncompliance and to take corrective actions to amend policy or practice, and/or to develop and implement appropriate systems, to ensure that timelines are met and eligible students receive services timely. MA DESE verified that these activities occurred by reviewing supplemental documentation provided by the LEAs. Additionally, MA DESE examined a supplemental data set submitted by each LEA and confirmed that the LEA was reporting 100% in compliance with the requirements following the implementation of corrective action activities. This process, consistent with OSEP Memorandum 09-02, ensured that corrections were made as soon as possible following the identification of noncompliance, and within one year of the noncompliance finding.  </w:t>
      </w:r>
      <w:r w:rsidRPr="005C29F8">
        <w:rPr>
          <w:rFonts w:cs="Arial"/>
          <w:color w:val="000000" w:themeColor="text1"/>
          <w:szCs w:val="16"/>
        </w:rPr>
        <w:br/>
        <w:t xml:space="preserve"> </w:t>
      </w:r>
      <w:r w:rsidRPr="005C29F8">
        <w:rPr>
          <w:rFonts w:cs="Arial"/>
          <w:color w:val="000000" w:themeColor="text1"/>
          <w:szCs w:val="16"/>
        </w:rPr>
        <w:br/>
        <w:t>Actions LEAs engaged in to address non-compliance for FFY 2018 included resolving a software malfunction that was responsible for miscalculating the number of school days in the timeline; hiring and retaining qualified staff (including team leaders, evaluators, and school psychologists); contracting and outsourcing requests for translators when translators aren’t available; reviewing and revising LEA policies, practices, and procedures to determine root cause of the delays; addressing scheduling conflicts by providing additional meeting days when staff are available for team meetings; providing internal special education department professional development; and reporting quarterly compilations of initial referral status, results, and outcomes.</w:t>
      </w:r>
      <w:r w:rsidRPr="005C29F8">
        <w:rPr>
          <w:rFonts w:cs="Arial"/>
          <w:color w:val="000000" w:themeColor="text1"/>
          <w:szCs w:val="16"/>
        </w:rPr>
        <w:br/>
        <w:t xml:space="preserve"> </w:t>
      </w:r>
      <w:r w:rsidRPr="005C29F8">
        <w:rPr>
          <w:rFonts w:cs="Arial"/>
          <w:color w:val="000000" w:themeColor="text1"/>
          <w:szCs w:val="16"/>
        </w:rPr>
        <w:br/>
        <w:t xml:space="preserve">LEAs are expected to correct each finding within one year of identification, and MA DESE documented verification of correction consistent with the procedures reported above. </w:t>
      </w:r>
    </w:p>
    <w:p w14:paraId="51512AE8" w14:textId="46445215" w:rsidR="009A755E" w:rsidRPr="005C29F8" w:rsidRDefault="009A755E" w:rsidP="009A755E">
      <w:pPr>
        <w:rPr>
          <w:rFonts w:cs="Arial"/>
          <w:b/>
          <w:color w:val="000000" w:themeColor="text1"/>
          <w:szCs w:val="16"/>
        </w:rPr>
      </w:pPr>
      <w:r w:rsidRPr="005C29F8">
        <w:rPr>
          <w:rFonts w:cs="Arial"/>
          <w:b/>
          <w:color w:val="000000" w:themeColor="text1"/>
          <w:szCs w:val="16"/>
        </w:rPr>
        <w:t xml:space="preserve">Describe how the State verified that each </w:t>
      </w:r>
      <w:r w:rsidRPr="005C29F8">
        <w:rPr>
          <w:rFonts w:cs="Arial"/>
          <w:b/>
          <w:i/>
          <w:color w:val="000000" w:themeColor="text1"/>
          <w:szCs w:val="16"/>
        </w:rPr>
        <w:t>individual case</w:t>
      </w:r>
      <w:r w:rsidRPr="005C29F8">
        <w:rPr>
          <w:rFonts w:cs="Arial"/>
          <w:b/>
          <w:color w:val="000000" w:themeColor="text1"/>
          <w:szCs w:val="16"/>
        </w:rPr>
        <w:t xml:space="preserve"> of noncompliance was corrected</w:t>
      </w:r>
    </w:p>
    <w:p w14:paraId="1D2403D9" w14:textId="1E0996F1" w:rsidR="00326C0B" w:rsidRPr="005C29F8" w:rsidRDefault="002B7490" w:rsidP="009A755E">
      <w:pPr>
        <w:rPr>
          <w:rFonts w:cs="Arial"/>
          <w:color w:val="000000" w:themeColor="text1"/>
          <w:szCs w:val="16"/>
        </w:rPr>
      </w:pPr>
      <w:r w:rsidRPr="005C29F8">
        <w:rPr>
          <w:rFonts w:cs="Arial"/>
          <w:color w:val="000000" w:themeColor="text1"/>
          <w:szCs w:val="16"/>
        </w:rPr>
        <w:t xml:space="preserve">The state verified that each individual case of noncompliance was corrected by examining corrective action reports and documentary evidence of correction, including subsequent data as appropriate. Each LEA was able to provide evidence that evaluations had been completed for all students affected by the noncompliance. </w:t>
      </w:r>
    </w:p>
    <w:p w14:paraId="47B6C111" w14:textId="77777777" w:rsidR="008227D4" w:rsidRPr="005C29F8" w:rsidRDefault="008227D4" w:rsidP="004369B2">
      <w:pPr>
        <w:rPr>
          <w:color w:val="000000" w:themeColor="text1"/>
        </w:rPr>
      </w:pPr>
    </w:p>
    <w:p w14:paraId="3D219E0E" w14:textId="2969146A" w:rsidR="009A755E" w:rsidRPr="005C29F8" w:rsidRDefault="009A755E" w:rsidP="004369B2">
      <w:pPr>
        <w:rPr>
          <w:color w:val="000000" w:themeColor="text1"/>
        </w:rPr>
      </w:pPr>
      <w:r w:rsidRPr="005C29F8">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5C29F8" w14:paraId="24C0CC8B" w14:textId="77777777" w:rsidTr="003968A6">
        <w:trPr>
          <w:tblHeader/>
        </w:trPr>
        <w:tc>
          <w:tcPr>
            <w:tcW w:w="988" w:type="pct"/>
            <w:shd w:val="clear" w:color="auto" w:fill="auto"/>
            <w:vAlign w:val="bottom"/>
          </w:tcPr>
          <w:p w14:paraId="4DB94990" w14:textId="41E221B0" w:rsidR="009A755E" w:rsidRPr="005C29F8" w:rsidRDefault="003A4027" w:rsidP="009A755E">
            <w:pPr>
              <w:jc w:val="center"/>
              <w:rPr>
                <w:rFonts w:cs="Arial"/>
                <w:b/>
                <w:color w:val="000000" w:themeColor="text1"/>
                <w:szCs w:val="16"/>
              </w:rPr>
            </w:pPr>
            <w:r w:rsidRPr="005C29F8">
              <w:rPr>
                <w:rFonts w:cs="Arial"/>
                <w:b/>
                <w:color w:val="000000" w:themeColor="text1"/>
                <w:szCs w:val="16"/>
              </w:rPr>
              <w:t>Year Findings of Noncompliance Were Identified</w:t>
            </w:r>
          </w:p>
        </w:tc>
        <w:tc>
          <w:tcPr>
            <w:tcW w:w="1461" w:type="pct"/>
            <w:shd w:val="clear" w:color="auto" w:fill="auto"/>
            <w:vAlign w:val="bottom"/>
          </w:tcPr>
          <w:p w14:paraId="58480848" w14:textId="3F40FD93"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Not Yet Verified as Corrected as of FFY 2018 APR</w:t>
            </w:r>
          </w:p>
        </w:tc>
        <w:tc>
          <w:tcPr>
            <w:tcW w:w="1317" w:type="pct"/>
            <w:shd w:val="clear" w:color="auto" w:fill="auto"/>
            <w:vAlign w:val="bottom"/>
          </w:tcPr>
          <w:p w14:paraId="5E728C5E"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4D9969AD" w14:textId="77777777" w:rsidTr="003968A6">
        <w:tc>
          <w:tcPr>
            <w:tcW w:w="988" w:type="pct"/>
            <w:shd w:val="clear" w:color="auto" w:fill="auto"/>
          </w:tcPr>
          <w:p w14:paraId="1373C0BF" w14:textId="5ED00762" w:rsidR="009A755E" w:rsidRPr="005C29F8"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5C29F8" w:rsidRDefault="009A755E">
            <w:pPr>
              <w:jc w:val="center"/>
              <w:rPr>
                <w:rFonts w:cs="Arial"/>
                <w:noProof/>
                <w:color w:val="000000" w:themeColor="text1"/>
                <w:szCs w:val="16"/>
              </w:rPr>
            </w:pPr>
          </w:p>
        </w:tc>
        <w:tc>
          <w:tcPr>
            <w:tcW w:w="1317" w:type="pct"/>
            <w:shd w:val="clear" w:color="auto" w:fill="auto"/>
          </w:tcPr>
          <w:p w14:paraId="1914F665" w14:textId="53788CBE" w:rsidR="009A755E" w:rsidRPr="005C29F8" w:rsidRDefault="009A755E">
            <w:pPr>
              <w:jc w:val="center"/>
              <w:rPr>
                <w:rFonts w:cs="Arial"/>
                <w:noProof/>
                <w:color w:val="000000" w:themeColor="text1"/>
                <w:szCs w:val="16"/>
              </w:rPr>
            </w:pPr>
          </w:p>
        </w:tc>
        <w:tc>
          <w:tcPr>
            <w:tcW w:w="1234" w:type="pct"/>
            <w:shd w:val="clear" w:color="auto" w:fill="auto"/>
          </w:tcPr>
          <w:p w14:paraId="543D4553" w14:textId="411E0F5D" w:rsidR="009A755E" w:rsidRPr="005C29F8" w:rsidRDefault="009A755E">
            <w:pPr>
              <w:jc w:val="center"/>
              <w:rPr>
                <w:rFonts w:cs="Arial"/>
                <w:noProof/>
                <w:color w:val="000000" w:themeColor="text1"/>
                <w:szCs w:val="16"/>
              </w:rPr>
            </w:pPr>
          </w:p>
        </w:tc>
      </w:tr>
      <w:tr w:rsidR="005C29F8" w:rsidRPr="005C29F8" w14:paraId="1816F3D1" w14:textId="77777777" w:rsidTr="003968A6">
        <w:tc>
          <w:tcPr>
            <w:tcW w:w="988" w:type="pct"/>
            <w:shd w:val="clear" w:color="auto" w:fill="auto"/>
          </w:tcPr>
          <w:p w14:paraId="1177FA9A" w14:textId="73A2A90B" w:rsidR="009A755E" w:rsidRPr="005C29F8"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5C29F8" w:rsidRDefault="009A755E">
            <w:pPr>
              <w:jc w:val="center"/>
              <w:rPr>
                <w:rFonts w:cs="Arial"/>
                <w:noProof/>
                <w:color w:val="000000" w:themeColor="text1"/>
                <w:szCs w:val="16"/>
              </w:rPr>
            </w:pPr>
          </w:p>
        </w:tc>
        <w:tc>
          <w:tcPr>
            <w:tcW w:w="1317" w:type="pct"/>
            <w:shd w:val="clear" w:color="auto" w:fill="auto"/>
          </w:tcPr>
          <w:p w14:paraId="1709DA4E" w14:textId="03D6E40F" w:rsidR="009A755E" w:rsidRPr="005C29F8" w:rsidRDefault="009A755E">
            <w:pPr>
              <w:jc w:val="center"/>
              <w:rPr>
                <w:rFonts w:cs="Arial"/>
                <w:noProof/>
                <w:color w:val="000000" w:themeColor="text1"/>
                <w:szCs w:val="16"/>
              </w:rPr>
            </w:pPr>
          </w:p>
        </w:tc>
        <w:tc>
          <w:tcPr>
            <w:tcW w:w="1234" w:type="pct"/>
            <w:shd w:val="clear" w:color="auto" w:fill="auto"/>
          </w:tcPr>
          <w:p w14:paraId="7008AE63" w14:textId="0E87CC18" w:rsidR="009A755E" w:rsidRPr="005C29F8" w:rsidRDefault="009A755E">
            <w:pPr>
              <w:jc w:val="center"/>
              <w:rPr>
                <w:rFonts w:cs="Arial"/>
                <w:noProof/>
                <w:color w:val="000000" w:themeColor="text1"/>
                <w:szCs w:val="16"/>
              </w:rPr>
            </w:pPr>
          </w:p>
        </w:tc>
      </w:tr>
      <w:tr w:rsidR="005C29F8" w:rsidRPr="005C29F8" w14:paraId="6B4A8AF5" w14:textId="77777777" w:rsidTr="003968A6">
        <w:tc>
          <w:tcPr>
            <w:tcW w:w="988" w:type="pct"/>
            <w:shd w:val="clear" w:color="auto" w:fill="auto"/>
          </w:tcPr>
          <w:p w14:paraId="43946979" w14:textId="506054A6" w:rsidR="009A755E" w:rsidRPr="005C29F8"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5C29F8" w:rsidRDefault="009A755E">
            <w:pPr>
              <w:jc w:val="center"/>
              <w:rPr>
                <w:rFonts w:cs="Arial"/>
                <w:noProof/>
                <w:color w:val="000000" w:themeColor="text1"/>
                <w:szCs w:val="16"/>
              </w:rPr>
            </w:pPr>
          </w:p>
        </w:tc>
        <w:tc>
          <w:tcPr>
            <w:tcW w:w="1317" w:type="pct"/>
            <w:shd w:val="clear" w:color="auto" w:fill="auto"/>
          </w:tcPr>
          <w:p w14:paraId="083E1253" w14:textId="465F1687" w:rsidR="009A755E" w:rsidRPr="005C29F8" w:rsidRDefault="009A755E">
            <w:pPr>
              <w:jc w:val="center"/>
              <w:rPr>
                <w:rFonts w:cs="Arial"/>
                <w:noProof/>
                <w:color w:val="000000" w:themeColor="text1"/>
                <w:szCs w:val="16"/>
              </w:rPr>
            </w:pPr>
          </w:p>
        </w:tc>
        <w:tc>
          <w:tcPr>
            <w:tcW w:w="1234" w:type="pct"/>
            <w:shd w:val="clear" w:color="auto" w:fill="auto"/>
          </w:tcPr>
          <w:p w14:paraId="5051C049" w14:textId="54F55515" w:rsidR="009A755E" w:rsidRPr="005C29F8" w:rsidRDefault="009A755E">
            <w:pPr>
              <w:jc w:val="center"/>
              <w:rPr>
                <w:rFonts w:cs="Arial"/>
                <w:noProof/>
                <w:color w:val="000000" w:themeColor="text1"/>
                <w:szCs w:val="16"/>
              </w:rPr>
            </w:pPr>
          </w:p>
        </w:tc>
      </w:tr>
    </w:tbl>
    <w:p w14:paraId="6AA9F004" w14:textId="407DFBC2" w:rsidR="004E2151" w:rsidRPr="0033429D" w:rsidRDefault="00C22B92" w:rsidP="00123D76">
      <w:pPr>
        <w:pStyle w:val="Heading2"/>
      </w:pPr>
      <w:r w:rsidRPr="0033429D">
        <w:t>11</w:t>
      </w:r>
      <w:r w:rsidR="004838A4" w:rsidRPr="0033429D">
        <w:t xml:space="preserve"> </w:t>
      </w:r>
      <w:r w:rsidRPr="0033429D">
        <w:t xml:space="preserve">- </w:t>
      </w:r>
      <w:r w:rsidR="004E2151" w:rsidRPr="0033429D">
        <w:t>Prior FFY Required Actions</w:t>
      </w:r>
    </w:p>
    <w:p w14:paraId="1469B26E" w14:textId="5BCE6CA0" w:rsidR="004E2151" w:rsidRPr="005C29F8" w:rsidRDefault="002B7490" w:rsidP="004E2151">
      <w:pPr>
        <w:rPr>
          <w:rFonts w:cs="Arial"/>
          <w:color w:val="000000" w:themeColor="text1"/>
          <w:szCs w:val="16"/>
        </w:rPr>
      </w:pPr>
      <w:r w:rsidRPr="005C29F8">
        <w:rPr>
          <w:rFonts w:cs="Arial"/>
          <w:color w:val="000000" w:themeColor="text1"/>
          <w:szCs w:val="16"/>
        </w:rPr>
        <w:t>None</w:t>
      </w:r>
    </w:p>
    <w:p w14:paraId="314020BE" w14:textId="77777777" w:rsidR="009F69E7" w:rsidRPr="005C29F8" w:rsidRDefault="009F69E7" w:rsidP="004E2151">
      <w:pPr>
        <w:rPr>
          <w:rFonts w:cs="Arial"/>
          <w:color w:val="000000" w:themeColor="text1"/>
          <w:szCs w:val="16"/>
        </w:rPr>
      </w:pPr>
    </w:p>
    <w:p w14:paraId="1D3AFFE6" w14:textId="5250F151" w:rsidR="007F5071" w:rsidRPr="0033429D" w:rsidRDefault="00C22B92" w:rsidP="00123D76">
      <w:pPr>
        <w:pStyle w:val="Heading2"/>
      </w:pPr>
      <w:r w:rsidRPr="0033429D">
        <w:t>11 - OSEP Response</w:t>
      </w:r>
    </w:p>
    <w:p w14:paraId="2479DA6D" w14:textId="3DE51C13" w:rsidR="00326C0B" w:rsidRPr="005C29F8" w:rsidRDefault="00326C0B" w:rsidP="00212954">
      <w:pPr>
        <w:rPr>
          <w:rFonts w:cs="Arial"/>
          <w:color w:val="000000" w:themeColor="text1"/>
          <w:szCs w:val="16"/>
        </w:rPr>
      </w:pPr>
    </w:p>
    <w:p w14:paraId="140652C1" w14:textId="064683E6" w:rsidR="007F5071" w:rsidRPr="0033429D" w:rsidRDefault="00C22B92" w:rsidP="00123D76">
      <w:pPr>
        <w:pStyle w:val="Heading2"/>
      </w:pPr>
      <w:r w:rsidRPr="0033429D">
        <w:t>11 - Required Actions</w:t>
      </w:r>
    </w:p>
    <w:p w14:paraId="542023B0" w14:textId="425F5FF5" w:rsidR="00326C0B" w:rsidRPr="005C29F8" w:rsidRDefault="002B7490" w:rsidP="00212954">
      <w:pPr>
        <w:rPr>
          <w:rFonts w:cs="Arial"/>
          <w:color w:val="000000" w:themeColor="text1"/>
          <w:szCs w:val="16"/>
        </w:rPr>
      </w:pPr>
      <w:r w:rsidRPr="005C29F8">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r w:rsidRPr="005C29F8">
        <w:rPr>
          <w:rFonts w:cs="Arial"/>
          <w:color w:val="000000" w:themeColor="text1"/>
          <w:szCs w:val="16"/>
        </w:rPr>
        <w:br/>
      </w:r>
      <w:r w:rsidRPr="005C29F8">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529C4C74" w14:textId="77777777" w:rsidR="00102FA3" w:rsidRPr="005C29F8" w:rsidRDefault="00102FA3">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55C7C90D" w14:textId="1ACF121A" w:rsidR="00D03701" w:rsidRPr="005C29F8" w:rsidRDefault="00D03701" w:rsidP="000444E2">
      <w:pPr>
        <w:pStyle w:val="Heading1"/>
        <w:rPr>
          <w:color w:val="000000" w:themeColor="text1"/>
          <w:sz w:val="22"/>
        </w:rPr>
      </w:pPr>
      <w:r w:rsidRPr="005C29F8">
        <w:rPr>
          <w:color w:val="000000" w:themeColor="text1"/>
          <w:sz w:val="22"/>
        </w:rPr>
        <w:lastRenderedPageBreak/>
        <w:t>Indicator 12: Early Childhood Transition</w:t>
      </w:r>
      <w:bookmarkEnd w:id="63"/>
      <w:bookmarkEnd w:id="64"/>
      <w:bookmarkEnd w:id="65"/>
    </w:p>
    <w:p w14:paraId="435B75C0" w14:textId="77777777" w:rsidR="00652135" w:rsidRPr="005C29F8" w:rsidRDefault="00652135" w:rsidP="00A018D4">
      <w:pPr>
        <w:rPr>
          <w:color w:val="000000" w:themeColor="text1"/>
          <w:szCs w:val="20"/>
        </w:rPr>
      </w:pPr>
      <w:r w:rsidRPr="005C29F8">
        <w:rPr>
          <w:b/>
          <w:color w:val="000000" w:themeColor="text1"/>
          <w:sz w:val="20"/>
          <w:szCs w:val="20"/>
        </w:rPr>
        <w:t>Instructions and Measurement</w:t>
      </w:r>
    </w:p>
    <w:p w14:paraId="6C78EC4F" w14:textId="77777777" w:rsidR="001F3A65" w:rsidRPr="005C29F8" w:rsidRDefault="001F3A65" w:rsidP="009447A3">
      <w:pPr>
        <w:rPr>
          <w:rFonts w:cs="Arial"/>
          <w:color w:val="000000" w:themeColor="text1"/>
          <w:szCs w:val="16"/>
        </w:rPr>
      </w:pPr>
      <w:bookmarkStart w:id="66" w:name="_Toc384383358"/>
      <w:bookmarkStart w:id="67" w:name="_Toc392159326"/>
      <w:r w:rsidRPr="005C29F8">
        <w:rPr>
          <w:rFonts w:cs="Arial"/>
          <w:b/>
          <w:color w:val="000000" w:themeColor="text1"/>
          <w:szCs w:val="16"/>
        </w:rPr>
        <w:t>Monitoring Priorit</w:t>
      </w:r>
      <w:r w:rsidRPr="005C29F8">
        <w:rPr>
          <w:rFonts w:cs="Arial"/>
          <w:color w:val="000000" w:themeColor="text1"/>
          <w:szCs w:val="16"/>
        </w:rPr>
        <w:t>y: Effective General Supervision Part B / Effective Transition</w:t>
      </w:r>
    </w:p>
    <w:p w14:paraId="5BB6E6C8" w14:textId="77777777" w:rsidR="00704E6A" w:rsidRPr="005C29F8" w:rsidRDefault="001F3A65" w:rsidP="009447A3">
      <w:pPr>
        <w:rPr>
          <w:rFonts w:cs="Arial"/>
          <w:color w:val="000000" w:themeColor="text1"/>
          <w:szCs w:val="16"/>
        </w:rPr>
      </w:pPr>
      <w:r w:rsidRPr="005C29F8">
        <w:rPr>
          <w:rFonts w:cs="Arial"/>
          <w:b/>
          <w:color w:val="000000" w:themeColor="text1"/>
          <w:szCs w:val="16"/>
        </w:rPr>
        <w:t>Compliance indicator</w:t>
      </w:r>
      <w:r w:rsidRPr="005C29F8">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5C29F8" w:rsidRDefault="001F3A65" w:rsidP="009447A3">
      <w:pPr>
        <w:rPr>
          <w:rFonts w:cs="Arial"/>
          <w:color w:val="000000" w:themeColor="text1"/>
          <w:szCs w:val="16"/>
        </w:rPr>
      </w:pPr>
      <w:r w:rsidRPr="005C29F8">
        <w:rPr>
          <w:rFonts w:cs="Arial"/>
          <w:color w:val="000000" w:themeColor="text1"/>
          <w:szCs w:val="16"/>
        </w:rPr>
        <w:t>(20 U.S.C. 1416(a)(3)(B))</w:t>
      </w:r>
    </w:p>
    <w:p w14:paraId="10C4B518" w14:textId="77777777" w:rsidR="00704E6A" w:rsidRPr="005C29F8" w:rsidRDefault="00704E6A" w:rsidP="004369B2">
      <w:pPr>
        <w:rPr>
          <w:color w:val="000000" w:themeColor="text1"/>
        </w:rPr>
      </w:pPr>
      <w:r w:rsidRPr="005C29F8">
        <w:rPr>
          <w:b/>
          <w:color w:val="000000" w:themeColor="text1"/>
        </w:rPr>
        <w:t>Data Source</w:t>
      </w:r>
    </w:p>
    <w:p w14:paraId="65642578" w14:textId="09D10273" w:rsidR="00704E6A" w:rsidRPr="005C29F8" w:rsidRDefault="00704E6A" w:rsidP="00286BDF">
      <w:pPr>
        <w:rPr>
          <w:rFonts w:cs="Arial"/>
          <w:color w:val="000000" w:themeColor="text1"/>
          <w:szCs w:val="16"/>
        </w:rPr>
      </w:pPr>
      <w:r w:rsidRPr="005C29F8">
        <w:rPr>
          <w:rFonts w:cs="Arial"/>
          <w:color w:val="000000" w:themeColor="text1"/>
          <w:szCs w:val="16"/>
          <w:shd w:val="clear" w:color="auto" w:fill="FFFFFF"/>
        </w:rPr>
        <w:t>Data to be taken from State monitoring or State data system.</w:t>
      </w:r>
    </w:p>
    <w:p w14:paraId="4DFE5EEF" w14:textId="77777777" w:rsidR="00704E6A" w:rsidRPr="005C29F8" w:rsidRDefault="00704E6A" w:rsidP="004369B2">
      <w:pPr>
        <w:rPr>
          <w:color w:val="000000" w:themeColor="text1"/>
        </w:rPr>
      </w:pPr>
      <w:r w:rsidRPr="005C29F8">
        <w:rPr>
          <w:b/>
          <w:color w:val="000000" w:themeColor="text1"/>
        </w:rPr>
        <w:t>Measurement</w:t>
      </w:r>
    </w:p>
    <w:p w14:paraId="577779AD" w14:textId="51863FF6" w:rsidR="00704E6A" w:rsidRPr="005C29F8" w:rsidRDefault="00A90E71" w:rsidP="006A01BD">
      <w:pPr>
        <w:spacing w:before="0" w:after="0"/>
        <w:rPr>
          <w:rFonts w:eastAsia="Times New Roman" w:cs="Arial"/>
          <w:color w:val="000000" w:themeColor="text1"/>
          <w:szCs w:val="16"/>
        </w:rPr>
      </w:pPr>
      <w:r w:rsidRPr="005C29F8">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5C29F8" w:rsidRDefault="00A90E71" w:rsidP="006A01BD">
      <w:pPr>
        <w:spacing w:before="0" w:after="0"/>
        <w:rPr>
          <w:rFonts w:eastAsia="Times New Roman" w:cs="Arial"/>
          <w:color w:val="000000" w:themeColor="text1"/>
          <w:szCs w:val="16"/>
        </w:rPr>
      </w:pPr>
      <w:r w:rsidRPr="005C29F8">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5C29F8" w:rsidRDefault="00A90E71" w:rsidP="006A01BD">
      <w:pPr>
        <w:spacing w:before="0" w:after="0"/>
        <w:rPr>
          <w:rFonts w:eastAsia="Times New Roman" w:cs="Arial"/>
          <w:color w:val="000000" w:themeColor="text1"/>
          <w:szCs w:val="16"/>
        </w:rPr>
      </w:pPr>
      <w:r w:rsidRPr="005C29F8">
        <w:rPr>
          <w:rFonts w:eastAsia="Times New Roman" w:cs="Arial"/>
          <w:color w:val="000000" w:themeColor="text1"/>
          <w:szCs w:val="16"/>
        </w:rPr>
        <w:tab/>
        <w:t>c. # of those found eligible who have an IEP developed and implemented by their third birthdays.</w:t>
      </w:r>
    </w:p>
    <w:p w14:paraId="43DE876C" w14:textId="58ABBAA9" w:rsidR="00704E6A" w:rsidRPr="005C29F8" w:rsidRDefault="00A90E71" w:rsidP="006A01BD">
      <w:pPr>
        <w:spacing w:before="0" w:after="0"/>
        <w:rPr>
          <w:rFonts w:eastAsia="Times New Roman" w:cs="Arial"/>
          <w:color w:val="000000" w:themeColor="text1"/>
          <w:szCs w:val="16"/>
        </w:rPr>
      </w:pPr>
      <w:r w:rsidRPr="005C29F8">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5C29F8">
        <w:rPr>
          <w:rFonts w:eastAsia="Times New Roman" w:cs="Arial"/>
          <w:color w:val="000000" w:themeColor="text1"/>
          <w:szCs w:val="16"/>
        </w:rPr>
        <w:tab/>
      </w:r>
      <w:r w:rsidR="00704E6A" w:rsidRPr="005C29F8">
        <w:rPr>
          <w:rFonts w:eastAsia="Times New Roman" w:cs="Arial"/>
          <w:color w:val="000000" w:themeColor="text1"/>
          <w:szCs w:val="16"/>
        </w:rPr>
        <w:t>§300.301(d) applied.</w:t>
      </w:r>
    </w:p>
    <w:p w14:paraId="4AFE260E" w14:textId="6A26A1CE" w:rsidR="00704E6A" w:rsidRPr="005C29F8" w:rsidRDefault="00A90E71" w:rsidP="006A01BD">
      <w:pPr>
        <w:spacing w:before="0" w:after="0"/>
        <w:rPr>
          <w:rFonts w:eastAsia="Times New Roman" w:cs="Arial"/>
          <w:color w:val="000000" w:themeColor="text1"/>
          <w:szCs w:val="16"/>
        </w:rPr>
      </w:pPr>
      <w:r w:rsidRPr="005C29F8">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5C29F8" w:rsidRDefault="00A90E71" w:rsidP="00A90E71">
      <w:pPr>
        <w:spacing w:before="0" w:after="0"/>
        <w:rPr>
          <w:rFonts w:eastAsia="Times New Roman" w:cs="Arial"/>
          <w:color w:val="000000" w:themeColor="text1"/>
          <w:szCs w:val="16"/>
        </w:rPr>
      </w:pPr>
      <w:r w:rsidRPr="005C29F8">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5C29F8">
        <w:rPr>
          <w:rFonts w:eastAsia="Times New Roman" w:cs="Arial"/>
          <w:color w:val="000000" w:themeColor="text1"/>
          <w:szCs w:val="16"/>
        </w:rPr>
        <w:tab/>
      </w:r>
      <w:r w:rsidR="00704E6A" w:rsidRPr="005C29F8">
        <w:rPr>
          <w:rFonts w:eastAsia="Times New Roman" w:cs="Arial"/>
          <w:color w:val="000000" w:themeColor="text1"/>
          <w:szCs w:val="16"/>
        </w:rPr>
        <w:t>CFR §303.211 or a similar State option.</w:t>
      </w:r>
    </w:p>
    <w:p w14:paraId="13DB13F0" w14:textId="77777777" w:rsidR="00A90E71" w:rsidRPr="005C29F8" w:rsidRDefault="00A90E71" w:rsidP="006A01BD">
      <w:pPr>
        <w:spacing w:before="0" w:after="0"/>
        <w:rPr>
          <w:rFonts w:eastAsia="Times New Roman" w:cs="Arial"/>
          <w:color w:val="000000" w:themeColor="text1"/>
          <w:szCs w:val="16"/>
        </w:rPr>
      </w:pPr>
    </w:p>
    <w:p w14:paraId="07549C8E" w14:textId="77777777" w:rsidR="00704E6A" w:rsidRPr="005C29F8" w:rsidRDefault="00704E6A" w:rsidP="006A01BD">
      <w:pPr>
        <w:spacing w:before="0" w:after="210"/>
        <w:rPr>
          <w:rFonts w:eastAsia="Times New Roman" w:cs="Arial"/>
          <w:color w:val="000000" w:themeColor="text1"/>
          <w:szCs w:val="16"/>
        </w:rPr>
      </w:pPr>
      <w:r w:rsidRPr="005C29F8">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5C29F8" w:rsidRDefault="00704E6A" w:rsidP="009447A3">
      <w:pPr>
        <w:spacing w:before="0" w:after="210"/>
        <w:rPr>
          <w:rFonts w:eastAsia="Times New Roman" w:cs="Arial"/>
          <w:color w:val="000000" w:themeColor="text1"/>
          <w:szCs w:val="16"/>
        </w:rPr>
      </w:pPr>
      <w:r w:rsidRPr="005C29F8">
        <w:rPr>
          <w:rFonts w:eastAsia="Times New Roman" w:cs="Arial"/>
          <w:color w:val="000000" w:themeColor="text1"/>
          <w:szCs w:val="16"/>
        </w:rPr>
        <w:t>Percent = [(c) divided by (a - b - d - e - f)] times 100.</w:t>
      </w:r>
    </w:p>
    <w:p w14:paraId="568E2452" w14:textId="77777777" w:rsidR="00704E6A" w:rsidRPr="005C29F8" w:rsidRDefault="00704E6A" w:rsidP="004369B2">
      <w:pPr>
        <w:rPr>
          <w:color w:val="000000" w:themeColor="text1"/>
        </w:rPr>
      </w:pPr>
      <w:r w:rsidRPr="005C29F8">
        <w:rPr>
          <w:b/>
          <w:color w:val="000000" w:themeColor="text1"/>
        </w:rPr>
        <w:t>Instructions</w:t>
      </w:r>
    </w:p>
    <w:p w14:paraId="26144B56" w14:textId="77777777" w:rsidR="00704E6A" w:rsidRPr="005C29F8" w:rsidRDefault="00704E6A" w:rsidP="00286BDF">
      <w:pPr>
        <w:rPr>
          <w:rFonts w:cs="Arial"/>
          <w:color w:val="000000" w:themeColor="text1"/>
          <w:szCs w:val="16"/>
        </w:rPr>
      </w:pPr>
      <w:r w:rsidRPr="005C29F8">
        <w:rPr>
          <w:rFonts w:cs="Arial"/>
          <w:color w:val="000000" w:themeColor="text1"/>
          <w:szCs w:val="16"/>
        </w:rPr>
        <w:t>If data are from State monitoring, describe the method used to select LEAs for monitoring. If data are from a State database, include data for the entire reporting year.</w:t>
      </w:r>
    </w:p>
    <w:p w14:paraId="739AF8C8" w14:textId="77777777" w:rsidR="00704E6A" w:rsidRPr="005C29F8" w:rsidRDefault="00704E6A" w:rsidP="00286BDF">
      <w:pPr>
        <w:rPr>
          <w:rFonts w:cs="Arial"/>
          <w:color w:val="000000" w:themeColor="text1"/>
          <w:szCs w:val="16"/>
        </w:rPr>
      </w:pPr>
      <w:r w:rsidRPr="005C29F8">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B4708FE" w14:textId="1FCE0034" w:rsidR="00704E6A" w:rsidRPr="005C29F8" w:rsidRDefault="00BA70F9" w:rsidP="00286BDF">
      <w:pPr>
        <w:rPr>
          <w:rFonts w:cs="Arial"/>
          <w:color w:val="000000" w:themeColor="text1"/>
          <w:szCs w:val="16"/>
        </w:rPr>
      </w:pPr>
      <w:r w:rsidRPr="005C29F8">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0F30C753" w14:textId="77777777" w:rsidR="00704E6A" w:rsidRPr="005C29F8" w:rsidRDefault="00704E6A" w:rsidP="00286BDF">
      <w:pPr>
        <w:rPr>
          <w:rFonts w:cs="Arial"/>
          <w:color w:val="000000" w:themeColor="text1"/>
          <w:szCs w:val="16"/>
        </w:rPr>
      </w:pPr>
      <w:r w:rsidRPr="005C29F8">
        <w:rPr>
          <w:rFonts w:cs="Arial"/>
          <w:color w:val="000000" w:themeColor="text1"/>
          <w:szCs w:val="16"/>
        </w:rPr>
        <w:t>Targets must be 100%.</w:t>
      </w:r>
    </w:p>
    <w:p w14:paraId="5D5B86D4" w14:textId="77777777" w:rsidR="00704E6A" w:rsidRPr="005C29F8" w:rsidRDefault="00704E6A" w:rsidP="00286BDF">
      <w:pPr>
        <w:rPr>
          <w:rFonts w:cs="Arial"/>
          <w:color w:val="000000" w:themeColor="text1"/>
          <w:szCs w:val="16"/>
        </w:rPr>
      </w:pPr>
      <w:r w:rsidRPr="005C29F8">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B505E64" w14:textId="560B2DD6" w:rsidR="00704E6A" w:rsidRPr="005C29F8" w:rsidRDefault="003A4027" w:rsidP="00286BDF">
      <w:pPr>
        <w:rPr>
          <w:rFonts w:cs="Arial"/>
          <w:color w:val="000000" w:themeColor="text1"/>
          <w:szCs w:val="16"/>
        </w:rPr>
      </w:pPr>
      <w:r w:rsidRPr="005C29F8">
        <w:rPr>
          <w:rFonts w:cs="Arial"/>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79824C1D" w14:textId="3C301685" w:rsidR="00FE7D29" w:rsidRPr="0033429D" w:rsidRDefault="00056350" w:rsidP="00123D76">
      <w:pPr>
        <w:pStyle w:val="Heading2"/>
      </w:pPr>
      <w:bookmarkStart w:id="68" w:name="_Toc384383359"/>
      <w:bookmarkStart w:id="69" w:name="_Toc392159327"/>
      <w:bookmarkEnd w:id="66"/>
      <w:bookmarkEnd w:id="67"/>
      <w:r w:rsidRPr="0033429D">
        <w:t>12</w:t>
      </w:r>
      <w:r w:rsidR="004838A4" w:rsidRPr="0033429D">
        <w:t xml:space="preserve"> </w:t>
      </w:r>
      <w:r w:rsidRPr="0033429D">
        <w:t xml:space="preserve">- </w:t>
      </w:r>
      <w:r w:rsidR="00211617" w:rsidRPr="0033429D">
        <w:t>Indicator Data</w:t>
      </w:r>
    </w:p>
    <w:p w14:paraId="0150EC4C" w14:textId="77777777" w:rsidR="0091098C" w:rsidRPr="005C29F8" w:rsidRDefault="0091098C" w:rsidP="004369B2">
      <w:pPr>
        <w:rPr>
          <w:color w:val="000000" w:themeColor="text1"/>
        </w:rPr>
      </w:pPr>
      <w:r w:rsidRPr="005C29F8">
        <w:rPr>
          <w:b/>
          <w:color w:val="000000" w:themeColor="text1"/>
        </w:rPr>
        <w:t>Not Applicable</w:t>
      </w:r>
    </w:p>
    <w:p w14:paraId="1844E5CA" w14:textId="6EC3A331" w:rsidR="00A5601C" w:rsidRPr="005C29F8" w:rsidRDefault="005D604C">
      <w:pPr>
        <w:rPr>
          <w:b/>
          <w:color w:val="000000" w:themeColor="text1"/>
        </w:rPr>
      </w:pPr>
      <w:r w:rsidRPr="005C29F8">
        <w:rPr>
          <w:b/>
          <w:color w:val="000000" w:themeColor="text1"/>
        </w:rPr>
        <w:t>Select yes if this indicator is not applicable.</w:t>
      </w:r>
    </w:p>
    <w:p w14:paraId="5B7EBB05" w14:textId="76B0BD88" w:rsidR="00043AC9" w:rsidRDefault="00043AC9" w:rsidP="004369B2">
      <w:pPr>
        <w:rPr>
          <w:rFonts w:cs="Arial"/>
          <w:color w:val="000000" w:themeColor="text1"/>
          <w:szCs w:val="16"/>
        </w:rPr>
      </w:pPr>
      <w:r w:rsidRPr="005C29F8">
        <w:rPr>
          <w:rFonts w:cs="Arial"/>
          <w:color w:val="000000" w:themeColor="text1"/>
          <w:szCs w:val="16"/>
        </w:rPr>
        <w:t>NO</w:t>
      </w:r>
    </w:p>
    <w:p w14:paraId="0D26312C" w14:textId="77777777" w:rsidR="00C50290" w:rsidRPr="005C29F8" w:rsidRDefault="00C50290" w:rsidP="004369B2">
      <w:pPr>
        <w:rPr>
          <w:color w:val="000000" w:themeColor="text1"/>
        </w:rPr>
      </w:pPr>
    </w:p>
    <w:p w14:paraId="71DDF5C0" w14:textId="3F9EB38B" w:rsidR="00EC46E4" w:rsidRDefault="00EC46E4" w:rsidP="004369B2">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14:paraId="056D9953" w14:textId="77777777" w:rsidTr="00123D76">
        <w:trPr>
          <w:trHeight w:val="311"/>
          <w:tblHeader/>
        </w:trPr>
        <w:tc>
          <w:tcPr>
            <w:tcW w:w="1797" w:type="dxa"/>
          </w:tcPr>
          <w:p w14:paraId="3B806594" w14:textId="77777777" w:rsidR="001875AF" w:rsidRDefault="001875AF" w:rsidP="00123D76">
            <w:pPr>
              <w:jc w:val="center"/>
              <w:rPr>
                <w:b/>
                <w:color w:val="000000" w:themeColor="text1"/>
              </w:rPr>
            </w:pPr>
            <w:r w:rsidRPr="005C29F8">
              <w:rPr>
                <w:rFonts w:cs="Arial"/>
                <w:b/>
                <w:color w:val="000000" w:themeColor="text1"/>
                <w:szCs w:val="16"/>
              </w:rPr>
              <w:t>Baseline Year</w:t>
            </w:r>
          </w:p>
        </w:tc>
        <w:tc>
          <w:tcPr>
            <w:tcW w:w="1798" w:type="dxa"/>
          </w:tcPr>
          <w:p w14:paraId="47C5AC3E" w14:textId="77777777" w:rsidR="001875AF" w:rsidRDefault="001875AF" w:rsidP="00123D76">
            <w:pPr>
              <w:jc w:val="center"/>
              <w:rPr>
                <w:b/>
                <w:color w:val="000000" w:themeColor="text1"/>
              </w:rPr>
            </w:pPr>
            <w:r>
              <w:rPr>
                <w:b/>
                <w:color w:val="000000" w:themeColor="text1"/>
              </w:rPr>
              <w:t>Baseline Data</w:t>
            </w:r>
          </w:p>
        </w:tc>
      </w:tr>
      <w:tr w:rsidR="001875AF" w14:paraId="693B925B" w14:textId="77777777" w:rsidTr="00123D76">
        <w:trPr>
          <w:trHeight w:val="311"/>
        </w:trPr>
        <w:tc>
          <w:tcPr>
            <w:tcW w:w="1797" w:type="dxa"/>
            <w:vAlign w:val="center"/>
          </w:tcPr>
          <w:p w14:paraId="589FAD9D" w14:textId="6C47315C" w:rsidR="001875AF" w:rsidRPr="00227D4B" w:rsidRDefault="001875AF" w:rsidP="00123D76">
            <w:pPr>
              <w:jc w:val="center"/>
              <w:rPr>
                <w:bCs/>
                <w:color w:val="000000" w:themeColor="text1"/>
              </w:rPr>
            </w:pPr>
            <w:r w:rsidRPr="00227D4B">
              <w:rPr>
                <w:bCs/>
                <w:color w:val="000000" w:themeColor="text1"/>
              </w:rPr>
              <w:t>2017</w:t>
            </w:r>
          </w:p>
        </w:tc>
        <w:tc>
          <w:tcPr>
            <w:tcW w:w="1798" w:type="dxa"/>
            <w:vAlign w:val="center"/>
          </w:tcPr>
          <w:p w14:paraId="00D43D2D" w14:textId="0C3ED28A" w:rsidR="001875AF" w:rsidRPr="00227D4B" w:rsidRDefault="001875AF" w:rsidP="00123D76">
            <w:pPr>
              <w:jc w:val="center"/>
              <w:rPr>
                <w:bCs/>
                <w:color w:val="000000" w:themeColor="text1"/>
              </w:rPr>
            </w:pPr>
            <w:r w:rsidRPr="00227D4B">
              <w:rPr>
                <w:bCs/>
                <w:color w:val="000000" w:themeColor="text1"/>
              </w:rPr>
              <w:t>92.12%</w:t>
            </w:r>
          </w:p>
        </w:tc>
      </w:tr>
    </w:tbl>
    <w:p w14:paraId="465AB33D" w14:textId="77777777" w:rsidR="001875AF" w:rsidRPr="005C29F8"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5C29F8" w14:paraId="641F8356" w14:textId="77777777" w:rsidTr="0033429D">
        <w:trPr>
          <w:trHeight w:val="350"/>
        </w:trPr>
        <w:tc>
          <w:tcPr>
            <w:tcW w:w="833" w:type="pct"/>
            <w:tcBorders>
              <w:bottom w:val="single" w:sz="4" w:space="0" w:color="auto"/>
            </w:tcBorders>
            <w:shd w:val="clear" w:color="auto" w:fill="auto"/>
          </w:tcPr>
          <w:bookmarkEnd w:id="68"/>
          <w:bookmarkEnd w:id="69"/>
          <w:p w14:paraId="5D9A28F2" w14:textId="77777777" w:rsidR="009447A3" w:rsidRPr="005C29F8" w:rsidRDefault="009447A3" w:rsidP="004369B2">
            <w:pPr>
              <w:jc w:val="center"/>
              <w:rPr>
                <w:rFonts w:cs="Arial"/>
                <w:b/>
                <w:color w:val="000000" w:themeColor="text1"/>
                <w:szCs w:val="16"/>
              </w:rPr>
            </w:pPr>
            <w:r w:rsidRPr="005C29F8">
              <w:rPr>
                <w:rFonts w:cs="Arial"/>
                <w:b/>
                <w:color w:val="000000" w:themeColor="text1"/>
                <w:szCs w:val="16"/>
              </w:rPr>
              <w:t>FFY</w:t>
            </w:r>
          </w:p>
        </w:tc>
        <w:tc>
          <w:tcPr>
            <w:tcW w:w="833" w:type="pct"/>
            <w:shd w:val="clear" w:color="auto" w:fill="auto"/>
          </w:tcPr>
          <w:p w14:paraId="7E21A227" w14:textId="61889525" w:rsidR="009447A3" w:rsidRPr="005C29F8" w:rsidRDefault="002B7490" w:rsidP="008E31C4">
            <w:pPr>
              <w:jc w:val="center"/>
              <w:rPr>
                <w:rFonts w:cs="Arial"/>
                <w:b/>
                <w:color w:val="000000" w:themeColor="text1"/>
                <w:szCs w:val="16"/>
              </w:rPr>
            </w:pPr>
            <w:r w:rsidRPr="005C29F8">
              <w:rPr>
                <w:rFonts w:cs="Arial"/>
                <w:b/>
                <w:color w:val="000000" w:themeColor="text1"/>
                <w:szCs w:val="16"/>
              </w:rPr>
              <w:t>2014</w:t>
            </w:r>
          </w:p>
        </w:tc>
        <w:tc>
          <w:tcPr>
            <w:tcW w:w="833" w:type="pct"/>
            <w:shd w:val="clear" w:color="auto" w:fill="auto"/>
          </w:tcPr>
          <w:p w14:paraId="6B56B4FE" w14:textId="34D3DC5E" w:rsidR="009447A3" w:rsidRPr="005C29F8" w:rsidRDefault="002B7490" w:rsidP="008E31C4">
            <w:pPr>
              <w:jc w:val="center"/>
              <w:rPr>
                <w:rFonts w:cs="Arial"/>
                <w:b/>
                <w:color w:val="000000" w:themeColor="text1"/>
                <w:szCs w:val="16"/>
              </w:rPr>
            </w:pPr>
            <w:r w:rsidRPr="005C29F8">
              <w:rPr>
                <w:rFonts w:cs="Arial"/>
                <w:b/>
                <w:color w:val="000000" w:themeColor="text1"/>
                <w:szCs w:val="16"/>
              </w:rPr>
              <w:t>2015</w:t>
            </w:r>
          </w:p>
        </w:tc>
        <w:tc>
          <w:tcPr>
            <w:tcW w:w="833" w:type="pct"/>
            <w:shd w:val="clear" w:color="auto" w:fill="auto"/>
          </w:tcPr>
          <w:p w14:paraId="786A53CE" w14:textId="3A94FF3D" w:rsidR="009447A3" w:rsidRPr="005C29F8" w:rsidRDefault="002B7490" w:rsidP="008E31C4">
            <w:pPr>
              <w:jc w:val="center"/>
              <w:rPr>
                <w:rFonts w:cs="Arial"/>
                <w:b/>
                <w:color w:val="000000" w:themeColor="text1"/>
                <w:szCs w:val="16"/>
              </w:rPr>
            </w:pPr>
            <w:r w:rsidRPr="005C29F8">
              <w:rPr>
                <w:rFonts w:cs="Arial"/>
                <w:b/>
                <w:color w:val="000000" w:themeColor="text1"/>
                <w:szCs w:val="16"/>
              </w:rPr>
              <w:t>2016</w:t>
            </w:r>
          </w:p>
        </w:tc>
        <w:tc>
          <w:tcPr>
            <w:tcW w:w="833" w:type="pct"/>
            <w:shd w:val="clear" w:color="auto" w:fill="auto"/>
          </w:tcPr>
          <w:p w14:paraId="221DF675" w14:textId="00A1F14E" w:rsidR="009447A3" w:rsidRPr="005C29F8" w:rsidRDefault="002B7490" w:rsidP="008E31C4">
            <w:pPr>
              <w:jc w:val="center"/>
              <w:rPr>
                <w:rFonts w:cs="Arial"/>
                <w:b/>
                <w:color w:val="000000" w:themeColor="text1"/>
                <w:szCs w:val="16"/>
              </w:rPr>
            </w:pPr>
            <w:r w:rsidRPr="005C29F8">
              <w:rPr>
                <w:rFonts w:cs="Arial"/>
                <w:b/>
                <w:color w:val="000000" w:themeColor="text1"/>
                <w:szCs w:val="16"/>
              </w:rPr>
              <w:t>2017</w:t>
            </w:r>
          </w:p>
        </w:tc>
        <w:tc>
          <w:tcPr>
            <w:tcW w:w="834" w:type="pct"/>
            <w:shd w:val="clear" w:color="auto" w:fill="auto"/>
          </w:tcPr>
          <w:p w14:paraId="72849A47" w14:textId="21327CD6" w:rsidR="009447A3" w:rsidRPr="005C29F8" w:rsidRDefault="002B7490" w:rsidP="008E31C4">
            <w:pPr>
              <w:jc w:val="center"/>
              <w:rPr>
                <w:rFonts w:cs="Arial"/>
                <w:b/>
                <w:color w:val="000000" w:themeColor="text1"/>
                <w:szCs w:val="16"/>
              </w:rPr>
            </w:pPr>
            <w:r w:rsidRPr="005C29F8">
              <w:rPr>
                <w:rFonts w:cs="Arial"/>
                <w:b/>
                <w:color w:val="000000" w:themeColor="text1"/>
                <w:szCs w:val="16"/>
              </w:rPr>
              <w:t>2018</w:t>
            </w:r>
          </w:p>
        </w:tc>
      </w:tr>
      <w:tr w:rsidR="005C29F8" w:rsidRPr="005C29F8" w14:paraId="1A3B7AC8" w14:textId="77777777" w:rsidTr="0033429D">
        <w:trPr>
          <w:trHeight w:val="357"/>
        </w:trPr>
        <w:tc>
          <w:tcPr>
            <w:tcW w:w="833" w:type="pct"/>
            <w:shd w:val="clear" w:color="auto" w:fill="auto"/>
          </w:tcPr>
          <w:p w14:paraId="27FE69AA" w14:textId="697900D5" w:rsidR="009447A3" w:rsidRPr="005C29F8" w:rsidRDefault="009447A3" w:rsidP="008E31C4">
            <w:pPr>
              <w:rPr>
                <w:rFonts w:cs="Arial"/>
                <w:color w:val="000000" w:themeColor="text1"/>
                <w:szCs w:val="16"/>
              </w:rPr>
            </w:pPr>
            <w:r w:rsidRPr="005C29F8">
              <w:rPr>
                <w:rFonts w:cs="Arial"/>
                <w:color w:val="000000" w:themeColor="text1"/>
                <w:szCs w:val="16"/>
              </w:rPr>
              <w:t>Target</w:t>
            </w:r>
          </w:p>
        </w:tc>
        <w:tc>
          <w:tcPr>
            <w:tcW w:w="833" w:type="pct"/>
            <w:shd w:val="clear" w:color="auto" w:fill="auto"/>
          </w:tcPr>
          <w:p w14:paraId="6628560E" w14:textId="0BC45703" w:rsidR="009447A3" w:rsidRPr="005C29F8" w:rsidRDefault="00B16A26" w:rsidP="003A4027">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347A32E0" w14:textId="064AD14E" w:rsidR="009447A3" w:rsidRPr="005C29F8" w:rsidRDefault="00B16A26" w:rsidP="003A4027">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4EFE8268" w14:textId="7F4C4E30" w:rsidR="009447A3" w:rsidRPr="005C29F8" w:rsidRDefault="00B16A26" w:rsidP="003A4027">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14DDB11E" w14:textId="2D6071C3" w:rsidR="009447A3" w:rsidRPr="005C29F8" w:rsidRDefault="00B16A26" w:rsidP="003A4027">
            <w:pPr>
              <w:jc w:val="center"/>
              <w:rPr>
                <w:rFonts w:cs="Arial"/>
                <w:color w:val="000000" w:themeColor="text1"/>
                <w:szCs w:val="16"/>
              </w:rPr>
            </w:pPr>
            <w:r w:rsidRPr="005C29F8">
              <w:rPr>
                <w:rFonts w:cs="Arial"/>
                <w:color w:val="000000" w:themeColor="text1"/>
                <w:szCs w:val="16"/>
              </w:rPr>
              <w:t>100%</w:t>
            </w:r>
          </w:p>
        </w:tc>
        <w:tc>
          <w:tcPr>
            <w:tcW w:w="834" w:type="pct"/>
            <w:shd w:val="clear" w:color="auto" w:fill="auto"/>
          </w:tcPr>
          <w:p w14:paraId="17E07D81" w14:textId="67F91616" w:rsidR="009447A3" w:rsidRPr="005C29F8" w:rsidRDefault="00B16A26" w:rsidP="003A4027">
            <w:pPr>
              <w:jc w:val="center"/>
              <w:rPr>
                <w:rFonts w:cs="Arial"/>
                <w:color w:val="000000" w:themeColor="text1"/>
                <w:szCs w:val="16"/>
              </w:rPr>
            </w:pPr>
            <w:r w:rsidRPr="005C29F8">
              <w:rPr>
                <w:rFonts w:cs="Arial"/>
                <w:color w:val="000000" w:themeColor="text1"/>
                <w:szCs w:val="16"/>
              </w:rPr>
              <w:t>100%</w:t>
            </w:r>
          </w:p>
        </w:tc>
      </w:tr>
      <w:tr w:rsidR="005C29F8" w:rsidRPr="005C29F8" w14:paraId="6BA24638" w14:textId="77777777" w:rsidTr="0033429D">
        <w:trPr>
          <w:trHeight w:val="85"/>
        </w:trPr>
        <w:tc>
          <w:tcPr>
            <w:tcW w:w="833" w:type="pct"/>
            <w:shd w:val="clear" w:color="auto" w:fill="auto"/>
          </w:tcPr>
          <w:p w14:paraId="76E217FB" w14:textId="77777777" w:rsidR="009447A3" w:rsidRPr="005C29F8" w:rsidRDefault="009447A3" w:rsidP="008E31C4">
            <w:pPr>
              <w:rPr>
                <w:rFonts w:cs="Arial"/>
                <w:color w:val="000000" w:themeColor="text1"/>
                <w:szCs w:val="16"/>
              </w:rPr>
            </w:pPr>
            <w:r w:rsidRPr="005C29F8">
              <w:rPr>
                <w:rFonts w:cs="Arial"/>
                <w:color w:val="000000" w:themeColor="text1"/>
                <w:szCs w:val="16"/>
              </w:rPr>
              <w:t>Data</w:t>
            </w:r>
          </w:p>
        </w:tc>
        <w:tc>
          <w:tcPr>
            <w:tcW w:w="833" w:type="pct"/>
            <w:shd w:val="clear" w:color="auto" w:fill="auto"/>
          </w:tcPr>
          <w:p w14:paraId="5ABEE368" w14:textId="7DA2F686" w:rsidR="009447A3" w:rsidRPr="005C29F8" w:rsidRDefault="002B7490" w:rsidP="003A4027">
            <w:pPr>
              <w:jc w:val="center"/>
              <w:rPr>
                <w:rFonts w:cs="Arial"/>
                <w:color w:val="000000" w:themeColor="text1"/>
                <w:szCs w:val="16"/>
              </w:rPr>
            </w:pPr>
            <w:r w:rsidRPr="005C29F8">
              <w:rPr>
                <w:rFonts w:cs="Arial"/>
                <w:color w:val="000000" w:themeColor="text1"/>
                <w:szCs w:val="16"/>
              </w:rPr>
              <w:t>100.00%</w:t>
            </w:r>
          </w:p>
        </w:tc>
        <w:tc>
          <w:tcPr>
            <w:tcW w:w="833" w:type="pct"/>
            <w:shd w:val="clear" w:color="auto" w:fill="auto"/>
          </w:tcPr>
          <w:p w14:paraId="6826E3EC" w14:textId="5DEFD785" w:rsidR="009447A3" w:rsidRPr="005C29F8" w:rsidRDefault="002B7490" w:rsidP="003A4027">
            <w:pPr>
              <w:jc w:val="center"/>
              <w:rPr>
                <w:rFonts w:cs="Arial"/>
                <w:color w:val="000000" w:themeColor="text1"/>
                <w:szCs w:val="16"/>
              </w:rPr>
            </w:pPr>
            <w:r w:rsidRPr="005C29F8">
              <w:rPr>
                <w:rFonts w:cs="Arial"/>
                <w:color w:val="000000" w:themeColor="text1"/>
                <w:szCs w:val="16"/>
              </w:rPr>
              <w:t>100.00%</w:t>
            </w:r>
          </w:p>
        </w:tc>
        <w:tc>
          <w:tcPr>
            <w:tcW w:w="833" w:type="pct"/>
            <w:tcBorders>
              <w:bottom w:val="single" w:sz="4" w:space="0" w:color="auto"/>
            </w:tcBorders>
            <w:shd w:val="clear" w:color="auto" w:fill="auto"/>
            <w:vAlign w:val="center"/>
          </w:tcPr>
          <w:p w14:paraId="3702B817" w14:textId="1114F76E" w:rsidR="009447A3" w:rsidRPr="005C29F8" w:rsidRDefault="002B7490" w:rsidP="003A4027">
            <w:pPr>
              <w:jc w:val="center"/>
              <w:rPr>
                <w:rFonts w:cs="Arial"/>
                <w:color w:val="000000" w:themeColor="text1"/>
                <w:szCs w:val="16"/>
              </w:rPr>
            </w:pPr>
            <w:r w:rsidRPr="005C29F8">
              <w:rPr>
                <w:rFonts w:cs="Arial"/>
                <w:color w:val="000000" w:themeColor="text1"/>
                <w:szCs w:val="16"/>
              </w:rPr>
              <w:t>99.17%</w:t>
            </w:r>
          </w:p>
        </w:tc>
        <w:tc>
          <w:tcPr>
            <w:tcW w:w="833" w:type="pct"/>
            <w:tcBorders>
              <w:bottom w:val="single" w:sz="4" w:space="0" w:color="auto"/>
            </w:tcBorders>
            <w:shd w:val="clear" w:color="auto" w:fill="auto"/>
            <w:vAlign w:val="center"/>
          </w:tcPr>
          <w:p w14:paraId="7E5D1EA5" w14:textId="75D6241E" w:rsidR="009447A3" w:rsidRPr="005C29F8" w:rsidRDefault="002B7490" w:rsidP="003A4027">
            <w:pPr>
              <w:jc w:val="center"/>
              <w:rPr>
                <w:rFonts w:cs="Arial"/>
                <w:color w:val="000000" w:themeColor="text1"/>
                <w:szCs w:val="16"/>
              </w:rPr>
            </w:pPr>
            <w:r w:rsidRPr="005C29F8">
              <w:rPr>
                <w:rFonts w:cs="Arial"/>
                <w:color w:val="000000" w:themeColor="text1"/>
                <w:szCs w:val="16"/>
              </w:rPr>
              <w:t>92.12%</w:t>
            </w:r>
          </w:p>
        </w:tc>
        <w:tc>
          <w:tcPr>
            <w:tcW w:w="834" w:type="pct"/>
            <w:tcBorders>
              <w:bottom w:val="single" w:sz="4" w:space="0" w:color="auto"/>
            </w:tcBorders>
            <w:shd w:val="clear" w:color="auto" w:fill="auto"/>
            <w:vAlign w:val="center"/>
          </w:tcPr>
          <w:p w14:paraId="556DAD68" w14:textId="7FC0436F" w:rsidR="009447A3" w:rsidRPr="005C29F8" w:rsidRDefault="002B7490" w:rsidP="003A4027">
            <w:pPr>
              <w:jc w:val="center"/>
              <w:rPr>
                <w:rFonts w:cs="Arial"/>
                <w:color w:val="000000" w:themeColor="text1"/>
                <w:szCs w:val="16"/>
              </w:rPr>
            </w:pPr>
            <w:r w:rsidRPr="005C29F8">
              <w:rPr>
                <w:rFonts w:cs="Arial"/>
                <w:color w:val="000000" w:themeColor="text1"/>
                <w:szCs w:val="16"/>
              </w:rPr>
              <w:t>82.93%</w:t>
            </w:r>
          </w:p>
        </w:tc>
      </w:tr>
    </w:tbl>
    <w:p w14:paraId="3BDF8559" w14:textId="77777777" w:rsidR="00D82883" w:rsidRPr="005C29F8" w:rsidRDefault="00D82883" w:rsidP="004369B2">
      <w:pPr>
        <w:rPr>
          <w:color w:val="000000" w:themeColor="text1"/>
        </w:rPr>
      </w:pPr>
    </w:p>
    <w:p w14:paraId="32D6DA70" w14:textId="38C36AA8" w:rsidR="007A3964" w:rsidRPr="005C29F8" w:rsidRDefault="007A3964" w:rsidP="004369B2">
      <w:pPr>
        <w:rPr>
          <w:color w:val="000000" w:themeColor="text1"/>
        </w:rPr>
      </w:pPr>
      <w:r w:rsidRPr="005C29F8">
        <w:rPr>
          <w:b/>
          <w:color w:val="000000" w:themeColor="text1"/>
        </w:rPr>
        <w:t>Targets</w:t>
      </w:r>
    </w:p>
    <w:tbl>
      <w:tblPr>
        <w:tblW w:w="1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2465"/>
      </w:tblGrid>
      <w:tr w:rsidR="00441578" w:rsidRPr="005C29F8" w14:paraId="41D3AE7A" w14:textId="77777777" w:rsidTr="0033429D">
        <w:trPr>
          <w:trHeight w:val="350"/>
        </w:trPr>
        <w:tc>
          <w:tcPr>
            <w:tcW w:w="1079" w:type="pct"/>
            <w:tcBorders>
              <w:bottom w:val="single" w:sz="4" w:space="0" w:color="auto"/>
            </w:tcBorders>
            <w:shd w:val="clear" w:color="auto" w:fill="auto"/>
          </w:tcPr>
          <w:p w14:paraId="7786D02D" w14:textId="77777777" w:rsidR="00441578" w:rsidRPr="005C29F8" w:rsidRDefault="00441578" w:rsidP="004369B2">
            <w:pPr>
              <w:jc w:val="center"/>
              <w:rPr>
                <w:b/>
                <w:color w:val="000000" w:themeColor="text1"/>
              </w:rPr>
            </w:pPr>
            <w:r w:rsidRPr="005C29F8">
              <w:rPr>
                <w:b/>
                <w:color w:val="000000" w:themeColor="text1"/>
              </w:rPr>
              <w:t>FFY</w:t>
            </w:r>
          </w:p>
        </w:tc>
        <w:tc>
          <w:tcPr>
            <w:tcW w:w="3921" w:type="pct"/>
            <w:shd w:val="clear" w:color="auto" w:fill="auto"/>
          </w:tcPr>
          <w:p w14:paraId="09ED5838" w14:textId="77777777" w:rsidR="00441578" w:rsidRPr="005C29F8" w:rsidRDefault="00441578" w:rsidP="004369B2">
            <w:pPr>
              <w:jc w:val="center"/>
              <w:rPr>
                <w:b/>
                <w:color w:val="000000" w:themeColor="text1"/>
              </w:rPr>
            </w:pPr>
            <w:r w:rsidRPr="005C29F8">
              <w:rPr>
                <w:b/>
                <w:color w:val="000000" w:themeColor="text1"/>
              </w:rPr>
              <w:t>2019</w:t>
            </w:r>
          </w:p>
        </w:tc>
      </w:tr>
      <w:tr w:rsidR="00441578" w:rsidRPr="005C29F8" w14:paraId="2B267817" w14:textId="77777777" w:rsidTr="00441578">
        <w:trPr>
          <w:trHeight w:val="357"/>
        </w:trPr>
        <w:tc>
          <w:tcPr>
            <w:tcW w:w="1079" w:type="pct"/>
            <w:shd w:val="clear" w:color="auto" w:fill="auto"/>
            <w:vAlign w:val="center"/>
          </w:tcPr>
          <w:p w14:paraId="70D956A8" w14:textId="77777777" w:rsidR="00441578" w:rsidRPr="005C29F8" w:rsidRDefault="00441578" w:rsidP="00D95C14">
            <w:pPr>
              <w:rPr>
                <w:rFonts w:cs="Arial"/>
                <w:color w:val="000000" w:themeColor="text1"/>
                <w:szCs w:val="16"/>
              </w:rPr>
            </w:pPr>
            <w:r w:rsidRPr="005C29F8">
              <w:rPr>
                <w:rFonts w:cs="Arial"/>
                <w:color w:val="000000" w:themeColor="text1"/>
                <w:szCs w:val="16"/>
              </w:rPr>
              <w:t xml:space="preserve">Target </w:t>
            </w:r>
          </w:p>
        </w:tc>
        <w:tc>
          <w:tcPr>
            <w:tcW w:w="3921" w:type="pct"/>
            <w:shd w:val="clear" w:color="auto" w:fill="auto"/>
            <w:vAlign w:val="center"/>
          </w:tcPr>
          <w:p w14:paraId="5CDE7127" w14:textId="59D1386F" w:rsidR="00441578" w:rsidRPr="005C29F8" w:rsidRDefault="00441578" w:rsidP="00D95C14">
            <w:pPr>
              <w:jc w:val="center"/>
              <w:rPr>
                <w:rFonts w:cs="Arial"/>
                <w:color w:val="000000" w:themeColor="text1"/>
                <w:szCs w:val="16"/>
              </w:rPr>
            </w:pPr>
            <w:r w:rsidRPr="005C29F8">
              <w:rPr>
                <w:rFonts w:cs="Arial"/>
                <w:color w:val="000000" w:themeColor="text1"/>
                <w:szCs w:val="16"/>
              </w:rPr>
              <w:t>100%</w:t>
            </w:r>
          </w:p>
        </w:tc>
      </w:tr>
    </w:tbl>
    <w:p w14:paraId="1AD7361B" w14:textId="77777777" w:rsidR="00D82883" w:rsidRPr="005C29F8" w:rsidRDefault="00D82883" w:rsidP="004369B2">
      <w:pPr>
        <w:rPr>
          <w:color w:val="000000" w:themeColor="text1"/>
        </w:rPr>
      </w:pPr>
    </w:p>
    <w:p w14:paraId="4C8DD49F" w14:textId="05EA45B6" w:rsidR="00634AD8" w:rsidRPr="005C29F8" w:rsidRDefault="00EC46E4" w:rsidP="004369B2">
      <w:pPr>
        <w:rPr>
          <w:color w:val="000000" w:themeColor="text1"/>
        </w:rPr>
      </w:pPr>
      <w:r w:rsidRPr="005C29F8">
        <w:rPr>
          <w:b/>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5C29F8" w14:paraId="5DD64811" w14:textId="77777777" w:rsidTr="009D3860">
        <w:trPr>
          <w:trHeight w:val="350"/>
        </w:trPr>
        <w:tc>
          <w:tcPr>
            <w:tcW w:w="4335" w:type="pct"/>
          </w:tcPr>
          <w:p w14:paraId="7822AF5A" w14:textId="77777777" w:rsidR="00634AD8" w:rsidRPr="005C29F8" w:rsidRDefault="00634AD8" w:rsidP="003E65F5">
            <w:pPr>
              <w:rPr>
                <w:rFonts w:cs="Arial"/>
                <w:color w:val="000000" w:themeColor="text1"/>
                <w:szCs w:val="16"/>
              </w:rPr>
            </w:pPr>
            <w:r w:rsidRPr="005C29F8">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5C29F8" w:rsidRDefault="002B7490" w:rsidP="00A018D4">
            <w:pPr>
              <w:jc w:val="center"/>
              <w:rPr>
                <w:rFonts w:cs="Arial"/>
                <w:color w:val="000000" w:themeColor="text1"/>
                <w:szCs w:val="16"/>
              </w:rPr>
            </w:pPr>
            <w:r w:rsidRPr="005C29F8">
              <w:rPr>
                <w:rFonts w:cs="Arial"/>
                <w:color w:val="000000" w:themeColor="text1"/>
                <w:szCs w:val="16"/>
              </w:rPr>
              <w:t>342</w:t>
            </w:r>
          </w:p>
        </w:tc>
      </w:tr>
      <w:tr w:rsidR="005C29F8" w:rsidRPr="005C29F8" w14:paraId="6497A162" w14:textId="77777777" w:rsidTr="009D3860">
        <w:trPr>
          <w:trHeight w:val="357"/>
        </w:trPr>
        <w:tc>
          <w:tcPr>
            <w:tcW w:w="4335" w:type="pct"/>
          </w:tcPr>
          <w:p w14:paraId="00979D87" w14:textId="77777777" w:rsidR="00634AD8" w:rsidRPr="005C29F8" w:rsidRDefault="00634AD8" w:rsidP="003E65F5">
            <w:pPr>
              <w:rPr>
                <w:rFonts w:cs="Arial"/>
                <w:color w:val="000000" w:themeColor="text1"/>
                <w:szCs w:val="16"/>
              </w:rPr>
            </w:pPr>
            <w:r w:rsidRPr="005C29F8">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5C29F8" w:rsidRDefault="002B7490" w:rsidP="00A018D4">
            <w:pPr>
              <w:jc w:val="center"/>
              <w:rPr>
                <w:rFonts w:cs="Arial"/>
                <w:color w:val="000000" w:themeColor="text1"/>
                <w:szCs w:val="16"/>
              </w:rPr>
            </w:pPr>
            <w:r w:rsidRPr="005C29F8">
              <w:rPr>
                <w:rFonts w:cs="Arial"/>
                <w:color w:val="000000" w:themeColor="text1"/>
                <w:szCs w:val="16"/>
              </w:rPr>
              <w:t>51</w:t>
            </w:r>
          </w:p>
        </w:tc>
      </w:tr>
      <w:tr w:rsidR="005C29F8" w:rsidRPr="005C29F8" w14:paraId="3372C19D" w14:textId="77777777" w:rsidTr="009D3860">
        <w:trPr>
          <w:trHeight w:val="357"/>
        </w:trPr>
        <w:tc>
          <w:tcPr>
            <w:tcW w:w="4335" w:type="pct"/>
          </w:tcPr>
          <w:p w14:paraId="2817071E" w14:textId="77777777" w:rsidR="00634AD8" w:rsidRPr="005C29F8" w:rsidRDefault="00634AD8" w:rsidP="003E65F5">
            <w:pPr>
              <w:rPr>
                <w:rFonts w:cs="Arial"/>
                <w:color w:val="000000" w:themeColor="text1"/>
                <w:szCs w:val="16"/>
              </w:rPr>
            </w:pPr>
            <w:r w:rsidRPr="005C29F8">
              <w:rPr>
                <w:rFonts w:cs="Arial"/>
                <w:color w:val="000000" w:themeColor="text1"/>
                <w:szCs w:val="16"/>
              </w:rPr>
              <w:lastRenderedPageBreak/>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5C29F8" w:rsidRDefault="002B7490" w:rsidP="00A018D4">
            <w:pPr>
              <w:jc w:val="center"/>
              <w:rPr>
                <w:rFonts w:cs="Arial"/>
                <w:color w:val="000000" w:themeColor="text1"/>
                <w:szCs w:val="16"/>
              </w:rPr>
            </w:pPr>
            <w:r w:rsidRPr="005C29F8">
              <w:rPr>
                <w:rFonts w:cs="Arial"/>
                <w:color w:val="000000" w:themeColor="text1"/>
                <w:szCs w:val="16"/>
              </w:rPr>
              <w:t>71</w:t>
            </w:r>
          </w:p>
        </w:tc>
      </w:tr>
      <w:tr w:rsidR="005C29F8" w:rsidRPr="005C29F8" w14:paraId="00CE41C8" w14:textId="77777777" w:rsidTr="009D3860">
        <w:trPr>
          <w:trHeight w:val="357"/>
        </w:trPr>
        <w:tc>
          <w:tcPr>
            <w:tcW w:w="4335" w:type="pct"/>
          </w:tcPr>
          <w:p w14:paraId="547A75A2" w14:textId="77777777" w:rsidR="00634AD8" w:rsidRPr="005C29F8" w:rsidRDefault="00634AD8" w:rsidP="003E65F5">
            <w:pPr>
              <w:rPr>
                <w:rFonts w:cs="Arial"/>
                <w:color w:val="000000" w:themeColor="text1"/>
                <w:szCs w:val="16"/>
              </w:rPr>
            </w:pPr>
            <w:r w:rsidRPr="005C29F8">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5C29F8" w:rsidRDefault="002B7490" w:rsidP="00A018D4">
            <w:pPr>
              <w:jc w:val="center"/>
              <w:rPr>
                <w:rFonts w:cs="Arial"/>
                <w:color w:val="000000" w:themeColor="text1"/>
                <w:szCs w:val="16"/>
              </w:rPr>
            </w:pPr>
            <w:r w:rsidRPr="005C29F8">
              <w:rPr>
                <w:rFonts w:cs="Arial"/>
                <w:color w:val="000000" w:themeColor="text1"/>
                <w:szCs w:val="16"/>
              </w:rPr>
              <w:t>182</w:t>
            </w:r>
          </w:p>
        </w:tc>
      </w:tr>
      <w:tr w:rsidR="005C29F8" w:rsidRPr="005C29F8" w14:paraId="47C8B30F" w14:textId="77777777" w:rsidTr="009D3860">
        <w:trPr>
          <w:trHeight w:val="357"/>
        </w:trPr>
        <w:tc>
          <w:tcPr>
            <w:tcW w:w="4335" w:type="pct"/>
          </w:tcPr>
          <w:p w14:paraId="03BE3AC0" w14:textId="77777777" w:rsidR="00634AD8" w:rsidRPr="005C29F8" w:rsidRDefault="00634AD8" w:rsidP="003E65F5">
            <w:pPr>
              <w:rPr>
                <w:rFonts w:cs="Arial"/>
                <w:color w:val="000000" w:themeColor="text1"/>
                <w:szCs w:val="16"/>
              </w:rPr>
            </w:pPr>
            <w:r w:rsidRPr="005C29F8">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5C29F8" w:rsidRDefault="002B7490" w:rsidP="00A018D4">
            <w:pPr>
              <w:jc w:val="center"/>
              <w:rPr>
                <w:rFonts w:cs="Arial"/>
                <w:color w:val="000000" w:themeColor="text1"/>
                <w:szCs w:val="16"/>
              </w:rPr>
            </w:pPr>
            <w:r w:rsidRPr="005C29F8">
              <w:rPr>
                <w:rFonts w:cs="Arial"/>
                <w:color w:val="000000" w:themeColor="text1"/>
                <w:szCs w:val="16"/>
              </w:rPr>
              <w:t>11</w:t>
            </w:r>
          </w:p>
        </w:tc>
      </w:tr>
      <w:tr w:rsidR="004E67B3" w:rsidRPr="005C29F8" w14:paraId="19297440" w14:textId="77777777" w:rsidTr="009D3860">
        <w:trPr>
          <w:trHeight w:val="357"/>
        </w:trPr>
        <w:tc>
          <w:tcPr>
            <w:tcW w:w="4335" w:type="pct"/>
          </w:tcPr>
          <w:p w14:paraId="592F3289" w14:textId="43CA733D" w:rsidR="004E67B3" w:rsidRPr="005C29F8" w:rsidRDefault="004E67B3" w:rsidP="003E65F5">
            <w:pPr>
              <w:rPr>
                <w:rFonts w:cs="Arial"/>
                <w:color w:val="000000" w:themeColor="text1"/>
                <w:szCs w:val="16"/>
              </w:rPr>
            </w:pPr>
            <w:r w:rsidRPr="005C29F8">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5C29F8" w:rsidRDefault="002B7490" w:rsidP="00A018D4">
            <w:pPr>
              <w:jc w:val="center"/>
              <w:rPr>
                <w:rFonts w:cs="Arial"/>
                <w:color w:val="000000" w:themeColor="text1"/>
                <w:szCs w:val="16"/>
              </w:rPr>
            </w:pPr>
            <w:r w:rsidRPr="005C29F8">
              <w:rPr>
                <w:rFonts w:cs="Arial"/>
                <w:color w:val="000000" w:themeColor="text1"/>
                <w:szCs w:val="16"/>
              </w:rPr>
              <w:t>0</w:t>
            </w:r>
          </w:p>
        </w:tc>
      </w:tr>
    </w:tbl>
    <w:p w14:paraId="798A2079" w14:textId="77777777" w:rsidR="00634AD8" w:rsidRPr="005C29F8"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5C29F8" w:rsidRPr="005C29F8" w14:paraId="666B6B4E" w14:textId="2C1DC9A0" w:rsidTr="00AB0D6A">
        <w:trPr>
          <w:trHeight w:val="340"/>
          <w:tblHeader/>
        </w:trPr>
        <w:tc>
          <w:tcPr>
            <w:tcW w:w="831" w:type="pct"/>
            <w:shd w:val="clear" w:color="auto" w:fill="auto"/>
          </w:tcPr>
          <w:p w14:paraId="5A0321EA" w14:textId="34C57852" w:rsidR="00704E6A" w:rsidRPr="0033429D" w:rsidRDefault="00694A39" w:rsidP="009447A3">
            <w:pPr>
              <w:rPr>
                <w:rFonts w:cs="Arial"/>
                <w:b/>
                <w:bCs/>
                <w:color w:val="000000" w:themeColor="text1"/>
                <w:szCs w:val="16"/>
              </w:rPr>
            </w:pPr>
            <w:r w:rsidRPr="0033429D">
              <w:rPr>
                <w:rFonts w:cs="Arial"/>
                <w:b/>
                <w:bCs/>
                <w:color w:val="000000" w:themeColor="text1"/>
                <w:szCs w:val="16"/>
              </w:rPr>
              <w:t>Measure</w:t>
            </w:r>
          </w:p>
        </w:tc>
        <w:tc>
          <w:tcPr>
            <w:tcW w:w="595" w:type="pct"/>
            <w:shd w:val="clear" w:color="auto" w:fill="auto"/>
          </w:tcPr>
          <w:p w14:paraId="45390059" w14:textId="77777777" w:rsidR="00704E6A" w:rsidRPr="005C29F8" w:rsidRDefault="00704E6A" w:rsidP="00681BA6">
            <w:pPr>
              <w:jc w:val="center"/>
              <w:rPr>
                <w:rFonts w:cs="Arial"/>
                <w:b/>
                <w:color w:val="000000" w:themeColor="text1"/>
                <w:szCs w:val="16"/>
              </w:rPr>
            </w:pPr>
            <w:r w:rsidRPr="005C29F8">
              <w:rPr>
                <w:rFonts w:cs="Arial"/>
                <w:b/>
                <w:color w:val="000000" w:themeColor="text1"/>
                <w:szCs w:val="16"/>
              </w:rPr>
              <w:t>Numerator (c)</w:t>
            </w:r>
          </w:p>
        </w:tc>
        <w:tc>
          <w:tcPr>
            <w:tcW w:w="595" w:type="pct"/>
            <w:shd w:val="clear" w:color="auto" w:fill="auto"/>
          </w:tcPr>
          <w:p w14:paraId="46860D80" w14:textId="77777777" w:rsidR="00704E6A" w:rsidRPr="005C29F8" w:rsidRDefault="00704E6A" w:rsidP="00681BA6">
            <w:pPr>
              <w:jc w:val="center"/>
              <w:rPr>
                <w:rFonts w:cs="Arial"/>
                <w:b/>
                <w:color w:val="000000" w:themeColor="text1"/>
                <w:szCs w:val="16"/>
              </w:rPr>
            </w:pPr>
            <w:r w:rsidRPr="005C29F8">
              <w:rPr>
                <w:rFonts w:cs="Arial"/>
                <w:b/>
                <w:color w:val="000000" w:themeColor="text1"/>
                <w:szCs w:val="16"/>
              </w:rPr>
              <w:t>Denominator (a-b-d-e-f)</w:t>
            </w:r>
          </w:p>
        </w:tc>
        <w:tc>
          <w:tcPr>
            <w:tcW w:w="595" w:type="pct"/>
            <w:shd w:val="clear" w:color="auto" w:fill="auto"/>
          </w:tcPr>
          <w:p w14:paraId="58F547FF" w14:textId="79B19B38" w:rsidR="00704E6A" w:rsidRPr="005C29F8" w:rsidRDefault="001111BE" w:rsidP="00681BA6">
            <w:pPr>
              <w:jc w:val="center"/>
              <w:rPr>
                <w:rFonts w:cs="Arial"/>
                <w:b/>
                <w:color w:val="000000" w:themeColor="text1"/>
                <w:szCs w:val="16"/>
              </w:rPr>
            </w:pPr>
            <w:r w:rsidRPr="005C29F8">
              <w:rPr>
                <w:rFonts w:cs="Arial"/>
                <w:b/>
                <w:color w:val="000000" w:themeColor="text1"/>
                <w:szCs w:val="16"/>
              </w:rPr>
              <w:t>FFY 2018 Data</w:t>
            </w:r>
          </w:p>
        </w:tc>
        <w:tc>
          <w:tcPr>
            <w:tcW w:w="595" w:type="pct"/>
            <w:shd w:val="clear" w:color="auto" w:fill="auto"/>
          </w:tcPr>
          <w:p w14:paraId="36BD2BCA" w14:textId="2D9CAD8E" w:rsidR="00704E6A" w:rsidRPr="005C29F8" w:rsidRDefault="00704E6A" w:rsidP="00681BA6">
            <w:pPr>
              <w:jc w:val="center"/>
              <w:rPr>
                <w:rFonts w:cs="Arial"/>
                <w:b/>
                <w:color w:val="000000" w:themeColor="text1"/>
                <w:szCs w:val="16"/>
              </w:rPr>
            </w:pPr>
            <w:r w:rsidRPr="005C29F8">
              <w:rPr>
                <w:rFonts w:cs="Arial"/>
                <w:b/>
                <w:color w:val="000000" w:themeColor="text1"/>
                <w:szCs w:val="16"/>
              </w:rPr>
              <w:t>FFY 2019 Target</w:t>
            </w:r>
          </w:p>
        </w:tc>
        <w:tc>
          <w:tcPr>
            <w:tcW w:w="595" w:type="pct"/>
            <w:shd w:val="clear" w:color="auto" w:fill="auto"/>
          </w:tcPr>
          <w:p w14:paraId="0030B6C4" w14:textId="6EBADDF3" w:rsidR="00704E6A" w:rsidRPr="005C29F8" w:rsidRDefault="00704E6A" w:rsidP="00681BA6">
            <w:pPr>
              <w:jc w:val="center"/>
              <w:rPr>
                <w:rFonts w:cs="Arial"/>
                <w:b/>
                <w:color w:val="000000" w:themeColor="text1"/>
                <w:szCs w:val="16"/>
              </w:rPr>
            </w:pPr>
            <w:r w:rsidRPr="005C29F8">
              <w:rPr>
                <w:rFonts w:cs="Arial"/>
                <w:b/>
                <w:color w:val="000000" w:themeColor="text1"/>
                <w:szCs w:val="16"/>
              </w:rPr>
              <w:t>FFY 2019 Data</w:t>
            </w:r>
          </w:p>
        </w:tc>
        <w:tc>
          <w:tcPr>
            <w:tcW w:w="595" w:type="pct"/>
            <w:shd w:val="clear" w:color="auto" w:fill="auto"/>
          </w:tcPr>
          <w:p w14:paraId="16905A6D" w14:textId="19A3632B" w:rsidR="00704E6A" w:rsidRPr="005C29F8" w:rsidRDefault="00704E6A" w:rsidP="00681BA6">
            <w:pPr>
              <w:jc w:val="center"/>
              <w:rPr>
                <w:rFonts w:cs="Arial"/>
                <w:b/>
                <w:color w:val="000000" w:themeColor="text1"/>
                <w:szCs w:val="16"/>
              </w:rPr>
            </w:pPr>
            <w:r w:rsidRPr="005C29F8">
              <w:rPr>
                <w:rFonts w:cs="Arial"/>
                <w:b/>
                <w:color w:val="000000" w:themeColor="text1"/>
                <w:szCs w:val="16"/>
              </w:rPr>
              <w:t>Status</w:t>
            </w:r>
          </w:p>
        </w:tc>
        <w:tc>
          <w:tcPr>
            <w:tcW w:w="596" w:type="pct"/>
            <w:shd w:val="clear" w:color="auto" w:fill="auto"/>
          </w:tcPr>
          <w:p w14:paraId="0DCCD9DE" w14:textId="3F28AD62" w:rsidR="00704E6A" w:rsidRPr="005C29F8" w:rsidRDefault="00704E6A" w:rsidP="00681BA6">
            <w:pPr>
              <w:jc w:val="center"/>
              <w:rPr>
                <w:rFonts w:cs="Arial"/>
                <w:b/>
                <w:color w:val="000000" w:themeColor="text1"/>
                <w:szCs w:val="16"/>
              </w:rPr>
            </w:pPr>
            <w:r w:rsidRPr="005C29F8">
              <w:rPr>
                <w:rFonts w:cs="Arial"/>
                <w:b/>
                <w:color w:val="000000" w:themeColor="text1"/>
                <w:szCs w:val="16"/>
              </w:rPr>
              <w:t>Slippage</w:t>
            </w:r>
          </w:p>
        </w:tc>
      </w:tr>
      <w:tr w:rsidR="005C29F8" w:rsidRPr="005C29F8" w14:paraId="1F7C0EED" w14:textId="06CECBDB" w:rsidTr="00AB0D6A">
        <w:trPr>
          <w:trHeight w:val="347"/>
        </w:trPr>
        <w:tc>
          <w:tcPr>
            <w:tcW w:w="831" w:type="pct"/>
            <w:shd w:val="clear" w:color="auto" w:fill="auto"/>
          </w:tcPr>
          <w:p w14:paraId="42006EF2" w14:textId="30F01538" w:rsidR="009447A3" w:rsidRPr="005C29F8" w:rsidRDefault="00616BA4" w:rsidP="009447A3">
            <w:pPr>
              <w:rPr>
                <w:rFonts w:cs="Arial"/>
                <w:color w:val="000000" w:themeColor="text1"/>
                <w:szCs w:val="16"/>
              </w:rPr>
            </w:pPr>
            <w:r w:rsidRPr="005C29F8">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5C29F8" w:rsidRDefault="00FA318E" w:rsidP="004369B2">
            <w:pPr>
              <w:jc w:val="center"/>
              <w:rPr>
                <w:rFonts w:cs="Arial"/>
                <w:color w:val="000000" w:themeColor="text1"/>
                <w:szCs w:val="16"/>
              </w:rPr>
            </w:pPr>
            <w:r>
              <w:rPr>
                <w:rFonts w:cs="Arial"/>
                <w:color w:val="000000" w:themeColor="text1"/>
                <w:szCs w:val="16"/>
              </w:rPr>
              <w:t>71</w:t>
            </w:r>
          </w:p>
        </w:tc>
        <w:tc>
          <w:tcPr>
            <w:tcW w:w="595" w:type="pct"/>
            <w:shd w:val="clear" w:color="auto" w:fill="auto"/>
            <w:vAlign w:val="center"/>
          </w:tcPr>
          <w:p w14:paraId="7A8E33C9" w14:textId="2CE029E7" w:rsidR="009447A3" w:rsidRPr="005C29F8" w:rsidRDefault="00FA318E" w:rsidP="004369B2">
            <w:pPr>
              <w:jc w:val="center"/>
              <w:rPr>
                <w:rFonts w:cs="Arial"/>
                <w:color w:val="000000" w:themeColor="text1"/>
                <w:szCs w:val="16"/>
              </w:rPr>
            </w:pPr>
            <w:r w:rsidRPr="00FA318E">
              <w:rPr>
                <w:rFonts w:cs="Arial"/>
                <w:color w:val="000000" w:themeColor="text1"/>
                <w:szCs w:val="16"/>
              </w:rPr>
              <w:t>98</w:t>
            </w:r>
          </w:p>
        </w:tc>
        <w:tc>
          <w:tcPr>
            <w:tcW w:w="595" w:type="pct"/>
            <w:shd w:val="clear" w:color="auto" w:fill="auto"/>
            <w:vAlign w:val="center"/>
          </w:tcPr>
          <w:p w14:paraId="7A618E17" w14:textId="730CF37E" w:rsidR="009447A3" w:rsidRPr="005C29F8" w:rsidRDefault="002B7490" w:rsidP="004369B2">
            <w:pPr>
              <w:jc w:val="center"/>
              <w:rPr>
                <w:rFonts w:cs="Arial"/>
                <w:color w:val="000000" w:themeColor="text1"/>
                <w:szCs w:val="16"/>
              </w:rPr>
            </w:pPr>
            <w:r w:rsidRPr="005C29F8">
              <w:rPr>
                <w:rFonts w:cs="Arial"/>
                <w:color w:val="000000" w:themeColor="text1"/>
                <w:szCs w:val="16"/>
              </w:rPr>
              <w:t>82.93%</w:t>
            </w:r>
          </w:p>
        </w:tc>
        <w:tc>
          <w:tcPr>
            <w:tcW w:w="595" w:type="pct"/>
            <w:shd w:val="clear" w:color="auto" w:fill="auto"/>
            <w:vAlign w:val="center"/>
          </w:tcPr>
          <w:p w14:paraId="173DD24A" w14:textId="02E11A38" w:rsidR="009447A3" w:rsidRPr="005C29F8" w:rsidRDefault="00B16A26" w:rsidP="004369B2">
            <w:pPr>
              <w:jc w:val="center"/>
              <w:rPr>
                <w:rFonts w:cs="Arial"/>
                <w:color w:val="000000" w:themeColor="text1"/>
                <w:szCs w:val="16"/>
              </w:rPr>
            </w:pPr>
            <w:r w:rsidRPr="005C29F8">
              <w:rPr>
                <w:rFonts w:cs="Arial"/>
                <w:color w:val="000000" w:themeColor="text1"/>
                <w:szCs w:val="16"/>
              </w:rPr>
              <w:t>100%</w:t>
            </w:r>
          </w:p>
        </w:tc>
        <w:tc>
          <w:tcPr>
            <w:tcW w:w="595" w:type="pct"/>
            <w:shd w:val="clear" w:color="auto" w:fill="auto"/>
            <w:vAlign w:val="center"/>
          </w:tcPr>
          <w:p w14:paraId="1BEC9517" w14:textId="612C62AC" w:rsidR="009447A3" w:rsidRPr="005C29F8" w:rsidRDefault="002B7490" w:rsidP="004369B2">
            <w:pPr>
              <w:jc w:val="center"/>
              <w:rPr>
                <w:rFonts w:cs="Arial"/>
                <w:color w:val="000000" w:themeColor="text1"/>
                <w:szCs w:val="16"/>
              </w:rPr>
            </w:pPr>
            <w:r w:rsidRPr="005C29F8">
              <w:rPr>
                <w:rFonts w:cs="Arial"/>
                <w:color w:val="000000" w:themeColor="text1"/>
                <w:szCs w:val="16"/>
              </w:rPr>
              <w:t>72.45%</w:t>
            </w:r>
          </w:p>
        </w:tc>
        <w:tc>
          <w:tcPr>
            <w:tcW w:w="595" w:type="pct"/>
            <w:shd w:val="clear" w:color="auto" w:fill="auto"/>
            <w:vAlign w:val="center"/>
          </w:tcPr>
          <w:p w14:paraId="35C0024C" w14:textId="6347E5FC" w:rsidR="009447A3" w:rsidRPr="005C29F8" w:rsidRDefault="002B7490" w:rsidP="004369B2">
            <w:pPr>
              <w:jc w:val="center"/>
              <w:rPr>
                <w:rFonts w:cs="Arial"/>
                <w:color w:val="000000" w:themeColor="text1"/>
                <w:szCs w:val="16"/>
              </w:rPr>
            </w:pPr>
            <w:r w:rsidRPr="005C29F8">
              <w:rPr>
                <w:rFonts w:cs="Arial"/>
                <w:color w:val="000000" w:themeColor="text1"/>
                <w:szCs w:val="16"/>
              </w:rPr>
              <w:t>Did Not Meet Target</w:t>
            </w:r>
          </w:p>
        </w:tc>
        <w:tc>
          <w:tcPr>
            <w:tcW w:w="596" w:type="pct"/>
            <w:shd w:val="clear" w:color="auto" w:fill="auto"/>
            <w:vAlign w:val="center"/>
          </w:tcPr>
          <w:p w14:paraId="466F387F" w14:textId="652A9CC9" w:rsidR="009447A3" w:rsidRPr="005C29F8" w:rsidRDefault="002B7490" w:rsidP="004369B2">
            <w:pPr>
              <w:jc w:val="center"/>
              <w:rPr>
                <w:rFonts w:cs="Arial"/>
                <w:color w:val="000000" w:themeColor="text1"/>
                <w:szCs w:val="16"/>
              </w:rPr>
            </w:pPr>
            <w:r w:rsidRPr="005C29F8">
              <w:rPr>
                <w:rFonts w:cs="Arial"/>
                <w:color w:val="000000" w:themeColor="text1"/>
                <w:szCs w:val="16"/>
              </w:rPr>
              <w:t>Slippage</w:t>
            </w:r>
          </w:p>
        </w:tc>
      </w:tr>
    </w:tbl>
    <w:p w14:paraId="6E881701" w14:textId="244CA8FB" w:rsidR="001F2870" w:rsidRPr="005C29F8" w:rsidRDefault="00326C0B" w:rsidP="001F2870">
      <w:pPr>
        <w:rPr>
          <w:rFonts w:cs="Arial"/>
          <w:b/>
          <w:color w:val="000000" w:themeColor="text1"/>
          <w:szCs w:val="16"/>
        </w:rPr>
      </w:pPr>
      <w:r w:rsidRPr="005C29F8">
        <w:rPr>
          <w:rFonts w:cs="Arial"/>
          <w:b/>
          <w:color w:val="000000" w:themeColor="text1"/>
          <w:szCs w:val="16"/>
        </w:rPr>
        <w:t>Provide reasons for slippage, if applicable</w:t>
      </w:r>
    </w:p>
    <w:p w14:paraId="534101C3" w14:textId="6012D052" w:rsidR="00326C0B" w:rsidRDefault="002B7490" w:rsidP="007D435F">
      <w:pPr>
        <w:rPr>
          <w:rFonts w:cs="Arial"/>
          <w:color w:val="000000" w:themeColor="text1"/>
          <w:szCs w:val="16"/>
        </w:rPr>
      </w:pPr>
      <w:r w:rsidRPr="005C29F8">
        <w:rPr>
          <w:rFonts w:cs="Arial"/>
          <w:color w:val="000000" w:themeColor="text1"/>
          <w:szCs w:val="16"/>
        </w:rPr>
        <w:t xml:space="preserve">MA DESE is reporting a slippage in the percentage of children referred from Part C prior to age 3 who are found eligible for Part B, and who have an IEP developed and implemented by their third birthday. It seems reasonable to infer that programming adjustments due to COVID-19 during the latter part of the 2018-19 school year -- State-mandated LEA and school closures, providing services to children remotely when buildings were closed -- may have had an impact on eligibility determination, IEP development and implementation for FFY 2019. </w:t>
      </w:r>
      <w:r w:rsidRPr="005C29F8">
        <w:rPr>
          <w:rFonts w:cs="Arial"/>
          <w:color w:val="000000" w:themeColor="text1"/>
          <w:szCs w:val="16"/>
        </w:rPr>
        <w:br/>
        <w:t>With regard to COVID-19 specifically, the potential impact on data completeness, validity, and reliability have all been considered. In terms of data completeness, the number of districts reporting was stable. As such, completeness is not perceived to be a factor. Furthermore, the validity of the data were not likely impacted, as districts are required to provide an explanation for the reported delays.</w:t>
      </w:r>
      <w:r w:rsidRPr="005C29F8">
        <w:rPr>
          <w:rFonts w:cs="Arial"/>
          <w:color w:val="000000" w:themeColor="text1"/>
          <w:szCs w:val="16"/>
        </w:rPr>
        <w:br/>
        <w:t xml:space="preserve">In terms of reliability, data collection processes from January through March 2020 differed from prior years due to State mandated LEA and school closures, building closures and remote service delivery. Specifically, beginning in mid to late February, district teams’ ability to convene meetings, complete assessments, access to all prior assessments/ documentation, and conduct face to face meetings with students and families may all have been affected to some extent. Therefore, it is reasonable to suggest that the overall reliability of the measure compared to prior years may have been impacted by the COVID-19 modifications. </w:t>
      </w:r>
      <w:r w:rsidRPr="005C29F8">
        <w:rPr>
          <w:rFonts w:cs="Arial"/>
          <w:color w:val="000000" w:themeColor="text1"/>
          <w:szCs w:val="16"/>
        </w:rPr>
        <w:br/>
        <w:t xml:space="preserve">To help mitigate these impacts, MA DESE moved quickly to offer guidance via departmental FAQs and links to practical resources such as ECTA’s guidance for conducting remote assessments and virtual meetings, extended deadlines for data submission on a case-by-case basis, and provided technical assistance to districts via phone and email throughout the process. </w:t>
      </w:r>
      <w:r w:rsidRPr="005C29F8">
        <w:rPr>
          <w:rFonts w:cs="Arial"/>
          <w:color w:val="000000" w:themeColor="text1"/>
          <w:szCs w:val="16"/>
        </w:rPr>
        <w:br/>
        <w:t>Additionally, MA DESE worked closely with the Massachusetts Department of Public Health (DPH) to provide consistency in guidance and technical assistance to Early Intervention (EI) providers and LEAs. To further mitigate potential gaps in services, work across Secretariats to ensured the continuation of EI services for children potentially eligible for Early Childhood Special Education through October 15, 2020. MA DESE has identified 36 student records that reflect the continuation of EI services through October 15, 2020. These records have been removed from the data set due to the continuation of EI services.</w:t>
      </w:r>
    </w:p>
    <w:p w14:paraId="0416C2F1" w14:textId="4E2D4957" w:rsidR="00A5601C" w:rsidRPr="005C29F8" w:rsidRDefault="00A5601C" w:rsidP="007D435F">
      <w:pPr>
        <w:rPr>
          <w:rFonts w:cs="Arial"/>
          <w:b/>
          <w:color w:val="000000" w:themeColor="text1"/>
          <w:szCs w:val="16"/>
        </w:rPr>
      </w:pPr>
      <w:r w:rsidRPr="005C29F8">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5C29F8" w:rsidRDefault="00A5601C" w:rsidP="007D435F">
      <w:pPr>
        <w:rPr>
          <w:rFonts w:cs="Arial"/>
          <w:color w:val="000000" w:themeColor="text1"/>
          <w:szCs w:val="16"/>
        </w:rPr>
      </w:pPr>
      <w:r w:rsidRPr="005C29F8">
        <w:rPr>
          <w:rFonts w:cs="Arial"/>
          <w:color w:val="000000" w:themeColor="text1"/>
          <w:szCs w:val="16"/>
        </w:rPr>
        <w:t>27</w:t>
      </w:r>
    </w:p>
    <w:p w14:paraId="2DB77447" w14:textId="5C5B3699" w:rsidR="00E418E6" w:rsidRPr="005C29F8" w:rsidRDefault="00326C0B" w:rsidP="006A01BD">
      <w:pPr>
        <w:rPr>
          <w:b/>
          <w:color w:val="000000" w:themeColor="text1"/>
        </w:rPr>
      </w:pPr>
      <w:r w:rsidRPr="005C29F8">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5C29F8" w:rsidRDefault="002B7490" w:rsidP="006A01BD">
      <w:pPr>
        <w:rPr>
          <w:bCs/>
          <w:color w:val="000000" w:themeColor="text1"/>
        </w:rPr>
      </w:pPr>
      <w:r w:rsidRPr="005C29F8">
        <w:rPr>
          <w:bCs/>
          <w:color w:val="000000" w:themeColor="text1"/>
        </w:rPr>
        <w:t>Twenty-seven student records reflected delays in eligibility determination, IEP development, and/or IEP implementation beyond the child's third birthday. The</w:t>
      </w:r>
      <w:r w:rsidRPr="005C29F8">
        <w:rPr>
          <w:bCs/>
          <w:color w:val="000000" w:themeColor="text1"/>
        </w:rPr>
        <w:br/>
        <w:t>table attached lists, for each record for which MA DESE identified noncompliance, the number of days following the child’s third birthday that the LEA</w:t>
      </w:r>
      <w:r w:rsidRPr="005C29F8">
        <w:rPr>
          <w:bCs/>
          <w:color w:val="000000" w:themeColor="text1"/>
        </w:rPr>
        <w:br/>
        <w:t>implemented the IEP, and the reason(s) for the delay in implementation reported by the LEA. It is important to note that State mandated LEA and school closure due to the COVID19 health crisis, delays in reopening schools, and establishing remote learning and hybrid learning schedules impacted data collection activities but there does not seem to be an impact on findings of noncompliance.</w:t>
      </w:r>
      <w:r w:rsidRPr="005C29F8">
        <w:rPr>
          <w:bCs/>
          <w:color w:val="000000" w:themeColor="text1"/>
        </w:rPr>
        <w:br/>
        <w:t>MA DESE issued letters of finding to seven LEAs on the basis of these 27 student records where either eligibility was not determined until after the child's</w:t>
      </w:r>
      <w:r w:rsidRPr="005C29F8">
        <w:rPr>
          <w:bCs/>
          <w:color w:val="000000" w:themeColor="text1"/>
        </w:rPr>
        <w:br/>
        <w:t xml:space="preserve">third birthday and/or an IEP was not developed and implemented by the child's third birthday. </w:t>
      </w:r>
      <w:r w:rsidRPr="005C29F8">
        <w:rPr>
          <w:bCs/>
          <w:color w:val="000000" w:themeColor="text1"/>
        </w:rPr>
        <w:br/>
        <w:t>Through this process to date, LEAs with identified noncompliance are currently developing and implementing their comprehensive corrective action plans, and/or submitting subsequent data to the MA DESE to demonstrate compliance with regulatory requirements. Corrective action activities and demonstration of compliance through MA DESE’s analysis of subsequent LEA data sets are set to be completed within one year of the state’s finding of noncompliance.</w:t>
      </w:r>
      <w:r w:rsidRPr="005C29F8">
        <w:rPr>
          <w:bCs/>
          <w:color w:val="000000" w:themeColor="text1"/>
        </w:rPr>
        <w:br/>
        <w:t>DESE has identified 36 student records that reflect the continuation of EI services through October 15, 2020. These records have been removed from the data set due to the continuation of EI services.</w:t>
      </w:r>
    </w:p>
    <w:p w14:paraId="4BE9E8DB" w14:textId="127EF17F" w:rsidR="00A5601C" w:rsidRPr="005C29F8" w:rsidRDefault="00326C0B" w:rsidP="006A01BD">
      <w:pPr>
        <w:rPr>
          <w:b/>
          <w:color w:val="000000" w:themeColor="text1"/>
        </w:rPr>
      </w:pPr>
      <w:r w:rsidRPr="005C29F8">
        <w:rPr>
          <w:b/>
          <w:color w:val="000000" w:themeColor="text1"/>
        </w:rPr>
        <w:t>Attach PDF table (optional)</w:t>
      </w:r>
    </w:p>
    <w:p w14:paraId="79E6A8DD" w14:textId="2B03416C" w:rsidR="00326C0B" w:rsidRPr="00C34F6D" w:rsidRDefault="002B7490" w:rsidP="006A01BD">
      <w:pPr>
        <w:rPr>
          <w:bCs/>
          <w:color w:val="000000" w:themeColor="text1"/>
        </w:rPr>
      </w:pPr>
      <w:bookmarkStart w:id="70" w:name="_Hlk20318414"/>
      <w:r w:rsidRPr="00C34F6D">
        <w:rPr>
          <w:bCs/>
          <w:color w:val="000000" w:themeColor="text1"/>
        </w:rPr>
        <w:t>Indicator 12_data_delays_FFY2019</w:t>
      </w:r>
      <w:bookmarkEnd w:id="70"/>
    </w:p>
    <w:p w14:paraId="5E057416" w14:textId="77777777" w:rsidR="00A5601C" w:rsidRPr="005C29F8" w:rsidRDefault="009447A3">
      <w:pPr>
        <w:rPr>
          <w:b/>
          <w:color w:val="000000" w:themeColor="text1"/>
        </w:rPr>
      </w:pPr>
      <w:r w:rsidRPr="005C29F8">
        <w:rPr>
          <w:b/>
          <w:color w:val="000000" w:themeColor="text1"/>
        </w:rPr>
        <w:t>What is the source of the data provided for this indicator?</w:t>
      </w:r>
    </w:p>
    <w:p w14:paraId="50B7435C" w14:textId="024484CA" w:rsidR="009447A3" w:rsidRDefault="002B7490" w:rsidP="004369B2">
      <w:pPr>
        <w:rPr>
          <w:color w:val="000000" w:themeColor="text1"/>
        </w:rPr>
      </w:pPr>
      <w:r w:rsidRPr="005C29F8">
        <w:rPr>
          <w:color w:val="000000" w:themeColor="text1"/>
        </w:rPr>
        <w:t>State monitoring</w:t>
      </w:r>
    </w:p>
    <w:p w14:paraId="4558F99F" w14:textId="77777777" w:rsidR="009447A3" w:rsidRPr="005C29F8" w:rsidRDefault="009447A3" w:rsidP="004369B2">
      <w:pPr>
        <w:rPr>
          <w:b/>
          <w:color w:val="000000" w:themeColor="text1"/>
        </w:rPr>
      </w:pPr>
      <w:r w:rsidRPr="005C29F8">
        <w:rPr>
          <w:b/>
          <w:color w:val="000000" w:themeColor="text1"/>
        </w:rPr>
        <w:t xml:space="preserve">Describe the method used to collect these data, and if data are from the State’s monitoring, describe the procedures used to collect these data. </w:t>
      </w:r>
    </w:p>
    <w:p w14:paraId="6C2B5D1A" w14:textId="61019073" w:rsidR="00326C0B" w:rsidRDefault="002B7490" w:rsidP="008E31C4">
      <w:pPr>
        <w:rPr>
          <w:rFonts w:cs="Arial"/>
          <w:color w:val="000000" w:themeColor="text1"/>
          <w:szCs w:val="16"/>
        </w:rPr>
      </w:pPr>
      <w:r w:rsidRPr="005C29F8">
        <w:rPr>
          <w:rFonts w:cs="Arial"/>
          <w:color w:val="000000" w:themeColor="text1"/>
          <w:szCs w:val="16"/>
        </w:rPr>
        <w:t>FFY 2019 Indicator 12 data activities were managed by the MA DESE office of Public School Monitoring as part of the Tiered Focused Monitoring (TFM)</w:t>
      </w:r>
      <w:r w:rsidRPr="005C29F8">
        <w:rPr>
          <w:rFonts w:cs="Arial"/>
          <w:color w:val="000000" w:themeColor="text1"/>
          <w:szCs w:val="16"/>
        </w:rPr>
        <w:br/>
        <w:t>review process. For Indicator 12 reporting, LEAs use a SmartForm created by MA DESE that contains the following data points: dates of referral,</w:t>
      </w:r>
      <w:r w:rsidRPr="005C29F8">
        <w:rPr>
          <w:rFonts w:cs="Arial"/>
          <w:color w:val="000000" w:themeColor="text1"/>
          <w:szCs w:val="16"/>
        </w:rPr>
        <w:br/>
        <w:t>evaluation, IEP Team meeting, and written consent for services received, as well as information about reasons for delay, if any. For the FFY 2019</w:t>
      </w:r>
      <w:r w:rsidRPr="005C29F8">
        <w:rPr>
          <w:rFonts w:cs="Arial"/>
          <w:color w:val="000000" w:themeColor="text1"/>
          <w:szCs w:val="16"/>
        </w:rPr>
        <w:br/>
        <w:t>reporting period, participating LEAs were required to report data and referrals from EI, eligibility determination and IEP implementation for children</w:t>
      </w:r>
      <w:r w:rsidRPr="005C29F8">
        <w:rPr>
          <w:rFonts w:cs="Arial"/>
          <w:color w:val="000000" w:themeColor="text1"/>
          <w:szCs w:val="16"/>
        </w:rPr>
        <w:br/>
        <w:t>turning three in January, February, and March of 2020.</w:t>
      </w:r>
    </w:p>
    <w:p w14:paraId="6353DD92" w14:textId="77777777" w:rsidR="00E46206" w:rsidRPr="005C29F8" w:rsidRDefault="00E46206" w:rsidP="00E46206">
      <w:pPr>
        <w:rPr>
          <w:rFonts w:cs="Arial"/>
          <w:b/>
          <w:color w:val="000000" w:themeColor="text1"/>
          <w:szCs w:val="16"/>
        </w:rPr>
      </w:pPr>
      <w:r w:rsidRPr="005C29F8">
        <w:rPr>
          <w:rFonts w:cs="Arial"/>
          <w:b/>
          <w:color w:val="000000" w:themeColor="text1"/>
          <w:szCs w:val="16"/>
        </w:rPr>
        <w:lastRenderedPageBreak/>
        <w:t>Provide additional information about this indicator (optional)</w:t>
      </w:r>
    </w:p>
    <w:p w14:paraId="7201221D" w14:textId="686A034C" w:rsidR="00326C0B" w:rsidRPr="005C29F8" w:rsidRDefault="002B7490" w:rsidP="007D435F">
      <w:pPr>
        <w:rPr>
          <w:rFonts w:cs="Arial"/>
          <w:color w:val="000000" w:themeColor="text1"/>
          <w:szCs w:val="16"/>
        </w:rPr>
      </w:pPr>
      <w:r w:rsidRPr="005C29F8">
        <w:rPr>
          <w:rFonts w:cs="Arial"/>
          <w:color w:val="000000" w:themeColor="text1"/>
          <w:szCs w:val="16"/>
        </w:rPr>
        <w:t>Using a cycle of continuous improvement, MA DESE continues to work closely with MA DPH - the lead agency for IDEA Part C – and the MA</w:t>
      </w:r>
      <w:r w:rsidRPr="005C29F8">
        <w:rPr>
          <w:rFonts w:cs="Arial"/>
          <w:color w:val="000000" w:themeColor="text1"/>
          <w:szCs w:val="16"/>
        </w:rPr>
        <w:br/>
        <w:t>Department of Early Education and Care (EEC) to monitor data and design appropriate improvement activities based on the needs in the State. The</w:t>
      </w:r>
      <w:r w:rsidRPr="005C29F8">
        <w:rPr>
          <w:rFonts w:cs="Arial"/>
          <w:color w:val="000000" w:themeColor="text1"/>
          <w:szCs w:val="16"/>
        </w:rPr>
        <w:br/>
        <w:t>agencies collaborate to provide training and technical assistance using Technical Assistance Advisory SPED 2019-1: Transition from Early Intervention</w:t>
      </w:r>
      <w:r w:rsidRPr="005C29F8">
        <w:rPr>
          <w:rFonts w:cs="Arial"/>
          <w:color w:val="000000" w:themeColor="text1"/>
          <w:szCs w:val="16"/>
        </w:rPr>
        <w:br/>
        <w:t>Programs to Early Childhood Special Education (http://www.doe.mass.edu/sped/advisories/2019-1ta.html).</w:t>
      </w:r>
      <w:r w:rsidRPr="005C29F8">
        <w:rPr>
          <w:rFonts w:cs="Arial"/>
          <w:color w:val="000000" w:themeColor="text1"/>
          <w:szCs w:val="16"/>
        </w:rPr>
        <w:br/>
        <w:t>MA DESE continues to evaluate its own policies and procedures related to Indicator 12 to consider what additional actions are needed to decrease the</w:t>
      </w:r>
      <w:r w:rsidRPr="005C29F8">
        <w:rPr>
          <w:rFonts w:cs="Arial"/>
          <w:color w:val="000000" w:themeColor="text1"/>
          <w:szCs w:val="16"/>
        </w:rPr>
        <w:br/>
        <w:t>number of allowable delays included in “d” of the data calculation. MA DESE will continue to offer targeted technical assistance in cooperation with DPH</w:t>
      </w:r>
      <w:r w:rsidRPr="005C29F8">
        <w:rPr>
          <w:rFonts w:cs="Arial"/>
          <w:color w:val="000000" w:themeColor="text1"/>
          <w:szCs w:val="16"/>
        </w:rPr>
        <w:br/>
        <w:t>and EEC. Members of the Early Childhood Transition Stakeholder group have worked with the state's Regional Consultation Programs (RCPs) to present the Technical Assistance Advisory at meetings across the state. The RCPs were developed to help families access additional services for children enrolled in EI who have complex medical needs or multiple disabilities. They have established partnerships with LEAs, EI programs and Community -based programs.</w:t>
      </w:r>
    </w:p>
    <w:p w14:paraId="4E94D02C" w14:textId="77777777" w:rsidR="009C5AE7" w:rsidRPr="005C29F8" w:rsidRDefault="009C5AE7" w:rsidP="004369B2">
      <w:pPr>
        <w:rPr>
          <w:color w:val="000000" w:themeColor="text1"/>
        </w:rPr>
      </w:pPr>
    </w:p>
    <w:p w14:paraId="7740DC21" w14:textId="11E1AA6B" w:rsidR="009A755E" w:rsidRPr="005C29F8" w:rsidRDefault="009A755E" w:rsidP="004369B2">
      <w:pPr>
        <w:rPr>
          <w:color w:val="000000" w:themeColor="text1"/>
        </w:rPr>
      </w:pPr>
      <w:r w:rsidRPr="005C29F8">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5C29F8" w14:paraId="716024C7" w14:textId="77777777" w:rsidTr="00455889">
        <w:trPr>
          <w:trHeight w:val="389"/>
          <w:tblHeader/>
        </w:trPr>
        <w:tc>
          <w:tcPr>
            <w:tcW w:w="1228" w:type="pct"/>
            <w:shd w:val="clear" w:color="auto" w:fill="auto"/>
            <w:vAlign w:val="bottom"/>
          </w:tcPr>
          <w:p w14:paraId="0E49E3D0"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5362EE0E" w14:textId="77777777" w:rsidTr="00455889">
        <w:tc>
          <w:tcPr>
            <w:tcW w:w="1228" w:type="pct"/>
            <w:shd w:val="clear" w:color="auto" w:fill="auto"/>
          </w:tcPr>
          <w:p w14:paraId="106FED18" w14:textId="3538FD80" w:rsidR="009A755E" w:rsidRPr="005C29F8" w:rsidRDefault="002B7490" w:rsidP="00A018D4">
            <w:pPr>
              <w:jc w:val="center"/>
              <w:rPr>
                <w:rFonts w:cs="Arial"/>
                <w:color w:val="000000" w:themeColor="text1"/>
                <w:szCs w:val="16"/>
              </w:rPr>
            </w:pPr>
            <w:r w:rsidRPr="005C29F8">
              <w:rPr>
                <w:rFonts w:cs="Arial"/>
                <w:color w:val="000000" w:themeColor="text1"/>
                <w:szCs w:val="16"/>
              </w:rPr>
              <w:t>3</w:t>
            </w:r>
          </w:p>
        </w:tc>
        <w:tc>
          <w:tcPr>
            <w:tcW w:w="1288" w:type="pct"/>
            <w:shd w:val="clear" w:color="auto" w:fill="auto"/>
          </w:tcPr>
          <w:p w14:paraId="30E75C81" w14:textId="5263D718" w:rsidR="009A755E" w:rsidRPr="005C29F8" w:rsidRDefault="002B7490" w:rsidP="00A018D4">
            <w:pPr>
              <w:jc w:val="center"/>
              <w:rPr>
                <w:rFonts w:cs="Arial"/>
                <w:color w:val="000000" w:themeColor="text1"/>
                <w:szCs w:val="16"/>
              </w:rPr>
            </w:pPr>
            <w:r w:rsidRPr="005C29F8">
              <w:rPr>
                <w:rFonts w:cs="Arial"/>
                <w:color w:val="000000" w:themeColor="text1"/>
                <w:szCs w:val="16"/>
              </w:rPr>
              <w:t>1</w:t>
            </w:r>
          </w:p>
        </w:tc>
        <w:tc>
          <w:tcPr>
            <w:tcW w:w="1231" w:type="pct"/>
            <w:shd w:val="clear" w:color="auto" w:fill="auto"/>
          </w:tcPr>
          <w:p w14:paraId="36D48FD7" w14:textId="2F6E80E6" w:rsidR="009A755E" w:rsidRPr="005C29F8" w:rsidRDefault="002B7490" w:rsidP="00A018D4">
            <w:pPr>
              <w:jc w:val="center"/>
              <w:rPr>
                <w:rFonts w:cs="Arial"/>
                <w:color w:val="000000" w:themeColor="text1"/>
                <w:szCs w:val="16"/>
              </w:rPr>
            </w:pPr>
            <w:r w:rsidRPr="005C29F8">
              <w:rPr>
                <w:rFonts w:cs="Arial"/>
                <w:color w:val="000000" w:themeColor="text1"/>
                <w:szCs w:val="16"/>
              </w:rPr>
              <w:t>2</w:t>
            </w:r>
          </w:p>
        </w:tc>
        <w:tc>
          <w:tcPr>
            <w:tcW w:w="1254" w:type="pct"/>
            <w:shd w:val="clear" w:color="auto" w:fill="auto"/>
          </w:tcPr>
          <w:p w14:paraId="139EEFD1" w14:textId="6A5591D3" w:rsidR="009A755E" w:rsidRPr="005C29F8" w:rsidRDefault="002B7490" w:rsidP="00A018D4">
            <w:pPr>
              <w:jc w:val="center"/>
              <w:rPr>
                <w:rFonts w:cs="Arial"/>
                <w:color w:val="000000" w:themeColor="text1"/>
                <w:szCs w:val="16"/>
              </w:rPr>
            </w:pPr>
            <w:r w:rsidRPr="005C29F8">
              <w:rPr>
                <w:rFonts w:cs="Arial"/>
                <w:color w:val="000000" w:themeColor="text1"/>
                <w:szCs w:val="16"/>
              </w:rPr>
              <w:t>0</w:t>
            </w:r>
          </w:p>
        </w:tc>
      </w:tr>
    </w:tbl>
    <w:p w14:paraId="155373B8" w14:textId="19537728" w:rsidR="009A755E" w:rsidRPr="005C29F8" w:rsidRDefault="00062E68" w:rsidP="004369B2">
      <w:pPr>
        <w:rPr>
          <w:color w:val="000000" w:themeColor="text1"/>
        </w:rPr>
      </w:pPr>
      <w:r w:rsidRPr="005C29F8">
        <w:rPr>
          <w:b/>
          <w:color w:val="000000" w:themeColor="text1"/>
        </w:rPr>
        <w:t>FFY 2018 Findings of Noncompliance Verified as Corrected</w:t>
      </w:r>
    </w:p>
    <w:p w14:paraId="3D8B0B26" w14:textId="565C69B4" w:rsidR="009A755E" w:rsidRPr="005C29F8" w:rsidRDefault="009A755E" w:rsidP="009A755E">
      <w:pPr>
        <w:rPr>
          <w:rFonts w:cs="Arial"/>
          <w:b/>
          <w:color w:val="000000" w:themeColor="text1"/>
          <w:szCs w:val="16"/>
        </w:rPr>
      </w:pPr>
      <w:r w:rsidRPr="005C29F8">
        <w:rPr>
          <w:rFonts w:cs="Arial"/>
          <w:b/>
          <w:color w:val="000000" w:themeColor="text1"/>
          <w:szCs w:val="16"/>
        </w:rPr>
        <w:t xml:space="preserve">Describe how the State verified that the source of noncompliance is correctly implementing the </w:t>
      </w:r>
      <w:r w:rsidRPr="005C29F8">
        <w:rPr>
          <w:rFonts w:cs="Arial"/>
          <w:b/>
          <w:i/>
          <w:color w:val="000000" w:themeColor="text1"/>
          <w:szCs w:val="16"/>
        </w:rPr>
        <w:t>regulatory requirements</w:t>
      </w:r>
    </w:p>
    <w:p w14:paraId="7669CC58" w14:textId="38E853B3" w:rsidR="00326C0B" w:rsidRPr="005C29F8" w:rsidRDefault="002B7490" w:rsidP="009A755E">
      <w:pPr>
        <w:rPr>
          <w:rFonts w:cs="Arial"/>
          <w:color w:val="000000" w:themeColor="text1"/>
          <w:szCs w:val="16"/>
        </w:rPr>
      </w:pPr>
      <w:r w:rsidRPr="005C29F8">
        <w:rPr>
          <w:rFonts w:cs="Arial"/>
          <w:color w:val="000000" w:themeColor="text1"/>
          <w:szCs w:val="16"/>
        </w:rPr>
        <w:t>In FFY 2018, MA DESE determined that 3 LEAs did not meet compliance for 14 children for Indicator 12. The agency notified each LEA and required</w:t>
      </w:r>
      <w:r w:rsidRPr="005C29F8">
        <w:rPr>
          <w:rFonts w:cs="Arial"/>
          <w:color w:val="000000" w:themeColor="text1"/>
          <w:szCs w:val="16"/>
        </w:rPr>
        <w:br/>
        <w:t>the LEAs to create focused Corrective Action Plans that included:</w:t>
      </w:r>
      <w:r w:rsidRPr="005C29F8">
        <w:rPr>
          <w:rFonts w:cs="Arial"/>
          <w:color w:val="000000" w:themeColor="text1"/>
          <w:szCs w:val="16"/>
        </w:rPr>
        <w:br/>
        <w:t>• Assessment of the LEA early childhood special education referral and evaluation data and procedures to identify the root causes of noncompliance.</w:t>
      </w:r>
      <w:r w:rsidRPr="005C29F8">
        <w:rPr>
          <w:rFonts w:cs="Arial"/>
          <w:color w:val="000000" w:themeColor="text1"/>
          <w:szCs w:val="16"/>
        </w:rPr>
        <w:br/>
        <w:t>This included a review of local policies, practices, and procedures for transition from Part C to Part B, and consideration of what additional steps must be</w:t>
      </w:r>
      <w:r w:rsidRPr="005C29F8">
        <w:rPr>
          <w:rFonts w:cs="Arial"/>
          <w:color w:val="000000" w:themeColor="text1"/>
          <w:szCs w:val="16"/>
        </w:rPr>
        <w:br/>
        <w:t>taken to demonstrate that, for children referred from EI, evaluations are completed and IEPs for eligible children are developed and services are</w:t>
      </w:r>
      <w:r w:rsidRPr="005C29F8">
        <w:rPr>
          <w:rFonts w:cs="Arial"/>
          <w:color w:val="000000" w:themeColor="text1"/>
          <w:szCs w:val="16"/>
        </w:rPr>
        <w:br/>
        <w:t>implemented by the children’s third birthday.</w:t>
      </w:r>
      <w:r w:rsidRPr="005C29F8">
        <w:rPr>
          <w:rFonts w:cs="Arial"/>
          <w:color w:val="000000" w:themeColor="text1"/>
          <w:szCs w:val="16"/>
        </w:rPr>
        <w:br/>
        <w:t>• A summary of the LEA's early childhood transition scheduling policy.</w:t>
      </w:r>
      <w:r w:rsidRPr="005C29F8">
        <w:rPr>
          <w:rFonts w:cs="Arial"/>
          <w:color w:val="000000" w:themeColor="text1"/>
          <w:szCs w:val="16"/>
        </w:rPr>
        <w:br/>
        <w:t>• A plan for their review of the Memorandum of Understanding (MOU) developed with the EI programs serving children in the LEA, including any plans</w:t>
      </w:r>
      <w:r w:rsidRPr="005C29F8">
        <w:rPr>
          <w:rFonts w:cs="Arial"/>
          <w:color w:val="000000" w:themeColor="text1"/>
          <w:szCs w:val="16"/>
        </w:rPr>
        <w:br/>
        <w:t>for revisions or updates. The MOU was required to be jointly developed and agreed upon by each program and to outline the policies and procedures</w:t>
      </w:r>
      <w:r w:rsidRPr="005C29F8">
        <w:rPr>
          <w:rFonts w:cs="Arial"/>
          <w:color w:val="000000" w:themeColor="text1"/>
          <w:szCs w:val="16"/>
        </w:rPr>
        <w:br/>
        <w:t>used to support smooth transition from EI (Part C) to ECSE (Part B- Section 619 under IDEA).</w:t>
      </w:r>
      <w:r w:rsidRPr="005C29F8">
        <w:rPr>
          <w:rFonts w:cs="Arial"/>
          <w:color w:val="000000" w:themeColor="text1"/>
          <w:szCs w:val="16"/>
        </w:rPr>
        <w:br/>
        <w:t>• Additionally, to demonstrate that the LEA practice has improved and that the LEA is able to report 100% compliance, the LEA was required to submit</w:t>
      </w:r>
      <w:r w:rsidRPr="005C29F8">
        <w:rPr>
          <w:rFonts w:cs="Arial"/>
          <w:color w:val="000000" w:themeColor="text1"/>
          <w:szCs w:val="16"/>
        </w:rPr>
        <w:br/>
        <w:t>additional data based on the LEA size for up to 10 children referred from EI. The additional data was to include referrals where there may have been</w:t>
      </w:r>
      <w:r w:rsidRPr="005C29F8">
        <w:rPr>
          <w:rFonts w:cs="Arial"/>
          <w:color w:val="000000" w:themeColor="text1"/>
          <w:szCs w:val="16"/>
        </w:rPr>
        <w:br/>
        <w:t>scheduling challenges. The LEA also submitted the required documentation to demonstrate that they reviewed their early childhood transition policies</w:t>
      </w:r>
      <w:r w:rsidRPr="005C29F8">
        <w:rPr>
          <w:rFonts w:cs="Arial"/>
          <w:color w:val="000000" w:themeColor="text1"/>
          <w:szCs w:val="16"/>
        </w:rPr>
        <w:br/>
        <w:t>and practices, including the MOU between their LEA and the EI program. Additionally, each LEA was required to demonstrate that they addressed and</w:t>
      </w:r>
      <w:r w:rsidRPr="005C29F8">
        <w:rPr>
          <w:rFonts w:cs="Arial"/>
          <w:color w:val="000000" w:themeColor="text1"/>
          <w:szCs w:val="16"/>
        </w:rPr>
        <w:br/>
        <w:t>corrected issues leading to a delay in evaluation and implementation of services for children referred from EI. Subsequent data for additional students</w:t>
      </w:r>
      <w:r w:rsidRPr="005C29F8">
        <w:rPr>
          <w:rFonts w:cs="Arial"/>
          <w:color w:val="000000" w:themeColor="text1"/>
          <w:szCs w:val="16"/>
        </w:rPr>
        <w:br/>
        <w:t>met the 100% compliance requirement.</w:t>
      </w:r>
      <w:r w:rsidRPr="005C29F8">
        <w:rPr>
          <w:rFonts w:cs="Arial"/>
          <w:color w:val="000000" w:themeColor="text1"/>
          <w:szCs w:val="16"/>
        </w:rPr>
        <w:br/>
        <w:t>Examples of corrective action activities by LEAs included, but were not limited to: evidence that the LEA administration met with the IEP Team Chairs</w:t>
      </w:r>
      <w:r w:rsidRPr="005C29F8">
        <w:rPr>
          <w:rFonts w:cs="Arial"/>
          <w:color w:val="000000" w:themeColor="text1"/>
          <w:szCs w:val="16"/>
        </w:rPr>
        <w:br/>
        <w:t>and Special Education liaisons to review requirements to develop and implement an IEP for eligible children by their third birthday; and evidence of</w:t>
      </w:r>
      <w:r w:rsidRPr="005C29F8">
        <w:rPr>
          <w:rFonts w:cs="Arial"/>
          <w:color w:val="000000" w:themeColor="text1"/>
          <w:szCs w:val="16"/>
        </w:rPr>
        <w:br/>
        <w:t>policy development as needed to address delays in evaluation or IEP development.</w:t>
      </w:r>
      <w:r w:rsidRPr="005C29F8">
        <w:rPr>
          <w:rFonts w:cs="Arial"/>
          <w:color w:val="000000" w:themeColor="text1"/>
          <w:szCs w:val="16"/>
        </w:rPr>
        <w:br/>
      </w:r>
      <w:r w:rsidRPr="005C29F8">
        <w:rPr>
          <w:rFonts w:cs="Arial"/>
          <w:color w:val="000000" w:themeColor="text1"/>
          <w:szCs w:val="16"/>
        </w:rPr>
        <w:br/>
        <w:t>One LEA corrected all findings within one year of identification, and MA DESE documented verification of correction for individual students affected</w:t>
      </w:r>
      <w:r w:rsidRPr="005C29F8">
        <w:rPr>
          <w:rFonts w:cs="Arial"/>
          <w:color w:val="000000" w:themeColor="text1"/>
          <w:szCs w:val="16"/>
        </w:rPr>
        <w:br/>
        <w:t xml:space="preserve">and demonstration of compliance with relevant requirements, consistent with OSEP memorandum 09-02. </w:t>
      </w:r>
      <w:r w:rsidRPr="005C29F8">
        <w:rPr>
          <w:rFonts w:cs="Arial"/>
          <w:color w:val="000000" w:themeColor="text1"/>
          <w:szCs w:val="16"/>
        </w:rPr>
        <w:br/>
      </w:r>
      <w:r w:rsidRPr="005C29F8">
        <w:rPr>
          <w:rFonts w:cs="Arial"/>
          <w:color w:val="000000" w:themeColor="text1"/>
          <w:szCs w:val="16"/>
        </w:rPr>
        <w:br/>
        <w:t xml:space="preserve">One LEA submitted the required Corrective Action Plan within one year of identification and provided the required additional data 13 months after the identification. MA DESE documented verification of correction for individual students affected and demonstration of compliance with relevant requirements, consistent with OSEP memorandum 09-02. </w:t>
      </w:r>
      <w:r w:rsidRPr="005C29F8">
        <w:rPr>
          <w:rFonts w:cs="Arial"/>
          <w:color w:val="000000" w:themeColor="text1"/>
          <w:szCs w:val="16"/>
        </w:rPr>
        <w:br/>
      </w:r>
      <w:r w:rsidRPr="005C29F8">
        <w:rPr>
          <w:rFonts w:cs="Arial"/>
          <w:color w:val="000000" w:themeColor="text1"/>
          <w:szCs w:val="16"/>
        </w:rPr>
        <w:br/>
        <w:t>One LEA completed and submitted the required Corrective Action Plan. As part of the Tiered Focused Monitoring Process, DESE has maintained records of correspondence with the LA and the support provided to assist the LEA in submitting the required subsequent data. State mandated LEA and school closure due to the COVID19 health crisis, delays in reopening schools in the fall, and establishing remote learning and hybrid learning schedules may have contributed to the LEA's delay in completing all corrective action activities and the subsequent data submission.</w:t>
      </w:r>
      <w:r w:rsidRPr="005C29F8">
        <w:rPr>
          <w:rFonts w:cs="Arial"/>
          <w:color w:val="000000" w:themeColor="text1"/>
          <w:szCs w:val="16"/>
        </w:rPr>
        <w:br/>
        <w:t>There is one outstanding noncompliance from FFY 2018.</w:t>
      </w:r>
    </w:p>
    <w:p w14:paraId="1F3D7853" w14:textId="324FF78E" w:rsidR="009A755E" w:rsidRPr="005C29F8" w:rsidRDefault="009A755E" w:rsidP="009A755E">
      <w:pPr>
        <w:rPr>
          <w:rFonts w:cs="Arial"/>
          <w:b/>
          <w:color w:val="000000" w:themeColor="text1"/>
          <w:szCs w:val="16"/>
        </w:rPr>
      </w:pPr>
      <w:r w:rsidRPr="005C29F8">
        <w:rPr>
          <w:rFonts w:cs="Arial"/>
          <w:b/>
          <w:color w:val="000000" w:themeColor="text1"/>
          <w:szCs w:val="16"/>
        </w:rPr>
        <w:t xml:space="preserve">Describe how the State verified that each </w:t>
      </w:r>
      <w:r w:rsidRPr="005C29F8">
        <w:rPr>
          <w:rFonts w:cs="Arial"/>
          <w:b/>
          <w:i/>
          <w:color w:val="000000" w:themeColor="text1"/>
          <w:szCs w:val="16"/>
        </w:rPr>
        <w:t>individual case</w:t>
      </w:r>
      <w:r w:rsidRPr="005C29F8">
        <w:rPr>
          <w:rFonts w:cs="Arial"/>
          <w:b/>
          <w:color w:val="000000" w:themeColor="text1"/>
          <w:szCs w:val="16"/>
        </w:rPr>
        <w:t xml:space="preserve"> of noncompliance was corrected</w:t>
      </w:r>
    </w:p>
    <w:p w14:paraId="0E95D025" w14:textId="78E1AA95" w:rsidR="00326C0B" w:rsidRPr="005C29F8" w:rsidRDefault="002B7490" w:rsidP="009A755E">
      <w:pPr>
        <w:rPr>
          <w:rFonts w:cs="Arial"/>
          <w:color w:val="000000" w:themeColor="text1"/>
          <w:szCs w:val="16"/>
        </w:rPr>
      </w:pPr>
      <w:r w:rsidRPr="005C29F8">
        <w:rPr>
          <w:rFonts w:cs="Arial"/>
          <w:color w:val="000000" w:themeColor="text1"/>
          <w:szCs w:val="16"/>
        </w:rPr>
        <w:t>The State verified that each individual incident of noncompliance was corrected by examining the LEA's data submission including date of IEP</w:t>
      </w:r>
      <w:r w:rsidRPr="005C29F8">
        <w:rPr>
          <w:rFonts w:cs="Arial"/>
          <w:color w:val="000000" w:themeColor="text1"/>
          <w:szCs w:val="16"/>
        </w:rPr>
        <w:br/>
        <w:t>implementation, subsequent corrective action report, and documentary evidence of correction, including subsequent data as appropriate. The LEA was able to provide evidence that each evaluation for those children affected by the noncompliance had been completed and the IEP was implemented</w:t>
      </w:r>
      <w:r w:rsidRPr="005C29F8">
        <w:rPr>
          <w:rFonts w:cs="Arial"/>
          <w:color w:val="000000" w:themeColor="text1"/>
          <w:szCs w:val="16"/>
        </w:rPr>
        <w:br/>
        <w:t>after the receipt of the signed IEP for the children affected by the noncompliance.</w:t>
      </w:r>
    </w:p>
    <w:p w14:paraId="1A909BBB" w14:textId="77777777" w:rsidR="00455889" w:rsidRPr="005C29F8" w:rsidRDefault="00455889" w:rsidP="004369B2">
      <w:pPr>
        <w:rPr>
          <w:color w:val="000000" w:themeColor="text1"/>
        </w:rPr>
      </w:pPr>
    </w:p>
    <w:p w14:paraId="1C75EC2F" w14:textId="03A9C041" w:rsidR="009A755E" w:rsidRPr="005C29F8" w:rsidRDefault="009A755E" w:rsidP="004369B2">
      <w:pPr>
        <w:rPr>
          <w:color w:val="000000" w:themeColor="text1"/>
        </w:rPr>
      </w:pPr>
      <w:r w:rsidRPr="005C29F8">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5C29F8" w14:paraId="4192A257" w14:textId="77777777" w:rsidTr="00AB0D6A">
        <w:trPr>
          <w:tblHeader/>
        </w:trPr>
        <w:tc>
          <w:tcPr>
            <w:tcW w:w="1016" w:type="pct"/>
            <w:shd w:val="clear" w:color="auto" w:fill="auto"/>
            <w:vAlign w:val="bottom"/>
          </w:tcPr>
          <w:p w14:paraId="72F29034" w14:textId="1B3341B8" w:rsidR="009A755E" w:rsidRPr="005C29F8" w:rsidRDefault="003A4027" w:rsidP="009A755E">
            <w:pPr>
              <w:jc w:val="center"/>
              <w:rPr>
                <w:rFonts w:cs="Arial"/>
                <w:b/>
                <w:color w:val="000000" w:themeColor="text1"/>
                <w:szCs w:val="16"/>
              </w:rPr>
            </w:pPr>
            <w:r w:rsidRPr="005C29F8">
              <w:rPr>
                <w:rFonts w:cs="Arial"/>
                <w:b/>
                <w:color w:val="000000" w:themeColor="text1"/>
                <w:szCs w:val="16"/>
              </w:rPr>
              <w:t>Year Findings of Noncompliance Were Identified</w:t>
            </w:r>
          </w:p>
        </w:tc>
        <w:tc>
          <w:tcPr>
            <w:tcW w:w="1360" w:type="pct"/>
            <w:shd w:val="clear" w:color="auto" w:fill="auto"/>
            <w:vAlign w:val="bottom"/>
          </w:tcPr>
          <w:p w14:paraId="5E92FF85" w14:textId="224127E0"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Not Yet Verified as Corrected as of FFY 2018 APR</w:t>
            </w:r>
          </w:p>
        </w:tc>
        <w:tc>
          <w:tcPr>
            <w:tcW w:w="1355" w:type="pct"/>
            <w:shd w:val="clear" w:color="auto" w:fill="auto"/>
            <w:vAlign w:val="bottom"/>
          </w:tcPr>
          <w:p w14:paraId="4861690F"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204865EB" w14:textId="77777777" w:rsidTr="00AB0D6A">
        <w:tc>
          <w:tcPr>
            <w:tcW w:w="1016" w:type="pct"/>
            <w:shd w:val="clear" w:color="auto" w:fill="auto"/>
          </w:tcPr>
          <w:p w14:paraId="316ACDB5" w14:textId="541F250F" w:rsidR="009A755E" w:rsidRPr="005C29F8"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5C29F8" w:rsidRDefault="009A755E">
            <w:pPr>
              <w:jc w:val="center"/>
              <w:rPr>
                <w:rFonts w:cs="Arial"/>
                <w:noProof/>
                <w:color w:val="000000" w:themeColor="text1"/>
                <w:szCs w:val="16"/>
              </w:rPr>
            </w:pPr>
          </w:p>
        </w:tc>
        <w:tc>
          <w:tcPr>
            <w:tcW w:w="1355" w:type="pct"/>
            <w:shd w:val="clear" w:color="auto" w:fill="auto"/>
          </w:tcPr>
          <w:p w14:paraId="7C3E37A7" w14:textId="61202FB3" w:rsidR="009A755E" w:rsidRPr="005C29F8" w:rsidRDefault="009A755E">
            <w:pPr>
              <w:jc w:val="center"/>
              <w:rPr>
                <w:rFonts w:cs="Arial"/>
                <w:noProof/>
                <w:color w:val="000000" w:themeColor="text1"/>
                <w:szCs w:val="16"/>
              </w:rPr>
            </w:pPr>
          </w:p>
        </w:tc>
        <w:tc>
          <w:tcPr>
            <w:tcW w:w="1269" w:type="pct"/>
            <w:shd w:val="clear" w:color="auto" w:fill="auto"/>
          </w:tcPr>
          <w:p w14:paraId="79E9FAD3" w14:textId="3428603A" w:rsidR="009A755E" w:rsidRPr="005C29F8" w:rsidRDefault="009A755E">
            <w:pPr>
              <w:jc w:val="center"/>
              <w:rPr>
                <w:rFonts w:cs="Arial"/>
                <w:noProof/>
                <w:color w:val="000000" w:themeColor="text1"/>
                <w:szCs w:val="16"/>
              </w:rPr>
            </w:pPr>
          </w:p>
        </w:tc>
      </w:tr>
      <w:tr w:rsidR="005C29F8" w:rsidRPr="005C29F8" w14:paraId="7F75F2C7" w14:textId="77777777" w:rsidTr="00AB0D6A">
        <w:tc>
          <w:tcPr>
            <w:tcW w:w="1016" w:type="pct"/>
            <w:shd w:val="clear" w:color="auto" w:fill="auto"/>
          </w:tcPr>
          <w:p w14:paraId="147AA631" w14:textId="76843337" w:rsidR="009A755E" w:rsidRPr="005C29F8"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5C29F8" w:rsidRDefault="009A755E">
            <w:pPr>
              <w:jc w:val="center"/>
              <w:rPr>
                <w:rFonts w:cs="Arial"/>
                <w:noProof/>
                <w:color w:val="000000" w:themeColor="text1"/>
                <w:szCs w:val="16"/>
              </w:rPr>
            </w:pPr>
          </w:p>
        </w:tc>
        <w:tc>
          <w:tcPr>
            <w:tcW w:w="1355" w:type="pct"/>
            <w:shd w:val="clear" w:color="auto" w:fill="auto"/>
          </w:tcPr>
          <w:p w14:paraId="6504342A" w14:textId="13575C8A" w:rsidR="009A755E" w:rsidRPr="005C29F8" w:rsidRDefault="009A755E">
            <w:pPr>
              <w:jc w:val="center"/>
              <w:rPr>
                <w:rFonts w:cs="Arial"/>
                <w:noProof/>
                <w:color w:val="000000" w:themeColor="text1"/>
                <w:szCs w:val="16"/>
              </w:rPr>
            </w:pPr>
          </w:p>
        </w:tc>
        <w:tc>
          <w:tcPr>
            <w:tcW w:w="1269" w:type="pct"/>
            <w:shd w:val="clear" w:color="auto" w:fill="auto"/>
          </w:tcPr>
          <w:p w14:paraId="6D520AD1" w14:textId="4947031C" w:rsidR="009A755E" w:rsidRPr="005C29F8" w:rsidRDefault="009A755E">
            <w:pPr>
              <w:jc w:val="center"/>
              <w:rPr>
                <w:rFonts w:cs="Arial"/>
                <w:noProof/>
                <w:color w:val="000000" w:themeColor="text1"/>
                <w:szCs w:val="16"/>
              </w:rPr>
            </w:pPr>
          </w:p>
        </w:tc>
      </w:tr>
      <w:tr w:rsidR="005C29F8" w:rsidRPr="005C29F8" w14:paraId="2D4810B4" w14:textId="77777777" w:rsidTr="00AB0D6A">
        <w:tc>
          <w:tcPr>
            <w:tcW w:w="1016" w:type="pct"/>
            <w:shd w:val="clear" w:color="auto" w:fill="auto"/>
          </w:tcPr>
          <w:p w14:paraId="6AEFAA10" w14:textId="16E2E3E6" w:rsidR="009A755E" w:rsidRPr="005C29F8"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5C29F8" w:rsidRDefault="009A755E">
            <w:pPr>
              <w:jc w:val="center"/>
              <w:rPr>
                <w:rFonts w:cs="Arial"/>
                <w:noProof/>
                <w:color w:val="000000" w:themeColor="text1"/>
                <w:szCs w:val="16"/>
              </w:rPr>
            </w:pPr>
          </w:p>
        </w:tc>
        <w:tc>
          <w:tcPr>
            <w:tcW w:w="1355" w:type="pct"/>
            <w:shd w:val="clear" w:color="auto" w:fill="auto"/>
          </w:tcPr>
          <w:p w14:paraId="70536E6E" w14:textId="5BE8198D" w:rsidR="009A755E" w:rsidRPr="005C29F8" w:rsidRDefault="009A755E">
            <w:pPr>
              <w:jc w:val="center"/>
              <w:rPr>
                <w:rFonts w:cs="Arial"/>
                <w:noProof/>
                <w:color w:val="000000" w:themeColor="text1"/>
                <w:szCs w:val="16"/>
              </w:rPr>
            </w:pPr>
          </w:p>
        </w:tc>
        <w:tc>
          <w:tcPr>
            <w:tcW w:w="1269" w:type="pct"/>
            <w:shd w:val="clear" w:color="auto" w:fill="auto"/>
          </w:tcPr>
          <w:p w14:paraId="4BC059F6" w14:textId="5DCA531E" w:rsidR="009A755E" w:rsidRPr="005C29F8" w:rsidRDefault="009A755E">
            <w:pPr>
              <w:jc w:val="center"/>
              <w:rPr>
                <w:rFonts w:cs="Arial"/>
                <w:noProof/>
                <w:color w:val="000000" w:themeColor="text1"/>
                <w:szCs w:val="16"/>
              </w:rPr>
            </w:pPr>
          </w:p>
        </w:tc>
      </w:tr>
    </w:tbl>
    <w:p w14:paraId="2F3E7ED0" w14:textId="1BDCCC61" w:rsidR="004E2151" w:rsidRPr="0033429D" w:rsidRDefault="00056350" w:rsidP="00123D76">
      <w:pPr>
        <w:pStyle w:val="Heading2"/>
      </w:pPr>
      <w:r w:rsidRPr="0033429D">
        <w:t>12</w:t>
      </w:r>
      <w:r w:rsidR="004838A4" w:rsidRPr="0033429D">
        <w:t xml:space="preserve"> </w:t>
      </w:r>
      <w:r w:rsidRPr="0033429D">
        <w:t xml:space="preserve">- </w:t>
      </w:r>
      <w:r w:rsidR="004E2151" w:rsidRPr="0033429D">
        <w:t>Prior FFY Required Actions</w:t>
      </w:r>
    </w:p>
    <w:p w14:paraId="3D03A210" w14:textId="19033EA5" w:rsidR="009F69E7" w:rsidRPr="005C29F8" w:rsidRDefault="002B7490" w:rsidP="004E2151">
      <w:pPr>
        <w:rPr>
          <w:rFonts w:cs="Arial"/>
          <w:color w:val="000000" w:themeColor="text1"/>
          <w:szCs w:val="16"/>
        </w:rPr>
      </w:pPr>
      <w:r w:rsidRPr="005C29F8">
        <w:rPr>
          <w:rFonts w:cs="Arial"/>
          <w:color w:val="000000" w:themeColor="text1"/>
          <w:szCs w:val="16"/>
        </w:rPr>
        <w:t>None</w:t>
      </w:r>
    </w:p>
    <w:p w14:paraId="29993C29" w14:textId="00995379" w:rsidR="007F5071" w:rsidRPr="0033429D" w:rsidRDefault="00056350" w:rsidP="00123D76">
      <w:pPr>
        <w:pStyle w:val="Heading2"/>
      </w:pPr>
      <w:r w:rsidRPr="0033429D">
        <w:lastRenderedPageBreak/>
        <w:t>12 - OSEP Response</w:t>
      </w:r>
    </w:p>
    <w:p w14:paraId="25E9178D" w14:textId="14A4C34F" w:rsidR="00326C0B" w:rsidRPr="005C29F8" w:rsidRDefault="00326C0B" w:rsidP="00212954">
      <w:pPr>
        <w:rPr>
          <w:rFonts w:cs="Arial"/>
          <w:color w:val="000000" w:themeColor="text1"/>
          <w:szCs w:val="16"/>
        </w:rPr>
      </w:pPr>
    </w:p>
    <w:p w14:paraId="06759F0A" w14:textId="1523FF35" w:rsidR="007F5071" w:rsidRPr="0033429D" w:rsidRDefault="00056350" w:rsidP="00123D76">
      <w:pPr>
        <w:pStyle w:val="Heading2"/>
      </w:pPr>
      <w:r w:rsidRPr="0033429D">
        <w:t>12 - Required Actions</w:t>
      </w:r>
    </w:p>
    <w:p w14:paraId="57889B20" w14:textId="73162143" w:rsidR="00326C0B" w:rsidRPr="005C29F8" w:rsidRDefault="002B7490" w:rsidP="00212954">
      <w:pPr>
        <w:rPr>
          <w:rFonts w:cs="Arial"/>
          <w:color w:val="000000" w:themeColor="text1"/>
          <w:szCs w:val="16"/>
        </w:rPr>
      </w:pPr>
      <w:r w:rsidRPr="005C29F8">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r w:rsidRPr="005C29F8">
        <w:rPr>
          <w:rFonts w:cs="Arial"/>
          <w:color w:val="000000" w:themeColor="text1"/>
          <w:szCs w:val="16"/>
        </w:rPr>
        <w:br/>
      </w:r>
      <w:r w:rsidRPr="005C29F8">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09BE7DCF" w14:textId="77777777" w:rsidR="00102FA3" w:rsidRPr="005C29F8" w:rsidRDefault="00102FA3">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117517B2" w14:textId="1ECF1753" w:rsidR="00D03701" w:rsidRPr="005C29F8" w:rsidRDefault="00D03701" w:rsidP="000444E2">
      <w:pPr>
        <w:pStyle w:val="Heading1"/>
        <w:rPr>
          <w:color w:val="000000" w:themeColor="text1"/>
          <w:sz w:val="22"/>
        </w:rPr>
      </w:pPr>
      <w:r w:rsidRPr="005C29F8">
        <w:rPr>
          <w:color w:val="000000" w:themeColor="text1"/>
          <w:sz w:val="22"/>
        </w:rPr>
        <w:lastRenderedPageBreak/>
        <w:t>Indicator 13: Secondary Transition</w:t>
      </w:r>
    </w:p>
    <w:p w14:paraId="20F3CA53" w14:textId="77777777" w:rsidR="00D04044" w:rsidRPr="005C29F8" w:rsidRDefault="00D04044" w:rsidP="00A018D4">
      <w:pPr>
        <w:rPr>
          <w:color w:val="000000" w:themeColor="text1"/>
          <w:szCs w:val="20"/>
        </w:rPr>
      </w:pPr>
      <w:bookmarkStart w:id="71" w:name="_Toc384383363"/>
      <w:bookmarkStart w:id="72" w:name="_Toc392159331"/>
      <w:r w:rsidRPr="005C29F8">
        <w:rPr>
          <w:b/>
          <w:color w:val="000000" w:themeColor="text1"/>
          <w:sz w:val="20"/>
          <w:szCs w:val="20"/>
        </w:rPr>
        <w:t>Instructions and Measurement</w:t>
      </w:r>
    </w:p>
    <w:p w14:paraId="541AD2D1" w14:textId="15B7D425" w:rsidR="001F3A65" w:rsidRPr="005C29F8" w:rsidRDefault="001F3A65" w:rsidP="009447A3">
      <w:pPr>
        <w:rPr>
          <w:rFonts w:cs="Arial"/>
          <w:color w:val="000000" w:themeColor="text1"/>
          <w:szCs w:val="16"/>
        </w:rPr>
      </w:pPr>
      <w:r w:rsidRPr="005C29F8">
        <w:rPr>
          <w:rFonts w:cs="Arial"/>
          <w:b/>
          <w:color w:val="000000" w:themeColor="text1"/>
          <w:szCs w:val="16"/>
        </w:rPr>
        <w:t>Monitoring Priority</w:t>
      </w:r>
      <w:r w:rsidRPr="005C29F8">
        <w:rPr>
          <w:rFonts w:cs="Arial"/>
          <w:color w:val="000000" w:themeColor="text1"/>
          <w:szCs w:val="16"/>
        </w:rPr>
        <w:t>: Effective General Supervision Part B / Effective Transition</w:t>
      </w:r>
    </w:p>
    <w:p w14:paraId="2098A995" w14:textId="77777777" w:rsidR="0096257C" w:rsidRPr="005C29F8" w:rsidRDefault="001F3A65" w:rsidP="009447A3">
      <w:pPr>
        <w:rPr>
          <w:rFonts w:cs="Arial"/>
          <w:color w:val="000000" w:themeColor="text1"/>
          <w:szCs w:val="16"/>
        </w:rPr>
      </w:pPr>
      <w:r w:rsidRPr="005C29F8">
        <w:rPr>
          <w:rFonts w:cs="Arial"/>
          <w:b/>
          <w:color w:val="000000" w:themeColor="text1"/>
          <w:szCs w:val="16"/>
        </w:rPr>
        <w:t>Compliance indicator</w:t>
      </w:r>
      <w:r w:rsidRPr="005C29F8">
        <w:rPr>
          <w:rFonts w:cs="Arial"/>
          <w:color w:val="000000" w:themeColor="text1"/>
          <w:szCs w:val="16"/>
        </w:rPr>
        <w:t>: Secondary transition: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w:t>
      </w:r>
    </w:p>
    <w:p w14:paraId="24167CE3" w14:textId="32AC8C8C" w:rsidR="001F3A65" w:rsidRPr="005C29F8" w:rsidRDefault="001F3A65" w:rsidP="009447A3">
      <w:pPr>
        <w:rPr>
          <w:rFonts w:cs="Arial"/>
          <w:color w:val="000000" w:themeColor="text1"/>
          <w:szCs w:val="16"/>
        </w:rPr>
      </w:pPr>
      <w:r w:rsidRPr="005C29F8">
        <w:rPr>
          <w:rFonts w:cs="Arial"/>
          <w:color w:val="000000" w:themeColor="text1"/>
          <w:szCs w:val="16"/>
        </w:rPr>
        <w:t xml:space="preserve"> (20 U.S.C. 1416(a)(3)(B))</w:t>
      </w:r>
    </w:p>
    <w:p w14:paraId="1BD1BDBD" w14:textId="77777777" w:rsidR="0096257C" w:rsidRPr="005C29F8" w:rsidRDefault="0096257C" w:rsidP="004369B2">
      <w:pPr>
        <w:rPr>
          <w:color w:val="000000" w:themeColor="text1"/>
        </w:rPr>
      </w:pPr>
      <w:r w:rsidRPr="005C29F8">
        <w:rPr>
          <w:b/>
          <w:color w:val="000000" w:themeColor="text1"/>
        </w:rPr>
        <w:t>Data Source</w:t>
      </w:r>
    </w:p>
    <w:p w14:paraId="5868BA99" w14:textId="77777777" w:rsidR="0096257C" w:rsidRPr="005C29F8" w:rsidRDefault="0096257C" w:rsidP="00286BDF">
      <w:pPr>
        <w:rPr>
          <w:rFonts w:cs="Arial"/>
          <w:color w:val="000000" w:themeColor="text1"/>
          <w:szCs w:val="16"/>
        </w:rPr>
      </w:pPr>
      <w:r w:rsidRPr="005C29F8">
        <w:rPr>
          <w:rFonts w:cs="Arial"/>
          <w:color w:val="000000" w:themeColor="text1"/>
          <w:szCs w:val="16"/>
          <w:shd w:val="clear" w:color="auto" w:fill="FFFFFF"/>
        </w:rPr>
        <w:t>Data to be taken from State monitoring or State data system.</w:t>
      </w:r>
    </w:p>
    <w:p w14:paraId="44CB6F9A" w14:textId="71312CEA" w:rsidR="0096257C" w:rsidRPr="005C29F8" w:rsidRDefault="0096257C" w:rsidP="004369B2">
      <w:pPr>
        <w:rPr>
          <w:color w:val="000000" w:themeColor="text1"/>
        </w:rPr>
      </w:pPr>
      <w:r w:rsidRPr="005C29F8">
        <w:rPr>
          <w:b/>
          <w:color w:val="000000" w:themeColor="text1"/>
        </w:rPr>
        <w:t>Measurement</w:t>
      </w:r>
    </w:p>
    <w:p w14:paraId="780214FF" w14:textId="118D2AD2" w:rsidR="00B67038" w:rsidRPr="005C29F8" w:rsidRDefault="00B67038" w:rsidP="00286BDF">
      <w:pPr>
        <w:rPr>
          <w:rFonts w:cs="Arial"/>
          <w:color w:val="000000" w:themeColor="text1"/>
          <w:szCs w:val="16"/>
        </w:rPr>
      </w:pPr>
      <w:r w:rsidRPr="005C29F8">
        <w:rPr>
          <w:rFonts w:cs="Arial"/>
          <w:color w:val="000000" w:themeColor="text1"/>
          <w:szCs w:val="16"/>
        </w:rPr>
        <w:t>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 divided by the (# of youth with an IEP age 16 and above)] times 100.</w:t>
      </w:r>
    </w:p>
    <w:p w14:paraId="0695051F" w14:textId="0AB8CE10" w:rsidR="00B67038" w:rsidRPr="005C29F8" w:rsidRDefault="00B67038" w:rsidP="00286BDF">
      <w:pPr>
        <w:rPr>
          <w:rFonts w:cs="Arial"/>
          <w:color w:val="000000" w:themeColor="text1"/>
          <w:szCs w:val="16"/>
        </w:rPr>
      </w:pPr>
      <w:r w:rsidRPr="005C29F8">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5C29F8" w:rsidRDefault="0096257C" w:rsidP="004369B2">
      <w:pPr>
        <w:rPr>
          <w:color w:val="000000" w:themeColor="text1"/>
        </w:rPr>
      </w:pPr>
      <w:r w:rsidRPr="005C29F8">
        <w:rPr>
          <w:b/>
          <w:color w:val="000000" w:themeColor="text1"/>
        </w:rPr>
        <w:t>Instructions</w:t>
      </w:r>
    </w:p>
    <w:p w14:paraId="7B194027" w14:textId="77777777" w:rsidR="00B67038" w:rsidRPr="005C29F8" w:rsidRDefault="00B67038" w:rsidP="00286BDF">
      <w:pPr>
        <w:rPr>
          <w:rFonts w:cs="Arial"/>
          <w:color w:val="000000" w:themeColor="text1"/>
          <w:szCs w:val="16"/>
        </w:rPr>
      </w:pPr>
      <w:r w:rsidRPr="005C29F8">
        <w:rPr>
          <w:rFonts w:cs="Arial"/>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5C29F8" w:rsidRDefault="00B67038" w:rsidP="00286BDF">
      <w:pPr>
        <w:rPr>
          <w:rFonts w:cs="Arial"/>
          <w:color w:val="000000" w:themeColor="text1"/>
          <w:szCs w:val="16"/>
        </w:rPr>
      </w:pPr>
      <w:r w:rsidRPr="005C29F8">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5C29F8" w:rsidRDefault="00B67038" w:rsidP="00286BDF">
      <w:pPr>
        <w:rPr>
          <w:rFonts w:cs="Arial"/>
          <w:color w:val="000000" w:themeColor="text1"/>
          <w:szCs w:val="16"/>
        </w:rPr>
      </w:pPr>
      <w:r w:rsidRPr="005C29F8">
        <w:rPr>
          <w:rFonts w:cs="Arial"/>
          <w:color w:val="000000" w:themeColor="text1"/>
          <w:szCs w:val="16"/>
        </w:rPr>
        <w:t>Targets must be 100%.</w:t>
      </w:r>
    </w:p>
    <w:p w14:paraId="1ACBC1E2" w14:textId="77777777" w:rsidR="00B67038" w:rsidRPr="005C29F8" w:rsidRDefault="00B67038" w:rsidP="00286BDF">
      <w:pPr>
        <w:rPr>
          <w:rFonts w:cs="Arial"/>
          <w:color w:val="000000" w:themeColor="text1"/>
          <w:szCs w:val="16"/>
        </w:rPr>
      </w:pPr>
      <w:r w:rsidRPr="005C29F8">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5D9CBCD" w14:textId="6417A01B" w:rsidR="00B67038" w:rsidRPr="005C29F8" w:rsidRDefault="003A4027" w:rsidP="00286BDF">
      <w:pPr>
        <w:rPr>
          <w:rFonts w:cs="Arial"/>
          <w:color w:val="000000" w:themeColor="text1"/>
          <w:szCs w:val="16"/>
        </w:rPr>
      </w:pPr>
      <w:r w:rsidRPr="005C29F8">
        <w:rPr>
          <w:rFonts w:cs="Arial"/>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43E6D66A" w14:textId="21025B37" w:rsidR="00D04044" w:rsidRPr="0033429D" w:rsidRDefault="00056350" w:rsidP="00123D76">
      <w:pPr>
        <w:pStyle w:val="Heading2"/>
      </w:pPr>
      <w:bookmarkStart w:id="73" w:name="_Toc384383364"/>
      <w:bookmarkStart w:id="74" w:name="_Toc392159332"/>
      <w:bookmarkEnd w:id="71"/>
      <w:bookmarkEnd w:id="72"/>
      <w:r w:rsidRPr="0033429D">
        <w:t>13</w:t>
      </w:r>
      <w:r w:rsidR="004838A4" w:rsidRPr="0033429D">
        <w:t xml:space="preserve"> </w:t>
      </w:r>
      <w:r w:rsidRPr="0033429D">
        <w:t xml:space="preserve">- </w:t>
      </w:r>
      <w:r w:rsidR="00D04044" w:rsidRPr="0033429D">
        <w:t>Indicator Data</w:t>
      </w:r>
    </w:p>
    <w:p w14:paraId="61C4C68D" w14:textId="294F0305" w:rsidR="009447A3" w:rsidRDefault="009447A3" w:rsidP="004369B2">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14:paraId="03B988E1" w14:textId="77777777" w:rsidTr="00123D76">
        <w:trPr>
          <w:trHeight w:val="311"/>
          <w:tblHeader/>
        </w:trPr>
        <w:tc>
          <w:tcPr>
            <w:tcW w:w="1797" w:type="dxa"/>
          </w:tcPr>
          <w:p w14:paraId="74B6B294" w14:textId="77777777" w:rsidR="00694A39" w:rsidRDefault="00694A39" w:rsidP="00123D76">
            <w:pPr>
              <w:jc w:val="center"/>
              <w:rPr>
                <w:b/>
                <w:color w:val="000000" w:themeColor="text1"/>
              </w:rPr>
            </w:pPr>
            <w:r w:rsidRPr="005C29F8">
              <w:rPr>
                <w:rFonts w:cs="Arial"/>
                <w:b/>
                <w:color w:val="000000" w:themeColor="text1"/>
                <w:szCs w:val="16"/>
              </w:rPr>
              <w:t>Baseline Year</w:t>
            </w:r>
          </w:p>
        </w:tc>
        <w:tc>
          <w:tcPr>
            <w:tcW w:w="1798" w:type="dxa"/>
          </w:tcPr>
          <w:p w14:paraId="1FEDE010" w14:textId="77777777" w:rsidR="00694A39" w:rsidRDefault="00694A39" w:rsidP="00123D76">
            <w:pPr>
              <w:jc w:val="center"/>
              <w:rPr>
                <w:b/>
                <w:color w:val="000000" w:themeColor="text1"/>
              </w:rPr>
            </w:pPr>
            <w:r>
              <w:rPr>
                <w:b/>
                <w:color w:val="000000" w:themeColor="text1"/>
              </w:rPr>
              <w:t>Baseline Data</w:t>
            </w:r>
          </w:p>
        </w:tc>
      </w:tr>
      <w:tr w:rsidR="00694A39" w14:paraId="6D8D944B" w14:textId="77777777" w:rsidTr="00123D76">
        <w:trPr>
          <w:trHeight w:val="311"/>
        </w:trPr>
        <w:tc>
          <w:tcPr>
            <w:tcW w:w="1797" w:type="dxa"/>
            <w:vAlign w:val="center"/>
          </w:tcPr>
          <w:p w14:paraId="7FC4C2A7" w14:textId="00CC5CF2" w:rsidR="00694A39" w:rsidRPr="00227D4B" w:rsidRDefault="00694A39" w:rsidP="00123D76">
            <w:pPr>
              <w:jc w:val="center"/>
              <w:rPr>
                <w:bCs/>
                <w:color w:val="000000" w:themeColor="text1"/>
              </w:rPr>
            </w:pPr>
            <w:r w:rsidRPr="00227D4B">
              <w:rPr>
                <w:bCs/>
                <w:color w:val="000000" w:themeColor="text1"/>
              </w:rPr>
              <w:t>2017</w:t>
            </w:r>
          </w:p>
        </w:tc>
        <w:tc>
          <w:tcPr>
            <w:tcW w:w="1798" w:type="dxa"/>
            <w:vAlign w:val="center"/>
          </w:tcPr>
          <w:p w14:paraId="3A6C733C" w14:textId="66F52DB8" w:rsidR="00694A39" w:rsidRPr="00227D4B" w:rsidRDefault="00694A39" w:rsidP="00123D76">
            <w:pPr>
              <w:jc w:val="center"/>
              <w:rPr>
                <w:bCs/>
                <w:color w:val="000000" w:themeColor="text1"/>
              </w:rPr>
            </w:pPr>
            <w:r w:rsidRPr="00227D4B">
              <w:rPr>
                <w:bCs/>
                <w:color w:val="000000" w:themeColor="text1"/>
              </w:rPr>
              <w:t>97.09%</w:t>
            </w:r>
          </w:p>
        </w:tc>
      </w:tr>
    </w:tbl>
    <w:p w14:paraId="5733AE68" w14:textId="77777777" w:rsidR="00694A39" w:rsidRPr="005C29F8"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5C29F8" w14:paraId="687251DC" w14:textId="77777777" w:rsidTr="0033429D">
        <w:trPr>
          <w:trHeight w:val="350"/>
        </w:trPr>
        <w:tc>
          <w:tcPr>
            <w:tcW w:w="833" w:type="pct"/>
            <w:tcBorders>
              <w:bottom w:val="single" w:sz="4" w:space="0" w:color="auto"/>
            </w:tcBorders>
            <w:shd w:val="clear" w:color="auto" w:fill="auto"/>
          </w:tcPr>
          <w:p w14:paraId="14E01593" w14:textId="77777777" w:rsidR="009447A3" w:rsidRPr="005C29F8" w:rsidRDefault="009447A3" w:rsidP="004369B2">
            <w:pPr>
              <w:jc w:val="center"/>
              <w:rPr>
                <w:rFonts w:cs="Arial"/>
                <w:b/>
                <w:color w:val="000000" w:themeColor="text1"/>
                <w:szCs w:val="16"/>
              </w:rPr>
            </w:pPr>
            <w:r w:rsidRPr="005C29F8">
              <w:rPr>
                <w:rFonts w:cs="Arial"/>
                <w:b/>
                <w:color w:val="000000" w:themeColor="text1"/>
                <w:szCs w:val="16"/>
              </w:rPr>
              <w:t>FFY</w:t>
            </w:r>
          </w:p>
        </w:tc>
        <w:tc>
          <w:tcPr>
            <w:tcW w:w="833" w:type="pct"/>
            <w:shd w:val="clear" w:color="auto" w:fill="auto"/>
          </w:tcPr>
          <w:p w14:paraId="73A85907" w14:textId="1D9118C1" w:rsidR="009447A3" w:rsidRPr="005C29F8" w:rsidRDefault="002B7490" w:rsidP="008E31C4">
            <w:pPr>
              <w:jc w:val="center"/>
              <w:rPr>
                <w:rFonts w:cs="Arial"/>
                <w:b/>
                <w:color w:val="000000" w:themeColor="text1"/>
                <w:szCs w:val="16"/>
              </w:rPr>
            </w:pPr>
            <w:r w:rsidRPr="005C29F8">
              <w:rPr>
                <w:rFonts w:cs="Arial"/>
                <w:b/>
                <w:color w:val="000000" w:themeColor="text1"/>
                <w:szCs w:val="16"/>
              </w:rPr>
              <w:t>2014</w:t>
            </w:r>
          </w:p>
        </w:tc>
        <w:tc>
          <w:tcPr>
            <w:tcW w:w="833" w:type="pct"/>
            <w:shd w:val="clear" w:color="auto" w:fill="auto"/>
          </w:tcPr>
          <w:p w14:paraId="1C6C5D54" w14:textId="213C7749" w:rsidR="009447A3" w:rsidRPr="005C29F8" w:rsidRDefault="002B7490" w:rsidP="008E31C4">
            <w:pPr>
              <w:jc w:val="center"/>
              <w:rPr>
                <w:rFonts w:cs="Arial"/>
                <w:b/>
                <w:color w:val="000000" w:themeColor="text1"/>
                <w:szCs w:val="16"/>
              </w:rPr>
            </w:pPr>
            <w:r w:rsidRPr="005C29F8">
              <w:rPr>
                <w:rFonts w:cs="Arial"/>
                <w:b/>
                <w:color w:val="000000" w:themeColor="text1"/>
                <w:szCs w:val="16"/>
              </w:rPr>
              <w:t>2015</w:t>
            </w:r>
          </w:p>
        </w:tc>
        <w:tc>
          <w:tcPr>
            <w:tcW w:w="833" w:type="pct"/>
            <w:shd w:val="clear" w:color="auto" w:fill="auto"/>
          </w:tcPr>
          <w:p w14:paraId="044515B1" w14:textId="14B45245" w:rsidR="009447A3" w:rsidRPr="005C29F8" w:rsidRDefault="002B7490" w:rsidP="008E31C4">
            <w:pPr>
              <w:jc w:val="center"/>
              <w:rPr>
                <w:rFonts w:cs="Arial"/>
                <w:b/>
                <w:color w:val="000000" w:themeColor="text1"/>
                <w:szCs w:val="16"/>
              </w:rPr>
            </w:pPr>
            <w:r w:rsidRPr="005C29F8">
              <w:rPr>
                <w:rFonts w:cs="Arial"/>
                <w:b/>
                <w:color w:val="000000" w:themeColor="text1"/>
                <w:szCs w:val="16"/>
              </w:rPr>
              <w:t>2016</w:t>
            </w:r>
          </w:p>
        </w:tc>
        <w:tc>
          <w:tcPr>
            <w:tcW w:w="833" w:type="pct"/>
            <w:shd w:val="clear" w:color="auto" w:fill="auto"/>
          </w:tcPr>
          <w:p w14:paraId="695DE74A" w14:textId="50B444D4" w:rsidR="009447A3" w:rsidRPr="005C29F8" w:rsidRDefault="002B7490" w:rsidP="008E31C4">
            <w:pPr>
              <w:jc w:val="center"/>
              <w:rPr>
                <w:rFonts w:cs="Arial"/>
                <w:b/>
                <w:color w:val="000000" w:themeColor="text1"/>
                <w:szCs w:val="16"/>
              </w:rPr>
            </w:pPr>
            <w:r w:rsidRPr="005C29F8">
              <w:rPr>
                <w:rFonts w:cs="Arial"/>
                <w:b/>
                <w:color w:val="000000" w:themeColor="text1"/>
                <w:szCs w:val="16"/>
              </w:rPr>
              <w:t>2017</w:t>
            </w:r>
          </w:p>
        </w:tc>
        <w:tc>
          <w:tcPr>
            <w:tcW w:w="834" w:type="pct"/>
            <w:shd w:val="clear" w:color="auto" w:fill="auto"/>
          </w:tcPr>
          <w:p w14:paraId="527EE05E" w14:textId="3E89E5BC" w:rsidR="009447A3" w:rsidRPr="005C29F8" w:rsidRDefault="002B7490" w:rsidP="008E31C4">
            <w:pPr>
              <w:jc w:val="center"/>
              <w:rPr>
                <w:rFonts w:cs="Arial"/>
                <w:b/>
                <w:color w:val="000000" w:themeColor="text1"/>
                <w:szCs w:val="16"/>
              </w:rPr>
            </w:pPr>
            <w:r w:rsidRPr="005C29F8">
              <w:rPr>
                <w:rFonts w:cs="Arial"/>
                <w:b/>
                <w:color w:val="000000" w:themeColor="text1"/>
                <w:szCs w:val="16"/>
              </w:rPr>
              <w:t>2018</w:t>
            </w:r>
          </w:p>
        </w:tc>
      </w:tr>
      <w:tr w:rsidR="005C29F8" w:rsidRPr="005C29F8" w14:paraId="0A07B33E" w14:textId="77777777" w:rsidTr="0033429D">
        <w:trPr>
          <w:trHeight w:val="357"/>
        </w:trPr>
        <w:tc>
          <w:tcPr>
            <w:tcW w:w="833" w:type="pct"/>
            <w:shd w:val="clear" w:color="auto" w:fill="auto"/>
          </w:tcPr>
          <w:p w14:paraId="04BB4B5A" w14:textId="3FC3EE91" w:rsidR="009447A3" w:rsidRPr="005C29F8" w:rsidRDefault="009447A3" w:rsidP="008E31C4">
            <w:pPr>
              <w:rPr>
                <w:rFonts w:cs="Arial"/>
                <w:color w:val="000000" w:themeColor="text1"/>
                <w:szCs w:val="16"/>
              </w:rPr>
            </w:pPr>
            <w:r w:rsidRPr="005C29F8">
              <w:rPr>
                <w:rFonts w:cs="Arial"/>
                <w:color w:val="000000" w:themeColor="text1"/>
                <w:szCs w:val="16"/>
              </w:rPr>
              <w:t xml:space="preserve">Target </w:t>
            </w:r>
          </w:p>
        </w:tc>
        <w:tc>
          <w:tcPr>
            <w:tcW w:w="833" w:type="pct"/>
            <w:shd w:val="clear" w:color="auto" w:fill="auto"/>
          </w:tcPr>
          <w:p w14:paraId="20467ACA" w14:textId="658A99BC" w:rsidR="009447A3" w:rsidRPr="005C29F8" w:rsidRDefault="00B16A26" w:rsidP="004369B2">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4AE1489C" w14:textId="1138B823" w:rsidR="009447A3" w:rsidRPr="005C29F8" w:rsidRDefault="00B16A26" w:rsidP="004369B2">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3FAB6F79" w14:textId="47FCCD56" w:rsidR="009447A3" w:rsidRPr="005C29F8" w:rsidRDefault="00B16A26" w:rsidP="004369B2">
            <w:pPr>
              <w:jc w:val="center"/>
              <w:rPr>
                <w:rFonts w:cs="Arial"/>
                <w:color w:val="000000" w:themeColor="text1"/>
                <w:szCs w:val="16"/>
              </w:rPr>
            </w:pPr>
            <w:r w:rsidRPr="005C29F8">
              <w:rPr>
                <w:rFonts w:cs="Arial"/>
                <w:color w:val="000000" w:themeColor="text1"/>
                <w:szCs w:val="16"/>
              </w:rPr>
              <w:t>100%</w:t>
            </w:r>
          </w:p>
        </w:tc>
        <w:tc>
          <w:tcPr>
            <w:tcW w:w="833" w:type="pct"/>
            <w:shd w:val="clear" w:color="auto" w:fill="auto"/>
          </w:tcPr>
          <w:p w14:paraId="2EE056E4" w14:textId="485E460A" w:rsidR="009447A3" w:rsidRPr="005C29F8" w:rsidRDefault="00B16A26" w:rsidP="004369B2">
            <w:pPr>
              <w:jc w:val="center"/>
              <w:rPr>
                <w:rFonts w:cs="Arial"/>
                <w:color w:val="000000" w:themeColor="text1"/>
                <w:szCs w:val="16"/>
              </w:rPr>
            </w:pPr>
            <w:r w:rsidRPr="005C29F8">
              <w:rPr>
                <w:rFonts w:cs="Arial"/>
                <w:color w:val="000000" w:themeColor="text1"/>
                <w:szCs w:val="16"/>
              </w:rPr>
              <w:t>100%</w:t>
            </w:r>
          </w:p>
        </w:tc>
        <w:tc>
          <w:tcPr>
            <w:tcW w:w="834" w:type="pct"/>
            <w:shd w:val="clear" w:color="auto" w:fill="auto"/>
          </w:tcPr>
          <w:p w14:paraId="6F722BD0" w14:textId="06244133" w:rsidR="009447A3" w:rsidRPr="005C29F8" w:rsidRDefault="00B16A26" w:rsidP="004369B2">
            <w:pPr>
              <w:jc w:val="center"/>
              <w:rPr>
                <w:rFonts w:cs="Arial"/>
                <w:color w:val="000000" w:themeColor="text1"/>
                <w:szCs w:val="16"/>
              </w:rPr>
            </w:pPr>
            <w:r w:rsidRPr="005C29F8">
              <w:rPr>
                <w:rFonts w:cs="Arial"/>
                <w:color w:val="000000" w:themeColor="text1"/>
                <w:szCs w:val="16"/>
              </w:rPr>
              <w:t>100%</w:t>
            </w:r>
          </w:p>
        </w:tc>
      </w:tr>
      <w:tr w:rsidR="005C29F8" w:rsidRPr="005C29F8" w14:paraId="4403D1A8" w14:textId="77777777" w:rsidTr="0033429D">
        <w:trPr>
          <w:trHeight w:val="85"/>
        </w:trPr>
        <w:tc>
          <w:tcPr>
            <w:tcW w:w="833" w:type="pct"/>
            <w:shd w:val="clear" w:color="auto" w:fill="auto"/>
          </w:tcPr>
          <w:p w14:paraId="6473FB8E" w14:textId="77777777" w:rsidR="009447A3" w:rsidRPr="005C29F8" w:rsidRDefault="009447A3" w:rsidP="008E31C4">
            <w:pPr>
              <w:rPr>
                <w:rFonts w:cs="Arial"/>
                <w:color w:val="000000" w:themeColor="text1"/>
                <w:szCs w:val="16"/>
              </w:rPr>
            </w:pPr>
            <w:r w:rsidRPr="005C29F8">
              <w:rPr>
                <w:rFonts w:cs="Arial"/>
                <w:color w:val="000000" w:themeColor="text1"/>
                <w:szCs w:val="16"/>
              </w:rPr>
              <w:t>Data</w:t>
            </w:r>
          </w:p>
        </w:tc>
        <w:tc>
          <w:tcPr>
            <w:tcW w:w="833" w:type="pct"/>
            <w:shd w:val="clear" w:color="auto" w:fill="auto"/>
          </w:tcPr>
          <w:p w14:paraId="508672F7" w14:textId="4FDD51CC" w:rsidR="009447A3" w:rsidRPr="005C29F8" w:rsidRDefault="002B7490" w:rsidP="004369B2">
            <w:pPr>
              <w:jc w:val="center"/>
              <w:rPr>
                <w:rFonts w:cs="Arial"/>
                <w:color w:val="000000" w:themeColor="text1"/>
                <w:szCs w:val="16"/>
              </w:rPr>
            </w:pPr>
            <w:r w:rsidRPr="005C29F8">
              <w:rPr>
                <w:rFonts w:cs="Arial"/>
                <w:color w:val="000000" w:themeColor="text1"/>
                <w:szCs w:val="16"/>
              </w:rPr>
              <w:t>100.00%</w:t>
            </w:r>
          </w:p>
        </w:tc>
        <w:tc>
          <w:tcPr>
            <w:tcW w:w="833" w:type="pct"/>
            <w:shd w:val="clear" w:color="auto" w:fill="auto"/>
          </w:tcPr>
          <w:p w14:paraId="50F55BA6" w14:textId="73CC9B0F" w:rsidR="009447A3" w:rsidRPr="005C29F8" w:rsidRDefault="002B7490" w:rsidP="004369B2">
            <w:pPr>
              <w:jc w:val="center"/>
              <w:rPr>
                <w:rFonts w:cs="Arial"/>
                <w:color w:val="000000" w:themeColor="text1"/>
                <w:szCs w:val="16"/>
              </w:rPr>
            </w:pPr>
            <w:r w:rsidRPr="005C29F8">
              <w:rPr>
                <w:rFonts w:cs="Arial"/>
                <w:color w:val="000000" w:themeColor="text1"/>
                <w:szCs w:val="16"/>
              </w:rPr>
              <w:t>100.00%</w:t>
            </w:r>
          </w:p>
        </w:tc>
        <w:tc>
          <w:tcPr>
            <w:tcW w:w="833" w:type="pct"/>
            <w:tcBorders>
              <w:bottom w:val="single" w:sz="4" w:space="0" w:color="auto"/>
            </w:tcBorders>
            <w:shd w:val="clear" w:color="auto" w:fill="auto"/>
            <w:vAlign w:val="center"/>
          </w:tcPr>
          <w:p w14:paraId="6FC9DB0D" w14:textId="5188F524" w:rsidR="009447A3" w:rsidRPr="005C29F8" w:rsidRDefault="002B7490" w:rsidP="004369B2">
            <w:pPr>
              <w:jc w:val="center"/>
              <w:rPr>
                <w:rFonts w:cs="Arial"/>
                <w:color w:val="000000" w:themeColor="text1"/>
                <w:szCs w:val="16"/>
              </w:rPr>
            </w:pPr>
            <w:r w:rsidRPr="005C29F8">
              <w:rPr>
                <w:rFonts w:cs="Arial"/>
                <w:color w:val="000000" w:themeColor="text1"/>
                <w:szCs w:val="16"/>
              </w:rPr>
              <w:t>99.80%</w:t>
            </w:r>
          </w:p>
        </w:tc>
        <w:tc>
          <w:tcPr>
            <w:tcW w:w="833" w:type="pct"/>
            <w:tcBorders>
              <w:bottom w:val="single" w:sz="4" w:space="0" w:color="auto"/>
            </w:tcBorders>
            <w:shd w:val="clear" w:color="auto" w:fill="auto"/>
            <w:vAlign w:val="center"/>
          </w:tcPr>
          <w:p w14:paraId="2DE56335" w14:textId="11069C36" w:rsidR="009447A3" w:rsidRPr="005C29F8" w:rsidRDefault="002B7490" w:rsidP="004369B2">
            <w:pPr>
              <w:jc w:val="center"/>
              <w:rPr>
                <w:rFonts w:cs="Arial"/>
                <w:color w:val="000000" w:themeColor="text1"/>
                <w:szCs w:val="16"/>
              </w:rPr>
            </w:pPr>
            <w:r w:rsidRPr="005C29F8">
              <w:rPr>
                <w:rFonts w:cs="Arial"/>
                <w:color w:val="000000" w:themeColor="text1"/>
                <w:szCs w:val="16"/>
              </w:rPr>
              <w:t>97.09%</w:t>
            </w:r>
          </w:p>
        </w:tc>
        <w:tc>
          <w:tcPr>
            <w:tcW w:w="834" w:type="pct"/>
            <w:tcBorders>
              <w:bottom w:val="single" w:sz="4" w:space="0" w:color="auto"/>
            </w:tcBorders>
            <w:shd w:val="clear" w:color="auto" w:fill="auto"/>
            <w:vAlign w:val="center"/>
          </w:tcPr>
          <w:p w14:paraId="541BA7DE" w14:textId="2D80E9D8" w:rsidR="009447A3" w:rsidRPr="005C29F8" w:rsidRDefault="002B7490" w:rsidP="004369B2">
            <w:pPr>
              <w:jc w:val="center"/>
              <w:rPr>
                <w:rFonts w:cs="Arial"/>
                <w:color w:val="000000" w:themeColor="text1"/>
                <w:szCs w:val="16"/>
              </w:rPr>
            </w:pPr>
            <w:r w:rsidRPr="005C29F8">
              <w:rPr>
                <w:rFonts w:cs="Arial"/>
                <w:color w:val="000000" w:themeColor="text1"/>
                <w:szCs w:val="16"/>
              </w:rPr>
              <w:t>96.99%</w:t>
            </w:r>
          </w:p>
        </w:tc>
      </w:tr>
    </w:tbl>
    <w:p w14:paraId="30C8D33B" w14:textId="77777777" w:rsidR="00AF12E4" w:rsidRPr="005C29F8" w:rsidRDefault="00AF12E4" w:rsidP="004369B2">
      <w:pPr>
        <w:rPr>
          <w:color w:val="000000" w:themeColor="text1"/>
        </w:rPr>
      </w:pPr>
    </w:p>
    <w:p w14:paraId="75465A8F" w14:textId="65C77B0F" w:rsidR="007A3964" w:rsidRPr="005C29F8" w:rsidRDefault="007A3964" w:rsidP="004369B2">
      <w:pPr>
        <w:rPr>
          <w:color w:val="000000" w:themeColor="text1"/>
        </w:rPr>
      </w:pPr>
      <w:r w:rsidRPr="005C29F8">
        <w:rPr>
          <w:b/>
          <w:color w:val="000000" w:themeColor="text1"/>
        </w:rPr>
        <w:t>Targets</w:t>
      </w:r>
    </w:p>
    <w:tbl>
      <w:tblPr>
        <w:tblW w:w="1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TARGETS"/>
      </w:tblPr>
      <w:tblGrid>
        <w:gridCol w:w="679"/>
        <w:gridCol w:w="2465"/>
      </w:tblGrid>
      <w:tr w:rsidR="00441578" w:rsidRPr="005C29F8" w14:paraId="75609119" w14:textId="77777777" w:rsidTr="00441578">
        <w:trPr>
          <w:trHeight w:val="350"/>
        </w:trPr>
        <w:tc>
          <w:tcPr>
            <w:tcW w:w="1079" w:type="pct"/>
            <w:tcBorders>
              <w:bottom w:val="single" w:sz="4" w:space="0" w:color="auto"/>
            </w:tcBorders>
            <w:shd w:val="clear" w:color="auto" w:fill="auto"/>
          </w:tcPr>
          <w:p w14:paraId="270D1909" w14:textId="77777777" w:rsidR="00441578" w:rsidRPr="005C29F8" w:rsidRDefault="00441578" w:rsidP="004369B2">
            <w:pPr>
              <w:jc w:val="center"/>
              <w:rPr>
                <w:b/>
                <w:color w:val="000000" w:themeColor="text1"/>
              </w:rPr>
            </w:pPr>
            <w:r w:rsidRPr="005C29F8">
              <w:rPr>
                <w:b/>
                <w:color w:val="000000" w:themeColor="text1"/>
              </w:rPr>
              <w:t>FFY</w:t>
            </w:r>
          </w:p>
        </w:tc>
        <w:tc>
          <w:tcPr>
            <w:tcW w:w="3921" w:type="pct"/>
            <w:shd w:val="clear" w:color="auto" w:fill="auto"/>
            <w:vAlign w:val="center"/>
          </w:tcPr>
          <w:p w14:paraId="3C863620" w14:textId="77777777" w:rsidR="00441578" w:rsidRPr="005C29F8" w:rsidRDefault="00441578" w:rsidP="004369B2">
            <w:pPr>
              <w:jc w:val="center"/>
              <w:rPr>
                <w:b/>
                <w:color w:val="000000" w:themeColor="text1"/>
              </w:rPr>
            </w:pPr>
            <w:r w:rsidRPr="005C29F8">
              <w:rPr>
                <w:b/>
                <w:color w:val="000000" w:themeColor="text1"/>
              </w:rPr>
              <w:t>2019</w:t>
            </w:r>
          </w:p>
        </w:tc>
      </w:tr>
      <w:tr w:rsidR="00441578" w:rsidRPr="005C29F8" w14:paraId="129EADEA" w14:textId="77777777" w:rsidTr="00441578">
        <w:trPr>
          <w:trHeight w:val="357"/>
        </w:trPr>
        <w:tc>
          <w:tcPr>
            <w:tcW w:w="1079" w:type="pct"/>
            <w:shd w:val="clear" w:color="auto" w:fill="auto"/>
            <w:vAlign w:val="center"/>
          </w:tcPr>
          <w:p w14:paraId="14AB537C" w14:textId="77777777" w:rsidR="00441578" w:rsidRPr="005C29F8" w:rsidRDefault="00441578" w:rsidP="00D95C14">
            <w:pPr>
              <w:rPr>
                <w:rFonts w:cs="Arial"/>
                <w:color w:val="000000" w:themeColor="text1"/>
                <w:szCs w:val="16"/>
              </w:rPr>
            </w:pPr>
            <w:r w:rsidRPr="005C29F8">
              <w:rPr>
                <w:rFonts w:cs="Arial"/>
                <w:color w:val="000000" w:themeColor="text1"/>
                <w:szCs w:val="16"/>
              </w:rPr>
              <w:t xml:space="preserve">Target </w:t>
            </w:r>
          </w:p>
        </w:tc>
        <w:tc>
          <w:tcPr>
            <w:tcW w:w="3921" w:type="pct"/>
            <w:shd w:val="clear" w:color="auto" w:fill="auto"/>
            <w:vAlign w:val="center"/>
          </w:tcPr>
          <w:p w14:paraId="0BAE8900" w14:textId="37E5F8C0" w:rsidR="00441578" w:rsidRPr="005C29F8" w:rsidRDefault="00441578" w:rsidP="00D95C14">
            <w:pPr>
              <w:jc w:val="center"/>
              <w:rPr>
                <w:rFonts w:cs="Arial"/>
                <w:color w:val="000000" w:themeColor="text1"/>
                <w:szCs w:val="16"/>
              </w:rPr>
            </w:pPr>
            <w:r w:rsidRPr="005C29F8">
              <w:rPr>
                <w:rFonts w:cs="Arial"/>
                <w:color w:val="000000" w:themeColor="text1"/>
                <w:szCs w:val="16"/>
              </w:rPr>
              <w:t>100%</w:t>
            </w:r>
          </w:p>
        </w:tc>
      </w:tr>
    </w:tbl>
    <w:p w14:paraId="2E844227" w14:textId="77777777" w:rsidR="00AF12E4" w:rsidRPr="005C29F8" w:rsidRDefault="00AF12E4" w:rsidP="004369B2">
      <w:pPr>
        <w:rPr>
          <w:color w:val="000000" w:themeColor="text1"/>
        </w:rPr>
      </w:pPr>
    </w:p>
    <w:p w14:paraId="596F7C13" w14:textId="79662929" w:rsidR="00D03701" w:rsidRPr="005C29F8" w:rsidRDefault="00EC46E4" w:rsidP="004369B2">
      <w:pPr>
        <w:rPr>
          <w:color w:val="000000" w:themeColor="text1"/>
        </w:rPr>
      </w:pPr>
      <w:r w:rsidRPr="005C29F8">
        <w:rPr>
          <w:b/>
          <w:color w:val="000000" w:themeColor="text1"/>
        </w:rPr>
        <w:t>FFY 2019 SPP/APR Data</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5C29F8" w:rsidRPr="005C29F8" w14:paraId="22208B6A" w14:textId="2EBA1D17" w:rsidTr="00A947D9">
        <w:trPr>
          <w:trHeight w:val="354"/>
          <w:tblHeader/>
        </w:trPr>
        <w:tc>
          <w:tcPr>
            <w:tcW w:w="710" w:type="pct"/>
            <w:shd w:val="clear" w:color="auto" w:fill="auto"/>
            <w:vAlign w:val="bottom"/>
          </w:tcPr>
          <w:p w14:paraId="24F7C6E9" w14:textId="77777777" w:rsidR="00B67038" w:rsidRPr="005C29F8" w:rsidRDefault="00B67038" w:rsidP="00681BA6">
            <w:pPr>
              <w:jc w:val="center"/>
              <w:rPr>
                <w:rFonts w:cs="Arial"/>
                <w:b/>
                <w:color w:val="000000" w:themeColor="text1"/>
                <w:szCs w:val="16"/>
              </w:rPr>
            </w:pPr>
            <w:r w:rsidRPr="005C29F8">
              <w:rPr>
                <w:rFonts w:cs="Arial"/>
                <w:b/>
                <w:color w:val="000000" w:themeColor="text1"/>
                <w:szCs w:val="16"/>
              </w:rPr>
              <w:t>Number of youth aged 16 and above with IEPs that contain each of the required components for secondary transition</w:t>
            </w:r>
          </w:p>
        </w:tc>
        <w:tc>
          <w:tcPr>
            <w:tcW w:w="694" w:type="pct"/>
            <w:shd w:val="clear" w:color="auto" w:fill="auto"/>
            <w:vAlign w:val="bottom"/>
          </w:tcPr>
          <w:p w14:paraId="5096A299" w14:textId="77777777" w:rsidR="00B67038" w:rsidRPr="005C29F8" w:rsidRDefault="00B67038" w:rsidP="00681BA6">
            <w:pPr>
              <w:jc w:val="center"/>
              <w:rPr>
                <w:rFonts w:cs="Arial"/>
                <w:b/>
                <w:color w:val="000000" w:themeColor="text1"/>
                <w:szCs w:val="16"/>
              </w:rPr>
            </w:pPr>
            <w:r w:rsidRPr="005C29F8">
              <w:rPr>
                <w:rFonts w:cs="Arial"/>
                <w:b/>
                <w:color w:val="000000" w:themeColor="text1"/>
                <w:szCs w:val="16"/>
              </w:rPr>
              <w:t>Number of youth with IEPs aged 16 and above</w:t>
            </w:r>
          </w:p>
        </w:tc>
        <w:tc>
          <w:tcPr>
            <w:tcW w:w="636" w:type="pct"/>
            <w:shd w:val="clear" w:color="auto" w:fill="auto"/>
            <w:vAlign w:val="bottom"/>
          </w:tcPr>
          <w:p w14:paraId="77D0CB34" w14:textId="5F4605AD" w:rsidR="00B67038" w:rsidRPr="005C29F8" w:rsidRDefault="001111BE" w:rsidP="00681BA6">
            <w:pPr>
              <w:jc w:val="center"/>
              <w:rPr>
                <w:rFonts w:cs="Arial"/>
                <w:b/>
                <w:color w:val="000000" w:themeColor="text1"/>
                <w:szCs w:val="16"/>
              </w:rPr>
            </w:pPr>
            <w:r w:rsidRPr="005C29F8">
              <w:rPr>
                <w:rFonts w:cs="Arial"/>
                <w:b/>
                <w:color w:val="000000" w:themeColor="text1"/>
                <w:szCs w:val="16"/>
              </w:rPr>
              <w:t>FFY 2018 Data</w:t>
            </w:r>
          </w:p>
        </w:tc>
        <w:tc>
          <w:tcPr>
            <w:tcW w:w="958" w:type="pct"/>
            <w:shd w:val="clear" w:color="auto" w:fill="auto"/>
            <w:vAlign w:val="bottom"/>
          </w:tcPr>
          <w:p w14:paraId="0E375E75" w14:textId="1C549A63" w:rsidR="00B67038" w:rsidRPr="005C29F8" w:rsidRDefault="00B67038" w:rsidP="00681BA6">
            <w:pPr>
              <w:jc w:val="center"/>
              <w:rPr>
                <w:rFonts w:cs="Arial"/>
                <w:b/>
                <w:color w:val="000000" w:themeColor="text1"/>
                <w:szCs w:val="16"/>
              </w:rPr>
            </w:pPr>
            <w:r w:rsidRPr="005C29F8">
              <w:rPr>
                <w:rFonts w:cs="Arial"/>
                <w:b/>
                <w:color w:val="000000" w:themeColor="text1"/>
                <w:szCs w:val="16"/>
              </w:rPr>
              <w:t>FFY 2019 Target</w:t>
            </w:r>
          </w:p>
        </w:tc>
        <w:tc>
          <w:tcPr>
            <w:tcW w:w="571" w:type="pct"/>
            <w:shd w:val="clear" w:color="auto" w:fill="auto"/>
            <w:vAlign w:val="bottom"/>
          </w:tcPr>
          <w:p w14:paraId="58CCB0C1" w14:textId="74B387F3" w:rsidR="00B67038" w:rsidRPr="005C29F8" w:rsidRDefault="00B67038" w:rsidP="00681BA6">
            <w:pPr>
              <w:jc w:val="center"/>
              <w:rPr>
                <w:rFonts w:cs="Arial"/>
                <w:b/>
                <w:color w:val="000000" w:themeColor="text1"/>
                <w:szCs w:val="16"/>
              </w:rPr>
            </w:pPr>
            <w:r w:rsidRPr="005C29F8">
              <w:rPr>
                <w:rFonts w:cs="Arial"/>
                <w:b/>
                <w:color w:val="000000" w:themeColor="text1"/>
                <w:szCs w:val="16"/>
              </w:rPr>
              <w:t>FFY 2019 Data</w:t>
            </w:r>
          </w:p>
        </w:tc>
        <w:tc>
          <w:tcPr>
            <w:tcW w:w="728" w:type="pct"/>
            <w:shd w:val="clear" w:color="auto" w:fill="auto"/>
            <w:vAlign w:val="bottom"/>
          </w:tcPr>
          <w:p w14:paraId="3A7C3260" w14:textId="5AACBA6E" w:rsidR="00B67038" w:rsidRPr="005C29F8" w:rsidRDefault="00B67038" w:rsidP="00681BA6">
            <w:pPr>
              <w:jc w:val="center"/>
              <w:rPr>
                <w:rFonts w:cs="Arial"/>
                <w:b/>
                <w:color w:val="000000" w:themeColor="text1"/>
                <w:szCs w:val="16"/>
              </w:rPr>
            </w:pPr>
            <w:r w:rsidRPr="005C29F8">
              <w:rPr>
                <w:rFonts w:cs="Arial"/>
                <w:b/>
                <w:color w:val="000000" w:themeColor="text1"/>
                <w:szCs w:val="16"/>
              </w:rPr>
              <w:t>Status</w:t>
            </w:r>
          </w:p>
        </w:tc>
        <w:tc>
          <w:tcPr>
            <w:tcW w:w="704" w:type="pct"/>
            <w:shd w:val="clear" w:color="auto" w:fill="auto"/>
            <w:vAlign w:val="bottom"/>
          </w:tcPr>
          <w:p w14:paraId="34FABCEB" w14:textId="119B0EB2" w:rsidR="00B67038" w:rsidRPr="005C29F8" w:rsidRDefault="00B67038" w:rsidP="00681BA6">
            <w:pPr>
              <w:jc w:val="center"/>
              <w:rPr>
                <w:rFonts w:cs="Arial"/>
                <w:b/>
                <w:color w:val="000000" w:themeColor="text1"/>
                <w:szCs w:val="16"/>
              </w:rPr>
            </w:pPr>
            <w:r w:rsidRPr="005C29F8">
              <w:rPr>
                <w:rFonts w:cs="Arial"/>
                <w:b/>
                <w:color w:val="000000" w:themeColor="text1"/>
                <w:szCs w:val="16"/>
              </w:rPr>
              <w:t>Slippage</w:t>
            </w:r>
          </w:p>
        </w:tc>
      </w:tr>
      <w:tr w:rsidR="005C29F8" w:rsidRPr="005C29F8" w14:paraId="18CC159D" w14:textId="122E5ABE" w:rsidTr="00A947D9">
        <w:trPr>
          <w:trHeight w:val="361"/>
        </w:trPr>
        <w:tc>
          <w:tcPr>
            <w:tcW w:w="710" w:type="pct"/>
            <w:shd w:val="clear" w:color="auto" w:fill="auto"/>
            <w:vAlign w:val="center"/>
          </w:tcPr>
          <w:p w14:paraId="55912D09" w14:textId="371B119A" w:rsidR="00070D9E" w:rsidRPr="005C29F8" w:rsidRDefault="002B7490" w:rsidP="004369B2">
            <w:pPr>
              <w:jc w:val="center"/>
              <w:rPr>
                <w:rFonts w:cs="Arial"/>
                <w:color w:val="000000" w:themeColor="text1"/>
                <w:szCs w:val="16"/>
              </w:rPr>
            </w:pPr>
            <w:r w:rsidRPr="005C29F8">
              <w:rPr>
                <w:rFonts w:cs="Arial"/>
                <w:color w:val="000000" w:themeColor="text1"/>
                <w:szCs w:val="16"/>
              </w:rPr>
              <w:t>1,488</w:t>
            </w:r>
          </w:p>
        </w:tc>
        <w:tc>
          <w:tcPr>
            <w:tcW w:w="694" w:type="pct"/>
            <w:shd w:val="clear" w:color="auto" w:fill="auto"/>
            <w:vAlign w:val="center"/>
          </w:tcPr>
          <w:p w14:paraId="3D798FB5" w14:textId="3B2AC314" w:rsidR="00070D9E" w:rsidRPr="005C29F8" w:rsidRDefault="002B7490" w:rsidP="004369B2">
            <w:pPr>
              <w:jc w:val="center"/>
              <w:rPr>
                <w:rFonts w:cs="Arial"/>
                <w:color w:val="000000" w:themeColor="text1"/>
                <w:szCs w:val="16"/>
              </w:rPr>
            </w:pPr>
            <w:r w:rsidRPr="005C29F8">
              <w:rPr>
                <w:rFonts w:cs="Arial"/>
                <w:color w:val="000000" w:themeColor="text1"/>
                <w:szCs w:val="16"/>
              </w:rPr>
              <w:t>1,527</w:t>
            </w:r>
          </w:p>
        </w:tc>
        <w:tc>
          <w:tcPr>
            <w:tcW w:w="636" w:type="pct"/>
            <w:shd w:val="clear" w:color="auto" w:fill="auto"/>
            <w:vAlign w:val="center"/>
          </w:tcPr>
          <w:p w14:paraId="36E1BD35" w14:textId="4F5BD8EB" w:rsidR="00070D9E" w:rsidRPr="005C29F8" w:rsidRDefault="002B7490" w:rsidP="004369B2">
            <w:pPr>
              <w:jc w:val="center"/>
              <w:rPr>
                <w:rFonts w:cs="Arial"/>
                <w:color w:val="000000" w:themeColor="text1"/>
                <w:szCs w:val="16"/>
              </w:rPr>
            </w:pPr>
            <w:r w:rsidRPr="005C29F8">
              <w:rPr>
                <w:rFonts w:cs="Arial"/>
                <w:color w:val="000000" w:themeColor="text1"/>
                <w:szCs w:val="16"/>
              </w:rPr>
              <w:t>96.99%</w:t>
            </w:r>
          </w:p>
        </w:tc>
        <w:tc>
          <w:tcPr>
            <w:tcW w:w="958" w:type="pct"/>
            <w:shd w:val="clear" w:color="auto" w:fill="auto"/>
            <w:vAlign w:val="center"/>
          </w:tcPr>
          <w:p w14:paraId="20E5284B" w14:textId="1FE0CF32" w:rsidR="00070D9E" w:rsidRPr="005C29F8" w:rsidRDefault="00B16A26" w:rsidP="004369B2">
            <w:pPr>
              <w:jc w:val="center"/>
              <w:rPr>
                <w:rFonts w:cs="Arial"/>
                <w:color w:val="000000" w:themeColor="text1"/>
                <w:szCs w:val="16"/>
              </w:rPr>
            </w:pPr>
            <w:r w:rsidRPr="005C29F8">
              <w:rPr>
                <w:rFonts w:cs="Arial"/>
                <w:color w:val="000000" w:themeColor="text1"/>
                <w:szCs w:val="16"/>
              </w:rPr>
              <w:t>100%</w:t>
            </w:r>
          </w:p>
        </w:tc>
        <w:tc>
          <w:tcPr>
            <w:tcW w:w="571" w:type="pct"/>
            <w:shd w:val="clear" w:color="auto" w:fill="auto"/>
            <w:vAlign w:val="center"/>
          </w:tcPr>
          <w:p w14:paraId="55A387E5" w14:textId="6321743C" w:rsidR="00070D9E" w:rsidRPr="005C29F8" w:rsidRDefault="002B7490" w:rsidP="004369B2">
            <w:pPr>
              <w:jc w:val="center"/>
              <w:rPr>
                <w:rFonts w:cs="Arial"/>
                <w:color w:val="000000" w:themeColor="text1"/>
                <w:szCs w:val="16"/>
              </w:rPr>
            </w:pPr>
            <w:r w:rsidRPr="005C29F8">
              <w:rPr>
                <w:rFonts w:cs="Arial"/>
                <w:color w:val="000000" w:themeColor="text1"/>
                <w:szCs w:val="16"/>
              </w:rPr>
              <w:t>97.45%</w:t>
            </w:r>
          </w:p>
        </w:tc>
        <w:tc>
          <w:tcPr>
            <w:tcW w:w="728" w:type="pct"/>
            <w:shd w:val="clear" w:color="auto" w:fill="auto"/>
            <w:vAlign w:val="center"/>
          </w:tcPr>
          <w:p w14:paraId="66968C5A" w14:textId="493EB054" w:rsidR="00070D9E" w:rsidRPr="005C29F8" w:rsidRDefault="002B7490" w:rsidP="004369B2">
            <w:pPr>
              <w:jc w:val="center"/>
              <w:rPr>
                <w:rFonts w:cs="Arial"/>
                <w:color w:val="000000" w:themeColor="text1"/>
                <w:szCs w:val="16"/>
              </w:rPr>
            </w:pPr>
            <w:r w:rsidRPr="005C29F8">
              <w:rPr>
                <w:rFonts w:cs="Arial"/>
                <w:color w:val="000000" w:themeColor="text1"/>
                <w:szCs w:val="16"/>
              </w:rPr>
              <w:t>Did Not Meet Target</w:t>
            </w:r>
          </w:p>
        </w:tc>
        <w:tc>
          <w:tcPr>
            <w:tcW w:w="704" w:type="pct"/>
            <w:shd w:val="clear" w:color="auto" w:fill="auto"/>
            <w:vAlign w:val="center"/>
          </w:tcPr>
          <w:p w14:paraId="175BD68F" w14:textId="534B9E4D" w:rsidR="00070D9E" w:rsidRPr="005C29F8" w:rsidRDefault="002B7490" w:rsidP="004369B2">
            <w:pPr>
              <w:jc w:val="center"/>
              <w:rPr>
                <w:rFonts w:cs="Arial"/>
                <w:color w:val="000000" w:themeColor="text1"/>
                <w:szCs w:val="16"/>
              </w:rPr>
            </w:pPr>
            <w:r w:rsidRPr="005C29F8">
              <w:rPr>
                <w:rFonts w:cs="Arial"/>
                <w:color w:val="000000" w:themeColor="text1"/>
                <w:szCs w:val="16"/>
              </w:rPr>
              <w:t>No Slippage</w:t>
            </w:r>
          </w:p>
        </w:tc>
      </w:tr>
    </w:tbl>
    <w:p w14:paraId="01C32496" w14:textId="77777777" w:rsidR="00A5601C" w:rsidRPr="005C29F8" w:rsidRDefault="00070D9E">
      <w:pPr>
        <w:rPr>
          <w:b/>
          <w:color w:val="000000" w:themeColor="text1"/>
        </w:rPr>
      </w:pPr>
      <w:r w:rsidRPr="005C29F8">
        <w:rPr>
          <w:b/>
          <w:color w:val="000000" w:themeColor="text1"/>
        </w:rPr>
        <w:t xml:space="preserve">What is the source of the data provided for this indicator? </w:t>
      </w:r>
    </w:p>
    <w:p w14:paraId="2BFF05E7" w14:textId="7BFBE390" w:rsidR="00070D9E" w:rsidRDefault="002B7490" w:rsidP="004369B2">
      <w:pPr>
        <w:rPr>
          <w:iCs/>
          <w:color w:val="000000" w:themeColor="text1"/>
        </w:rPr>
      </w:pPr>
      <w:r w:rsidRPr="005C29F8">
        <w:rPr>
          <w:iCs/>
          <w:color w:val="000000" w:themeColor="text1"/>
        </w:rPr>
        <w:lastRenderedPageBreak/>
        <w:t>State monitoring</w:t>
      </w:r>
    </w:p>
    <w:p w14:paraId="68493AF0" w14:textId="77777777" w:rsidR="00070D9E" w:rsidRPr="005C29F8" w:rsidRDefault="00070D9E" w:rsidP="004369B2">
      <w:pPr>
        <w:rPr>
          <w:b/>
          <w:color w:val="000000" w:themeColor="text1"/>
        </w:rPr>
      </w:pPr>
      <w:r w:rsidRPr="005C29F8">
        <w:rPr>
          <w:b/>
          <w:color w:val="000000" w:themeColor="text1"/>
        </w:rPr>
        <w:t xml:space="preserve">Describe the method used to collect these data, and if data are from the State’s monitoring, describe the procedures used to collect these data. </w:t>
      </w:r>
    </w:p>
    <w:p w14:paraId="22E8774A" w14:textId="46B4955A" w:rsidR="00326C0B" w:rsidRDefault="002B7490" w:rsidP="008E31C4">
      <w:pPr>
        <w:rPr>
          <w:rFonts w:cs="Arial"/>
          <w:color w:val="000000" w:themeColor="text1"/>
          <w:szCs w:val="16"/>
        </w:rPr>
      </w:pPr>
      <w:r w:rsidRPr="005C29F8">
        <w:rPr>
          <w:rFonts w:cs="Arial"/>
          <w:color w:val="000000" w:themeColor="text1"/>
          <w:szCs w:val="16"/>
        </w:rPr>
        <w:t>MA DESE collects Indicator 13 data through its Tiered Focused Monitoring (TFM) system, through which the Indicator is integrated into districts’ comprehensive self-assessment on a six-year rotating cohort cycle. Using the Massachusetts Postsecondary Transition Planning Checklist for Indicator 13, all LEAs in the cohort evaluated a representative sample of files for students aged 14-22 with IEPs. MA DESE shared data and targets for Indicator 13 with the Special Education Advisory Panel most recently at its January 2021 meeting.</w:t>
      </w:r>
    </w:p>
    <w:tbl>
      <w:tblPr>
        <w:tblStyle w:val="TableGrid"/>
        <w:tblW w:w="5000" w:type="pct"/>
        <w:tblLook w:val="04A0" w:firstRow="1" w:lastRow="0" w:firstColumn="1" w:lastColumn="0" w:noHBand="0" w:noVBand="1"/>
        <w:tblCaption w:val="B13CFFYCOLLECT"/>
      </w:tblPr>
      <w:tblGrid>
        <w:gridCol w:w="8503"/>
        <w:gridCol w:w="2287"/>
      </w:tblGrid>
      <w:tr w:rsidR="005C29F8" w:rsidRPr="005C29F8" w14:paraId="366D2592" w14:textId="77777777" w:rsidTr="0033429D">
        <w:trPr>
          <w:tblHeader/>
        </w:trPr>
        <w:tc>
          <w:tcPr>
            <w:tcW w:w="3940" w:type="pct"/>
          </w:tcPr>
          <w:p w14:paraId="49221B81" w14:textId="4811C153" w:rsidR="006B4D98" w:rsidRPr="0033429D" w:rsidRDefault="00694A39" w:rsidP="005F442C">
            <w:pPr>
              <w:rPr>
                <w:rFonts w:cs="Arial"/>
                <w:b/>
                <w:bCs/>
                <w:color w:val="000000" w:themeColor="text1"/>
                <w:szCs w:val="16"/>
              </w:rPr>
            </w:pPr>
            <w:r w:rsidRPr="0033429D">
              <w:rPr>
                <w:rFonts w:cs="Arial"/>
                <w:b/>
                <w:bCs/>
                <w:color w:val="000000" w:themeColor="text1"/>
                <w:szCs w:val="16"/>
              </w:rPr>
              <w:t>Question</w:t>
            </w:r>
          </w:p>
        </w:tc>
        <w:tc>
          <w:tcPr>
            <w:tcW w:w="1060" w:type="pct"/>
          </w:tcPr>
          <w:p w14:paraId="3C85F11D" w14:textId="67F200AD" w:rsidR="006B4D98" w:rsidRPr="005C29F8" w:rsidRDefault="006B4D98" w:rsidP="001011BB">
            <w:pPr>
              <w:jc w:val="center"/>
              <w:rPr>
                <w:rFonts w:cs="Arial"/>
                <w:b/>
                <w:color w:val="000000" w:themeColor="text1"/>
                <w:szCs w:val="16"/>
              </w:rPr>
            </w:pPr>
            <w:r w:rsidRPr="005C29F8">
              <w:rPr>
                <w:rFonts w:cs="Arial"/>
                <w:b/>
                <w:color w:val="000000" w:themeColor="text1"/>
                <w:szCs w:val="16"/>
              </w:rPr>
              <w:t>Yes / No</w:t>
            </w:r>
          </w:p>
        </w:tc>
      </w:tr>
      <w:tr w:rsidR="005C29F8" w:rsidRPr="005C29F8" w14:paraId="43EAB126" w14:textId="25879D68" w:rsidTr="00A947D9">
        <w:tc>
          <w:tcPr>
            <w:tcW w:w="3940" w:type="pct"/>
          </w:tcPr>
          <w:p w14:paraId="48B431E3" w14:textId="55B03061" w:rsidR="006B4D98" w:rsidRPr="005C29F8" w:rsidRDefault="006B4D98" w:rsidP="005F442C">
            <w:pPr>
              <w:rPr>
                <w:rFonts w:cs="Arial"/>
                <w:color w:val="000000" w:themeColor="text1"/>
                <w:szCs w:val="16"/>
              </w:rPr>
            </w:pPr>
            <w:r w:rsidRPr="005C29F8">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5C29F8" w:rsidRDefault="002B7490" w:rsidP="00A018D4">
            <w:pPr>
              <w:jc w:val="center"/>
              <w:rPr>
                <w:rFonts w:cs="Arial"/>
                <w:color w:val="000000" w:themeColor="text1"/>
                <w:szCs w:val="16"/>
              </w:rPr>
            </w:pPr>
            <w:r w:rsidRPr="005C29F8">
              <w:rPr>
                <w:rFonts w:cs="Arial"/>
                <w:color w:val="000000" w:themeColor="text1"/>
                <w:szCs w:val="16"/>
              </w:rPr>
              <w:t>YES</w:t>
            </w:r>
          </w:p>
        </w:tc>
      </w:tr>
      <w:tr w:rsidR="005C29F8" w:rsidRPr="005C29F8" w14:paraId="5A1B7304" w14:textId="62E0E544" w:rsidTr="00A947D9">
        <w:tc>
          <w:tcPr>
            <w:tcW w:w="3940" w:type="pct"/>
          </w:tcPr>
          <w:p w14:paraId="73B3F719" w14:textId="0391FF91" w:rsidR="006B4D98" w:rsidRPr="005C29F8" w:rsidRDefault="00AF30E8">
            <w:pPr>
              <w:rPr>
                <w:rFonts w:cs="Arial"/>
                <w:color w:val="000000" w:themeColor="text1"/>
                <w:szCs w:val="16"/>
              </w:rPr>
            </w:pPr>
            <w:r w:rsidRPr="005C29F8">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5C29F8" w:rsidRDefault="002B7490" w:rsidP="00A018D4">
            <w:pPr>
              <w:jc w:val="center"/>
              <w:rPr>
                <w:rFonts w:cs="Arial"/>
                <w:color w:val="000000" w:themeColor="text1"/>
                <w:szCs w:val="16"/>
              </w:rPr>
            </w:pPr>
            <w:r w:rsidRPr="005C29F8">
              <w:rPr>
                <w:rFonts w:cs="Arial"/>
                <w:color w:val="000000" w:themeColor="text1"/>
                <w:szCs w:val="16"/>
              </w:rPr>
              <w:t>YES</w:t>
            </w:r>
          </w:p>
        </w:tc>
      </w:tr>
      <w:tr w:rsidR="005C29F8" w:rsidRPr="005C29F8" w14:paraId="5B31049E" w14:textId="650E5040" w:rsidTr="0033429D">
        <w:tc>
          <w:tcPr>
            <w:tcW w:w="3940" w:type="pct"/>
          </w:tcPr>
          <w:p w14:paraId="33799AB6" w14:textId="30C1CDE0" w:rsidR="00212954" w:rsidRPr="005C29F8" w:rsidRDefault="00212954">
            <w:pPr>
              <w:rPr>
                <w:rFonts w:cs="Arial"/>
                <w:color w:val="000000" w:themeColor="text1"/>
                <w:szCs w:val="16"/>
              </w:rPr>
            </w:pPr>
            <w:r w:rsidRPr="005C29F8">
              <w:rPr>
                <w:rFonts w:cs="Arial"/>
                <w:color w:val="000000" w:themeColor="text1"/>
                <w:szCs w:val="16"/>
              </w:rPr>
              <w:t>If yes, at what age are youth included in the data for this indicator</w:t>
            </w:r>
          </w:p>
        </w:tc>
        <w:tc>
          <w:tcPr>
            <w:tcW w:w="1060" w:type="pct"/>
          </w:tcPr>
          <w:p w14:paraId="7129A3DA" w14:textId="2111F324" w:rsidR="00212954" w:rsidRPr="005C29F8" w:rsidRDefault="002B7490" w:rsidP="00A018D4">
            <w:pPr>
              <w:jc w:val="center"/>
              <w:rPr>
                <w:rFonts w:cs="Arial"/>
                <w:color w:val="000000" w:themeColor="text1"/>
                <w:szCs w:val="16"/>
              </w:rPr>
            </w:pPr>
            <w:r w:rsidRPr="005C29F8">
              <w:rPr>
                <w:rFonts w:cs="Arial"/>
                <w:color w:val="000000" w:themeColor="text1"/>
                <w:szCs w:val="16"/>
              </w:rPr>
              <w:t>14</w:t>
            </w:r>
          </w:p>
        </w:tc>
      </w:tr>
    </w:tbl>
    <w:p w14:paraId="735DB55A" w14:textId="18C77FF1" w:rsidR="00644AC8" w:rsidRPr="005C29F8" w:rsidRDefault="00644AC8" w:rsidP="005F442C">
      <w:pPr>
        <w:rPr>
          <w:rFonts w:cs="Arial"/>
          <w:b/>
          <w:color w:val="000000" w:themeColor="text1"/>
          <w:szCs w:val="16"/>
        </w:rPr>
      </w:pPr>
      <w:bookmarkStart w:id="75" w:name="_Toc392159335"/>
      <w:r w:rsidRPr="005C29F8">
        <w:rPr>
          <w:rFonts w:cs="Arial"/>
          <w:b/>
          <w:color w:val="000000" w:themeColor="text1"/>
          <w:szCs w:val="16"/>
        </w:rPr>
        <w:t>Provide additional information about this indicator (optional)</w:t>
      </w:r>
    </w:p>
    <w:p w14:paraId="2F22AC76" w14:textId="5FF8D00A" w:rsidR="00326C0B" w:rsidRPr="005C29F8" w:rsidRDefault="002B7490" w:rsidP="007D435F">
      <w:pPr>
        <w:rPr>
          <w:rFonts w:cs="Arial"/>
          <w:color w:val="000000" w:themeColor="text1"/>
          <w:szCs w:val="16"/>
        </w:rPr>
      </w:pPr>
      <w:r w:rsidRPr="005C29F8">
        <w:rPr>
          <w:rFonts w:cs="Arial"/>
          <w:color w:val="000000" w:themeColor="text1"/>
          <w:szCs w:val="16"/>
        </w:rPr>
        <w:t xml:space="preserve">As previously reported, FFY 2017 set a new baseline for Indicator 13 data, since that was the first year MA DESE began to report data for students aged 14 and up. </w:t>
      </w:r>
      <w:r w:rsidRPr="005C29F8">
        <w:rPr>
          <w:rFonts w:cs="Arial"/>
          <w:color w:val="000000" w:themeColor="text1"/>
          <w:szCs w:val="16"/>
        </w:rPr>
        <w:br/>
      </w:r>
      <w:r w:rsidRPr="005C29F8">
        <w:rPr>
          <w:rFonts w:cs="Arial"/>
          <w:color w:val="000000" w:themeColor="text1"/>
          <w:szCs w:val="16"/>
        </w:rPr>
        <w:br/>
        <w:t xml:space="preserve">For FFY 2019, MA DESE issued Indicator 13 findings for four LEAs and engaged with those LEAs in corrective activities such as those detailed below for FFY 2018. MA DESE will report on the compliance status of these four LEAs in the FFY 2020 APR. </w:t>
      </w:r>
    </w:p>
    <w:p w14:paraId="1F3D4141" w14:textId="77777777" w:rsidR="00AF12E4" w:rsidRPr="005C29F8" w:rsidRDefault="00AF12E4" w:rsidP="004369B2">
      <w:pPr>
        <w:rPr>
          <w:color w:val="000000" w:themeColor="text1"/>
        </w:rPr>
      </w:pPr>
    </w:p>
    <w:p w14:paraId="37C34CDA" w14:textId="26737A21" w:rsidR="009A755E" w:rsidRPr="005C29F8" w:rsidRDefault="009A755E" w:rsidP="004369B2">
      <w:pPr>
        <w:rPr>
          <w:color w:val="000000" w:themeColor="text1"/>
        </w:rPr>
      </w:pPr>
      <w:r w:rsidRPr="005C29F8">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5C29F8" w14:paraId="6C308319" w14:textId="77777777" w:rsidTr="00A947D9">
        <w:trPr>
          <w:trHeight w:val="389"/>
          <w:tblHeader/>
        </w:trPr>
        <w:tc>
          <w:tcPr>
            <w:tcW w:w="1228" w:type="pct"/>
            <w:shd w:val="clear" w:color="auto" w:fill="auto"/>
            <w:vAlign w:val="bottom"/>
          </w:tcPr>
          <w:p w14:paraId="5A6805D6"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04582DC7" w14:textId="77777777" w:rsidTr="00A947D9">
        <w:tc>
          <w:tcPr>
            <w:tcW w:w="1228" w:type="pct"/>
            <w:shd w:val="clear" w:color="auto" w:fill="auto"/>
          </w:tcPr>
          <w:p w14:paraId="1C22474D" w14:textId="5ECD77A3" w:rsidR="009A755E" w:rsidRPr="005C29F8" w:rsidRDefault="002B7490" w:rsidP="004369B2">
            <w:pPr>
              <w:jc w:val="center"/>
              <w:rPr>
                <w:rFonts w:cs="Arial"/>
                <w:color w:val="000000" w:themeColor="text1"/>
                <w:szCs w:val="16"/>
              </w:rPr>
            </w:pPr>
            <w:r w:rsidRPr="005C29F8">
              <w:rPr>
                <w:rFonts w:cs="Arial"/>
                <w:color w:val="000000" w:themeColor="text1"/>
                <w:szCs w:val="16"/>
              </w:rPr>
              <w:t>8</w:t>
            </w:r>
          </w:p>
        </w:tc>
        <w:tc>
          <w:tcPr>
            <w:tcW w:w="1288" w:type="pct"/>
            <w:shd w:val="clear" w:color="auto" w:fill="auto"/>
          </w:tcPr>
          <w:p w14:paraId="6A161A21" w14:textId="698D820A" w:rsidR="009A755E" w:rsidRPr="005C29F8" w:rsidRDefault="002B7490" w:rsidP="004369B2">
            <w:pPr>
              <w:jc w:val="center"/>
              <w:rPr>
                <w:rFonts w:cs="Arial"/>
                <w:color w:val="000000" w:themeColor="text1"/>
                <w:szCs w:val="16"/>
              </w:rPr>
            </w:pPr>
            <w:r w:rsidRPr="005C29F8">
              <w:rPr>
                <w:rFonts w:cs="Arial"/>
                <w:color w:val="000000" w:themeColor="text1"/>
                <w:szCs w:val="16"/>
              </w:rPr>
              <w:t>7</w:t>
            </w:r>
          </w:p>
        </w:tc>
        <w:tc>
          <w:tcPr>
            <w:tcW w:w="1231" w:type="pct"/>
            <w:shd w:val="clear" w:color="auto" w:fill="auto"/>
          </w:tcPr>
          <w:p w14:paraId="6CF556ED" w14:textId="6BD64A21" w:rsidR="009A755E" w:rsidRPr="005C29F8" w:rsidRDefault="002B7490" w:rsidP="004369B2">
            <w:pPr>
              <w:jc w:val="center"/>
              <w:rPr>
                <w:rFonts w:cs="Arial"/>
                <w:color w:val="000000" w:themeColor="text1"/>
                <w:szCs w:val="16"/>
              </w:rPr>
            </w:pPr>
            <w:r w:rsidRPr="005C29F8">
              <w:rPr>
                <w:rFonts w:cs="Arial"/>
                <w:color w:val="000000" w:themeColor="text1"/>
                <w:szCs w:val="16"/>
              </w:rPr>
              <w:t>1</w:t>
            </w:r>
          </w:p>
        </w:tc>
        <w:tc>
          <w:tcPr>
            <w:tcW w:w="1254" w:type="pct"/>
            <w:shd w:val="clear" w:color="auto" w:fill="auto"/>
          </w:tcPr>
          <w:p w14:paraId="1B14B45E" w14:textId="6409289E" w:rsidR="009A755E" w:rsidRPr="005C29F8" w:rsidRDefault="002B7490" w:rsidP="004369B2">
            <w:pPr>
              <w:jc w:val="center"/>
              <w:rPr>
                <w:rFonts w:cs="Arial"/>
                <w:color w:val="000000" w:themeColor="text1"/>
                <w:szCs w:val="16"/>
              </w:rPr>
            </w:pPr>
            <w:r w:rsidRPr="005C29F8">
              <w:rPr>
                <w:rFonts w:cs="Arial"/>
                <w:color w:val="000000" w:themeColor="text1"/>
                <w:szCs w:val="16"/>
              </w:rPr>
              <w:t>0</w:t>
            </w:r>
          </w:p>
        </w:tc>
      </w:tr>
    </w:tbl>
    <w:p w14:paraId="45E0E48A" w14:textId="3720F96A" w:rsidR="009A755E" w:rsidRPr="005C29F8" w:rsidRDefault="00062E68" w:rsidP="004369B2">
      <w:pPr>
        <w:rPr>
          <w:color w:val="000000" w:themeColor="text1"/>
        </w:rPr>
      </w:pPr>
      <w:r w:rsidRPr="005C29F8">
        <w:rPr>
          <w:b/>
          <w:color w:val="000000" w:themeColor="text1"/>
        </w:rPr>
        <w:t>FFY 2018 Findings of Noncompliance Verified as Corrected</w:t>
      </w:r>
    </w:p>
    <w:p w14:paraId="5FAC5347" w14:textId="3A1B8056" w:rsidR="009A755E" w:rsidRPr="005C29F8" w:rsidRDefault="009A755E" w:rsidP="009A755E">
      <w:pPr>
        <w:rPr>
          <w:rFonts w:cs="Arial"/>
          <w:b/>
          <w:color w:val="000000" w:themeColor="text1"/>
          <w:szCs w:val="16"/>
        </w:rPr>
      </w:pPr>
      <w:r w:rsidRPr="005C29F8">
        <w:rPr>
          <w:rFonts w:cs="Arial"/>
          <w:b/>
          <w:color w:val="000000" w:themeColor="text1"/>
          <w:szCs w:val="16"/>
        </w:rPr>
        <w:t xml:space="preserve">Describe how the State verified that the source of noncompliance is correctly implementing the </w:t>
      </w:r>
      <w:r w:rsidRPr="005C29F8">
        <w:rPr>
          <w:rFonts w:cs="Arial"/>
          <w:b/>
          <w:i/>
          <w:color w:val="000000" w:themeColor="text1"/>
          <w:szCs w:val="16"/>
        </w:rPr>
        <w:t>regulatory requirements</w:t>
      </w:r>
    </w:p>
    <w:p w14:paraId="7BD51D93" w14:textId="30292384" w:rsidR="00326C0B" w:rsidRPr="005C29F8" w:rsidRDefault="002B7490" w:rsidP="009A755E">
      <w:pPr>
        <w:rPr>
          <w:rFonts w:cs="Arial"/>
          <w:color w:val="000000" w:themeColor="text1"/>
          <w:szCs w:val="16"/>
        </w:rPr>
      </w:pPr>
      <w:r w:rsidRPr="005C29F8">
        <w:rPr>
          <w:rFonts w:cs="Arial"/>
          <w:color w:val="000000" w:themeColor="text1"/>
          <w:szCs w:val="16"/>
        </w:rPr>
        <w:t>MA DESE required that each LEA create and implement a corrective action plan to ensure that systems would be in place to ensure 100% compliance. Through active communication to ensure oversight and through the submission of subsequent data documenting compliance, MA DESE verified that these corrective action plans were effective. LEA plans included elements such as these:</w:t>
      </w:r>
      <w:r w:rsidRPr="005C29F8">
        <w:rPr>
          <w:rFonts w:cs="Arial"/>
          <w:color w:val="000000" w:themeColor="text1"/>
          <w:szCs w:val="16"/>
        </w:rPr>
        <w:br/>
        <w:t>• Purchase tools to assist in developing appropriate transition goals and train staff in the use of those tools</w:t>
      </w:r>
      <w:r w:rsidRPr="005C29F8">
        <w:rPr>
          <w:rFonts w:cs="Arial"/>
          <w:color w:val="000000" w:themeColor="text1"/>
          <w:szCs w:val="16"/>
        </w:rPr>
        <w:br/>
        <w:t>• Enhance collaboration activities between the guidance department and special education staff</w:t>
      </w:r>
      <w:r w:rsidRPr="005C29F8">
        <w:rPr>
          <w:rFonts w:cs="Arial"/>
          <w:color w:val="000000" w:themeColor="text1"/>
          <w:szCs w:val="16"/>
        </w:rPr>
        <w:br/>
        <w:t>• Deliver training for special educators and coordinators on student invitation</w:t>
      </w:r>
      <w:r w:rsidRPr="005C29F8">
        <w:rPr>
          <w:rFonts w:cs="Arial"/>
          <w:color w:val="000000" w:themeColor="text1"/>
          <w:szCs w:val="16"/>
        </w:rPr>
        <w:br/>
        <w:t>• Develop a district plan for transition with measurable goals and action steps</w:t>
      </w:r>
    </w:p>
    <w:p w14:paraId="580C3804" w14:textId="4C173B5C" w:rsidR="009A755E" w:rsidRPr="005C29F8" w:rsidRDefault="009A755E" w:rsidP="009A755E">
      <w:pPr>
        <w:rPr>
          <w:rFonts w:cs="Arial"/>
          <w:b/>
          <w:color w:val="000000" w:themeColor="text1"/>
          <w:szCs w:val="16"/>
        </w:rPr>
      </w:pPr>
      <w:r w:rsidRPr="005C29F8">
        <w:rPr>
          <w:rFonts w:cs="Arial"/>
          <w:b/>
          <w:color w:val="000000" w:themeColor="text1"/>
          <w:szCs w:val="16"/>
        </w:rPr>
        <w:t xml:space="preserve">Describe how the State verified that each </w:t>
      </w:r>
      <w:r w:rsidRPr="005C29F8">
        <w:rPr>
          <w:rFonts w:cs="Arial"/>
          <w:b/>
          <w:i/>
          <w:color w:val="000000" w:themeColor="text1"/>
          <w:szCs w:val="16"/>
        </w:rPr>
        <w:t>individual case</w:t>
      </w:r>
      <w:r w:rsidRPr="005C29F8">
        <w:rPr>
          <w:rFonts w:cs="Arial"/>
          <w:b/>
          <w:color w:val="000000" w:themeColor="text1"/>
          <w:szCs w:val="16"/>
        </w:rPr>
        <w:t xml:space="preserve"> of noncompliance was corrected</w:t>
      </w:r>
    </w:p>
    <w:p w14:paraId="3CC9D0C9" w14:textId="1A1AB4E7" w:rsidR="00326C0B" w:rsidRPr="005C29F8" w:rsidRDefault="002B7490" w:rsidP="009A755E">
      <w:pPr>
        <w:rPr>
          <w:rFonts w:cs="Arial"/>
          <w:color w:val="000000" w:themeColor="text1"/>
          <w:szCs w:val="16"/>
        </w:rPr>
      </w:pPr>
      <w:r w:rsidRPr="005C29F8">
        <w:rPr>
          <w:rFonts w:cs="Arial"/>
          <w:color w:val="000000" w:themeColor="text1"/>
          <w:szCs w:val="16"/>
        </w:rPr>
        <w:t xml:space="preserve">In each case, MA DESE required each LEA to reconvene IEP meetings for students whose records indicated noncompliance, to ensure that these students would now have 100% compliant transition planning and services. In the case of each reconvened meeting, LEAs submitted relevant documents to MA DESE, so that compliance could be verified. For example, if the Indicator 13 review indicated that the student had not been invited to their IEP meeting, the LEA submitted documentation of student invitation for the reconvened meeting. As an additional example, if the Indicator 13 review indicated that the student lacked measurable annual IEP goals related to the student's transition needs, then the LEA submitted to MA DESE the new IEP from the reconvened meeting, with compliant annual IEP goals. </w:t>
      </w:r>
    </w:p>
    <w:p w14:paraId="09CD9C74" w14:textId="77777777" w:rsidR="00A947D9" w:rsidRPr="005C29F8" w:rsidRDefault="00A947D9" w:rsidP="004369B2">
      <w:pPr>
        <w:rPr>
          <w:color w:val="000000" w:themeColor="text1"/>
        </w:rPr>
      </w:pPr>
    </w:p>
    <w:p w14:paraId="59FD8363" w14:textId="1D597578" w:rsidR="009A755E" w:rsidRPr="005C29F8" w:rsidRDefault="009A755E" w:rsidP="004369B2">
      <w:pPr>
        <w:rPr>
          <w:color w:val="000000" w:themeColor="text1"/>
        </w:rPr>
      </w:pPr>
      <w:r w:rsidRPr="005C29F8">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5C29F8" w14:paraId="1C8DDFE9" w14:textId="77777777" w:rsidTr="00A947D9">
        <w:trPr>
          <w:tblHeader/>
        </w:trPr>
        <w:tc>
          <w:tcPr>
            <w:tcW w:w="988" w:type="pct"/>
            <w:shd w:val="clear" w:color="auto" w:fill="auto"/>
            <w:vAlign w:val="bottom"/>
          </w:tcPr>
          <w:p w14:paraId="6DA65F9A" w14:textId="186CEF16" w:rsidR="009A755E" w:rsidRPr="005C29F8" w:rsidRDefault="003A4027" w:rsidP="009A755E">
            <w:pPr>
              <w:jc w:val="center"/>
              <w:rPr>
                <w:rFonts w:cs="Arial"/>
                <w:b/>
                <w:color w:val="000000" w:themeColor="text1"/>
                <w:szCs w:val="16"/>
              </w:rPr>
            </w:pPr>
            <w:r w:rsidRPr="005C29F8">
              <w:rPr>
                <w:rFonts w:cs="Arial"/>
                <w:b/>
                <w:color w:val="000000" w:themeColor="text1"/>
                <w:szCs w:val="16"/>
              </w:rPr>
              <w:t>Year Findings of Noncompliance Were Identified</w:t>
            </w:r>
          </w:p>
        </w:tc>
        <w:tc>
          <w:tcPr>
            <w:tcW w:w="1461" w:type="pct"/>
            <w:shd w:val="clear" w:color="auto" w:fill="auto"/>
            <w:vAlign w:val="bottom"/>
          </w:tcPr>
          <w:p w14:paraId="22AE93B4" w14:textId="0BFC2E33"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Not Yet Verified as Corrected as of FFY 2018 APR</w:t>
            </w:r>
          </w:p>
        </w:tc>
        <w:tc>
          <w:tcPr>
            <w:tcW w:w="1317" w:type="pct"/>
            <w:shd w:val="clear" w:color="auto" w:fill="auto"/>
            <w:vAlign w:val="bottom"/>
          </w:tcPr>
          <w:p w14:paraId="1E652481"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5C29F8" w:rsidRDefault="009A755E" w:rsidP="009A755E">
            <w:pPr>
              <w:jc w:val="center"/>
              <w:rPr>
                <w:rFonts w:cs="Arial"/>
                <w:b/>
                <w:color w:val="000000" w:themeColor="text1"/>
                <w:szCs w:val="16"/>
              </w:rPr>
            </w:pPr>
            <w:r w:rsidRPr="005C29F8">
              <w:rPr>
                <w:rFonts w:cs="Arial"/>
                <w:b/>
                <w:color w:val="000000" w:themeColor="text1"/>
                <w:szCs w:val="16"/>
              </w:rPr>
              <w:t>Findings Not Yet Verified as Corrected</w:t>
            </w:r>
          </w:p>
        </w:tc>
      </w:tr>
      <w:tr w:rsidR="005C29F8" w:rsidRPr="005C29F8" w14:paraId="1DF4458C" w14:textId="77777777" w:rsidTr="00A947D9">
        <w:tc>
          <w:tcPr>
            <w:tcW w:w="988" w:type="pct"/>
            <w:shd w:val="clear" w:color="auto" w:fill="auto"/>
          </w:tcPr>
          <w:p w14:paraId="09D39BF4" w14:textId="12080EC7" w:rsidR="009A755E" w:rsidRPr="005C29F8"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5C29F8" w:rsidRDefault="009A755E">
            <w:pPr>
              <w:jc w:val="center"/>
              <w:rPr>
                <w:rFonts w:cs="Arial"/>
                <w:noProof/>
                <w:color w:val="000000" w:themeColor="text1"/>
                <w:szCs w:val="16"/>
              </w:rPr>
            </w:pPr>
          </w:p>
        </w:tc>
        <w:tc>
          <w:tcPr>
            <w:tcW w:w="1317" w:type="pct"/>
            <w:shd w:val="clear" w:color="auto" w:fill="auto"/>
          </w:tcPr>
          <w:p w14:paraId="631866C2" w14:textId="7A733589" w:rsidR="009A755E" w:rsidRPr="005C29F8" w:rsidRDefault="009A755E">
            <w:pPr>
              <w:jc w:val="center"/>
              <w:rPr>
                <w:rFonts w:cs="Arial"/>
                <w:noProof/>
                <w:color w:val="000000" w:themeColor="text1"/>
                <w:szCs w:val="16"/>
              </w:rPr>
            </w:pPr>
          </w:p>
        </w:tc>
        <w:tc>
          <w:tcPr>
            <w:tcW w:w="1234" w:type="pct"/>
            <w:shd w:val="clear" w:color="auto" w:fill="auto"/>
          </w:tcPr>
          <w:p w14:paraId="3A2AFB37" w14:textId="4D254CD3" w:rsidR="009A755E" w:rsidRPr="005C29F8" w:rsidRDefault="009A755E">
            <w:pPr>
              <w:jc w:val="center"/>
              <w:rPr>
                <w:rFonts w:cs="Arial"/>
                <w:noProof/>
                <w:color w:val="000000" w:themeColor="text1"/>
                <w:szCs w:val="16"/>
              </w:rPr>
            </w:pPr>
          </w:p>
        </w:tc>
      </w:tr>
      <w:tr w:rsidR="005C29F8" w:rsidRPr="005C29F8" w14:paraId="22754C03" w14:textId="77777777" w:rsidTr="00A947D9">
        <w:tc>
          <w:tcPr>
            <w:tcW w:w="988" w:type="pct"/>
            <w:shd w:val="clear" w:color="auto" w:fill="auto"/>
          </w:tcPr>
          <w:p w14:paraId="3F1CDA29" w14:textId="16C6A591" w:rsidR="009A755E" w:rsidRPr="005C29F8"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5C29F8" w:rsidRDefault="009A755E">
            <w:pPr>
              <w:jc w:val="center"/>
              <w:rPr>
                <w:rFonts w:cs="Arial"/>
                <w:noProof/>
                <w:color w:val="000000" w:themeColor="text1"/>
                <w:szCs w:val="16"/>
              </w:rPr>
            </w:pPr>
          </w:p>
        </w:tc>
        <w:tc>
          <w:tcPr>
            <w:tcW w:w="1317" w:type="pct"/>
            <w:shd w:val="clear" w:color="auto" w:fill="auto"/>
          </w:tcPr>
          <w:p w14:paraId="424B5A41" w14:textId="57F0D24B" w:rsidR="009A755E" w:rsidRPr="005C29F8" w:rsidRDefault="009A755E">
            <w:pPr>
              <w:jc w:val="center"/>
              <w:rPr>
                <w:rFonts w:cs="Arial"/>
                <w:noProof/>
                <w:color w:val="000000" w:themeColor="text1"/>
                <w:szCs w:val="16"/>
              </w:rPr>
            </w:pPr>
          </w:p>
        </w:tc>
        <w:tc>
          <w:tcPr>
            <w:tcW w:w="1234" w:type="pct"/>
            <w:shd w:val="clear" w:color="auto" w:fill="auto"/>
          </w:tcPr>
          <w:p w14:paraId="5FD250DE" w14:textId="1F07D8E0" w:rsidR="009A755E" w:rsidRPr="005C29F8" w:rsidRDefault="009A755E">
            <w:pPr>
              <w:jc w:val="center"/>
              <w:rPr>
                <w:rFonts w:cs="Arial"/>
                <w:noProof/>
                <w:color w:val="000000" w:themeColor="text1"/>
                <w:szCs w:val="16"/>
              </w:rPr>
            </w:pPr>
          </w:p>
        </w:tc>
      </w:tr>
      <w:tr w:rsidR="005C29F8" w:rsidRPr="005C29F8" w14:paraId="1554C3DE" w14:textId="77777777" w:rsidTr="00A947D9">
        <w:tc>
          <w:tcPr>
            <w:tcW w:w="988" w:type="pct"/>
            <w:shd w:val="clear" w:color="auto" w:fill="auto"/>
          </w:tcPr>
          <w:p w14:paraId="08F1D022" w14:textId="2DEB05AF" w:rsidR="009A755E" w:rsidRPr="005C29F8"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5C29F8" w:rsidRDefault="009A755E">
            <w:pPr>
              <w:jc w:val="center"/>
              <w:rPr>
                <w:rFonts w:cs="Arial"/>
                <w:noProof/>
                <w:color w:val="000000" w:themeColor="text1"/>
                <w:szCs w:val="16"/>
              </w:rPr>
            </w:pPr>
          </w:p>
        </w:tc>
        <w:tc>
          <w:tcPr>
            <w:tcW w:w="1317" w:type="pct"/>
            <w:shd w:val="clear" w:color="auto" w:fill="auto"/>
          </w:tcPr>
          <w:p w14:paraId="4F433BEE" w14:textId="401E2469" w:rsidR="009A755E" w:rsidRPr="005C29F8" w:rsidRDefault="009A755E">
            <w:pPr>
              <w:jc w:val="center"/>
              <w:rPr>
                <w:rFonts w:cs="Arial"/>
                <w:noProof/>
                <w:color w:val="000000" w:themeColor="text1"/>
                <w:szCs w:val="16"/>
              </w:rPr>
            </w:pPr>
          </w:p>
        </w:tc>
        <w:tc>
          <w:tcPr>
            <w:tcW w:w="1234" w:type="pct"/>
            <w:shd w:val="clear" w:color="auto" w:fill="auto"/>
          </w:tcPr>
          <w:p w14:paraId="615F0522" w14:textId="27A5AF36" w:rsidR="009A755E" w:rsidRPr="005C29F8" w:rsidRDefault="009A755E">
            <w:pPr>
              <w:jc w:val="center"/>
              <w:rPr>
                <w:rFonts w:cs="Arial"/>
                <w:noProof/>
                <w:color w:val="000000" w:themeColor="text1"/>
                <w:szCs w:val="16"/>
              </w:rPr>
            </w:pPr>
          </w:p>
        </w:tc>
      </w:tr>
    </w:tbl>
    <w:p w14:paraId="0764B6D1" w14:textId="7BF666C6" w:rsidR="004E2151" w:rsidRPr="0033429D" w:rsidRDefault="00056350" w:rsidP="00123D76">
      <w:pPr>
        <w:pStyle w:val="Heading2"/>
      </w:pPr>
      <w:r w:rsidRPr="0033429D">
        <w:t>13</w:t>
      </w:r>
      <w:r w:rsidR="001D508D" w:rsidRPr="0033429D">
        <w:t xml:space="preserve"> </w:t>
      </w:r>
      <w:r w:rsidRPr="0033429D">
        <w:t xml:space="preserve">- </w:t>
      </w:r>
      <w:r w:rsidR="004E2151" w:rsidRPr="0033429D">
        <w:t>Prior FFY Required Actions</w:t>
      </w:r>
    </w:p>
    <w:p w14:paraId="3DC62C2B" w14:textId="341FD615" w:rsidR="004E2151" w:rsidRPr="005C29F8" w:rsidRDefault="002B7490" w:rsidP="004E2151">
      <w:pPr>
        <w:rPr>
          <w:rFonts w:cs="Arial"/>
          <w:color w:val="000000" w:themeColor="text1"/>
          <w:szCs w:val="16"/>
        </w:rPr>
      </w:pPr>
      <w:r w:rsidRPr="005C29F8">
        <w:rPr>
          <w:rFonts w:cs="Arial"/>
          <w:color w:val="000000" w:themeColor="text1"/>
          <w:szCs w:val="16"/>
        </w:rPr>
        <w:t>None</w:t>
      </w:r>
    </w:p>
    <w:p w14:paraId="6FDC964C" w14:textId="7C7EE16F" w:rsidR="009F69E7" w:rsidRPr="005C29F8" w:rsidRDefault="009F69E7" w:rsidP="004E2151">
      <w:pPr>
        <w:rPr>
          <w:rFonts w:cs="Arial"/>
          <w:color w:val="000000" w:themeColor="text1"/>
          <w:szCs w:val="16"/>
        </w:rPr>
      </w:pPr>
    </w:p>
    <w:p w14:paraId="310A49DA" w14:textId="36D1B81C" w:rsidR="007F5071" w:rsidRPr="0033429D" w:rsidRDefault="00056350" w:rsidP="00123D76">
      <w:pPr>
        <w:pStyle w:val="Heading2"/>
      </w:pPr>
      <w:r w:rsidRPr="0033429D">
        <w:t>13 - OSEP Response</w:t>
      </w:r>
    </w:p>
    <w:p w14:paraId="55757593" w14:textId="79413C8B" w:rsidR="00293C7E" w:rsidRPr="005C29F8" w:rsidRDefault="002B7490" w:rsidP="00212954">
      <w:pPr>
        <w:rPr>
          <w:rFonts w:cs="Arial"/>
          <w:color w:val="000000" w:themeColor="text1"/>
          <w:szCs w:val="16"/>
        </w:rPr>
      </w:pPr>
      <w:r w:rsidRPr="005C29F8">
        <w:rPr>
          <w:rFonts w:cs="Arial"/>
          <w:color w:val="000000" w:themeColor="text1"/>
          <w:szCs w:val="16"/>
        </w:rPr>
        <w:t>The State did not demonstrate that the LEA corrected the findings of noncompliance identified in FFY 2018 because it did not report that it verified correction of those findings, consistent with OSEP Memo 09-02. Specifically, the State did not report that that it verified that each LEA with noncompliance identified in FFY 2018 is correctly implementing the specific regulatory requirements (i.e., achieved 100% compliance) based on a review of updated data such as data subsequently collected through on-site monitoring or a State data system.</w:t>
      </w:r>
    </w:p>
    <w:p w14:paraId="139D82E4" w14:textId="2690DF84" w:rsidR="007F5071" w:rsidRPr="0033429D" w:rsidRDefault="00056350" w:rsidP="00123D76">
      <w:pPr>
        <w:pStyle w:val="Heading2"/>
      </w:pPr>
      <w:r w:rsidRPr="0033429D">
        <w:lastRenderedPageBreak/>
        <w:t>13 - Required Actions</w:t>
      </w:r>
    </w:p>
    <w:p w14:paraId="3AC05AE9" w14:textId="66211D68" w:rsidR="00293C7E" w:rsidRPr="005C29F8" w:rsidRDefault="002B7490" w:rsidP="00212954">
      <w:pPr>
        <w:rPr>
          <w:rFonts w:cs="Arial"/>
          <w:color w:val="000000" w:themeColor="text1"/>
          <w:szCs w:val="16"/>
        </w:rPr>
      </w:pPr>
      <w:r w:rsidRPr="005C29F8">
        <w:rPr>
          <w:rFonts w:cs="Arial"/>
          <w:color w:val="000000" w:themeColor="text1"/>
          <w:szCs w:val="16"/>
        </w:rPr>
        <w:t xml:space="preserve">Because the State reported less than 100% compliance for FFY 2019, the State must report on the status of correction of noncompliance identified in FFY 2019 for this indicator. In addition, the State must demonstrate, in the FFY 2020 SPP/APR, that the remaining eight uncorrected findings of noncompliance identified in FFY 2018 were corrected. When reporting on the correction of noncompliance, the State must report, in the FFY 2020 SPP/APR, that it has verified that each LEA with findings of noncompliance identified in FFY 2019 and each LEA with remaining noncompliance identified in FFY 2018: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    </w:t>
      </w:r>
      <w:r w:rsidRPr="005C29F8">
        <w:rPr>
          <w:rFonts w:cs="Arial"/>
          <w:color w:val="000000" w:themeColor="text1"/>
          <w:szCs w:val="16"/>
        </w:rPr>
        <w:br/>
      </w:r>
      <w:r w:rsidRPr="005C29F8">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2D88F5D3" w14:textId="77777777" w:rsidR="00102FA3" w:rsidRPr="005C29F8" w:rsidRDefault="00102FA3">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6BE48297" w14:textId="374F3BC7" w:rsidR="00B3462E" w:rsidRPr="005C29F8" w:rsidRDefault="00B3462E" w:rsidP="000444E2">
      <w:pPr>
        <w:pStyle w:val="Heading1"/>
        <w:rPr>
          <w:color w:val="000000" w:themeColor="text1"/>
          <w:sz w:val="22"/>
        </w:rPr>
      </w:pPr>
      <w:r w:rsidRPr="005C29F8">
        <w:rPr>
          <w:color w:val="000000" w:themeColor="text1"/>
          <w:sz w:val="22"/>
        </w:rPr>
        <w:lastRenderedPageBreak/>
        <w:t>Indicator 14: Post-School Outcomes</w:t>
      </w:r>
      <w:bookmarkEnd w:id="42"/>
      <w:bookmarkEnd w:id="75"/>
    </w:p>
    <w:p w14:paraId="22761492" w14:textId="77777777" w:rsidR="005C50DB" w:rsidRPr="00D37503" w:rsidRDefault="005C50DB" w:rsidP="00A018D4">
      <w:pPr>
        <w:rPr>
          <w:szCs w:val="20"/>
        </w:rPr>
      </w:pPr>
      <w:bookmarkStart w:id="76" w:name="_Toc392159336"/>
      <w:r w:rsidRPr="00D37503">
        <w:rPr>
          <w:b/>
          <w:sz w:val="20"/>
          <w:szCs w:val="20"/>
        </w:rPr>
        <w:t>Instructions and Measurement</w:t>
      </w:r>
    </w:p>
    <w:p w14:paraId="3872DE81" w14:textId="173DF04F" w:rsidR="001F3A65" w:rsidRPr="00D37503" w:rsidRDefault="001F3A65" w:rsidP="005F442C">
      <w:pPr>
        <w:rPr>
          <w:rFonts w:cs="Arial"/>
          <w:szCs w:val="16"/>
        </w:rPr>
      </w:pPr>
      <w:r w:rsidRPr="00D37503">
        <w:rPr>
          <w:rFonts w:cs="Arial"/>
          <w:b/>
          <w:szCs w:val="16"/>
        </w:rPr>
        <w:t>Monitoring Priority</w:t>
      </w:r>
      <w:r w:rsidRPr="00D37503">
        <w:rPr>
          <w:rFonts w:cs="Arial"/>
          <w:szCs w:val="16"/>
        </w:rPr>
        <w:t>: Effective General Supervision Part B / Effective Transition</w:t>
      </w:r>
    </w:p>
    <w:p w14:paraId="29CEDA40" w14:textId="77777777" w:rsidR="001F3A65" w:rsidRPr="007A1398" w:rsidRDefault="001F3A65" w:rsidP="005F442C">
      <w:pPr>
        <w:rPr>
          <w:rFonts w:cs="Arial"/>
          <w:szCs w:val="16"/>
        </w:rPr>
      </w:pPr>
      <w:r w:rsidRPr="00D37503">
        <w:rPr>
          <w:rFonts w:cs="Arial"/>
          <w:b/>
          <w:szCs w:val="16"/>
        </w:rPr>
        <w:t>Results indicator:</w:t>
      </w:r>
      <w:r w:rsidR="00131842" w:rsidRPr="00D37503">
        <w:rPr>
          <w:rFonts w:cs="Arial"/>
          <w:szCs w:val="16"/>
        </w:rPr>
        <w:t xml:space="preserve"> </w:t>
      </w:r>
      <w:r w:rsidRPr="00D37503">
        <w:rPr>
          <w:rFonts w:cs="Arial"/>
          <w:szCs w:val="16"/>
        </w:rPr>
        <w:t>Post-school outcomes:</w:t>
      </w:r>
      <w:r w:rsidR="00131842" w:rsidRPr="00D37503">
        <w:rPr>
          <w:rFonts w:cs="Arial"/>
          <w:szCs w:val="16"/>
        </w:rPr>
        <w:t xml:space="preserve"> </w:t>
      </w:r>
      <w:r w:rsidRPr="00F37764">
        <w:rPr>
          <w:rFonts w:cs="Arial"/>
          <w:szCs w:val="16"/>
        </w:rPr>
        <w:t>Percent of youth who are no longer in secondary school, had IEPs in effect at the time they left school, and were:</w:t>
      </w:r>
    </w:p>
    <w:p w14:paraId="7F97857D" w14:textId="77777777" w:rsidR="001F3A65" w:rsidRPr="002002C8" w:rsidRDefault="001F3A65" w:rsidP="005F442C">
      <w:pPr>
        <w:rPr>
          <w:rFonts w:cs="Arial"/>
          <w:szCs w:val="16"/>
        </w:rPr>
      </w:pPr>
      <w:r w:rsidRPr="00791C5F">
        <w:rPr>
          <w:rFonts w:cs="Arial"/>
          <w:szCs w:val="16"/>
        </w:rPr>
        <w:t>Enrolled in higher education within one year of leaving high school.</w:t>
      </w:r>
    </w:p>
    <w:p w14:paraId="72E90E1C" w14:textId="77777777" w:rsidR="001F3A65" w:rsidRPr="00D37503" w:rsidRDefault="001F3A65" w:rsidP="005F442C">
      <w:pPr>
        <w:rPr>
          <w:rFonts w:cs="Arial"/>
          <w:szCs w:val="16"/>
        </w:rPr>
      </w:pPr>
      <w:r w:rsidRPr="00D37503">
        <w:rPr>
          <w:rFonts w:cs="Arial"/>
          <w:szCs w:val="16"/>
        </w:rPr>
        <w:t>Enrolled in higher education or competitively employed within one year of leaving high school.</w:t>
      </w:r>
    </w:p>
    <w:p w14:paraId="71CF3231" w14:textId="77777777" w:rsidR="001F3A65" w:rsidRPr="00D37503" w:rsidRDefault="001F3A65" w:rsidP="005F442C">
      <w:pPr>
        <w:rPr>
          <w:rFonts w:cs="Arial"/>
          <w:szCs w:val="16"/>
        </w:rPr>
      </w:pPr>
      <w:r w:rsidRPr="00D37503">
        <w:rPr>
          <w:rFonts w:cs="Arial"/>
          <w:szCs w:val="16"/>
        </w:rPr>
        <w:t>Enrolled in higher education or in some other postsecondary education or training program; or competitively employed or in some other employment within one year of leaving high school.</w:t>
      </w:r>
    </w:p>
    <w:p w14:paraId="34C582E7" w14:textId="77777777" w:rsidR="001F3A65" w:rsidRPr="00D37503" w:rsidRDefault="001F3A65" w:rsidP="005F442C">
      <w:pPr>
        <w:rPr>
          <w:rFonts w:cs="Arial"/>
          <w:szCs w:val="16"/>
        </w:rPr>
      </w:pPr>
      <w:r w:rsidRPr="00D37503">
        <w:rPr>
          <w:rFonts w:cs="Arial"/>
          <w:szCs w:val="16"/>
        </w:rPr>
        <w:t>(20 U.S.C. 1416(a)(3)(B))</w:t>
      </w:r>
    </w:p>
    <w:p w14:paraId="48D4CA91" w14:textId="77777777" w:rsidR="00B67038" w:rsidRPr="00D37503" w:rsidRDefault="00B67038" w:rsidP="004369B2">
      <w:r w:rsidRPr="00D37503">
        <w:rPr>
          <w:b/>
        </w:rPr>
        <w:t>Data Source</w:t>
      </w:r>
    </w:p>
    <w:p w14:paraId="266BF2FF" w14:textId="7EC5F0A3" w:rsidR="00B67038" w:rsidRPr="00D37503" w:rsidRDefault="00B67038" w:rsidP="005F442C">
      <w:pPr>
        <w:rPr>
          <w:rFonts w:cs="Arial"/>
          <w:szCs w:val="16"/>
        </w:rPr>
      </w:pPr>
      <w:r w:rsidRPr="00D37503">
        <w:rPr>
          <w:rFonts w:cs="Arial"/>
          <w:szCs w:val="16"/>
        </w:rPr>
        <w:t>State selected data source.</w:t>
      </w:r>
    </w:p>
    <w:p w14:paraId="1655DDB5" w14:textId="4F072B5B" w:rsidR="00B67038" w:rsidRPr="00D37503" w:rsidRDefault="00B67038" w:rsidP="004369B2">
      <w:r w:rsidRPr="00D37503">
        <w:rPr>
          <w:b/>
        </w:rPr>
        <w:t>Measurement</w:t>
      </w:r>
    </w:p>
    <w:p w14:paraId="0B074DD3" w14:textId="77777777" w:rsidR="00B67038" w:rsidRPr="00D37503" w:rsidRDefault="009B2B72" w:rsidP="006A01BD">
      <w:pPr>
        <w:pStyle w:val="Numbering"/>
        <w:ind w:left="360"/>
        <w:rPr>
          <w:color w:val="auto"/>
        </w:rPr>
      </w:pPr>
      <w:r w:rsidRPr="00D37503">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2002C8" w:rsidRDefault="009B2B72" w:rsidP="006A01BD">
      <w:pPr>
        <w:pStyle w:val="Numbering"/>
        <w:ind w:left="360"/>
        <w:rPr>
          <w:color w:val="auto"/>
        </w:rPr>
      </w:pPr>
      <w:r w:rsidRPr="00F37764">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D37503" w:rsidRDefault="009B2B72" w:rsidP="006A01BD">
      <w:pPr>
        <w:pStyle w:val="Numbering"/>
        <w:ind w:left="360"/>
        <w:rPr>
          <w:color w:val="auto"/>
        </w:rPr>
      </w:pPr>
      <w:r w:rsidRPr="00D37503">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D37503" w:rsidRDefault="00B67038" w:rsidP="004369B2">
      <w:r w:rsidRPr="00D37503">
        <w:rPr>
          <w:b/>
        </w:rPr>
        <w:t>Instructions</w:t>
      </w:r>
    </w:p>
    <w:p w14:paraId="4987E862" w14:textId="77777777" w:rsidR="00B67038" w:rsidRPr="00D37503" w:rsidRDefault="00B67038" w:rsidP="003A4027">
      <w:pPr>
        <w:spacing w:before="0" w:after="210"/>
        <w:rPr>
          <w:rFonts w:eastAsia="Times New Roman" w:cs="Arial"/>
          <w:i/>
          <w:iCs/>
          <w:szCs w:val="16"/>
        </w:rPr>
      </w:pPr>
      <w:r w:rsidRPr="00D37503">
        <w:rPr>
          <w:rFonts w:eastAsia="Times New Roman" w:cs="Arial"/>
          <w:i/>
          <w:iCs/>
          <w:szCs w:val="16"/>
        </w:rPr>
        <w:t>Sampling </w:t>
      </w:r>
      <w:r w:rsidRPr="00D37503">
        <w:rPr>
          <w:rFonts w:eastAsia="Times New Roman" w:cs="Arial"/>
          <w:b/>
          <w:bCs/>
          <w:i/>
          <w:iCs/>
          <w:szCs w:val="16"/>
        </w:rPr>
        <w:t>of youth who had IEPs and are no longer in secondary school</w:t>
      </w:r>
      <w:r w:rsidRPr="00D37503">
        <w:rPr>
          <w:rFonts w:eastAsia="Times New Roman" w:cs="Arial"/>
          <w:i/>
          <w:iCs/>
          <w:szCs w:val="16"/>
        </w:rPr>
        <w:t> is allowed. When sampling is used, submit a description of the sampling methodology outlining how the design will yield valid and reliable estimates of the target population. (See </w:t>
      </w:r>
      <w:r w:rsidRPr="00D37503">
        <w:rPr>
          <w:rFonts w:eastAsia="Times New Roman" w:cs="Arial"/>
          <w:i/>
          <w:iCs/>
          <w:szCs w:val="16"/>
          <w:u w:val="single"/>
        </w:rPr>
        <w:t>General Instructions</w:t>
      </w:r>
      <w:r w:rsidRPr="00D37503">
        <w:rPr>
          <w:rFonts w:eastAsia="Times New Roman" w:cs="Arial"/>
          <w:i/>
          <w:iCs/>
          <w:szCs w:val="16"/>
        </w:rPr>
        <w:t> on page 2 for additional instructions on sampling.)</w:t>
      </w:r>
    </w:p>
    <w:p w14:paraId="7DEAD51C" w14:textId="67E7D5C8" w:rsidR="00B67038" w:rsidRPr="00C20C52" w:rsidRDefault="003A4027" w:rsidP="003A4027">
      <w:pPr>
        <w:spacing w:before="0" w:after="210"/>
        <w:rPr>
          <w:rFonts w:eastAsia="Times New Roman" w:cs="Arial"/>
          <w:szCs w:val="16"/>
        </w:rPr>
      </w:pPr>
      <w:r w:rsidRPr="00D37503">
        <w:rPr>
          <w:rFonts w:eastAsia="Times New Roman" w:cs="Arial"/>
          <w:szCs w:val="16"/>
        </w:rPr>
        <w:t>Collect data by September 2020 on students who left school during 2018-2019, timing the data collection so that at least one year has passed since the students left school. Include students who dropped out during 2018-2019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A1398" w:rsidRDefault="00B67038" w:rsidP="003A4027">
      <w:pPr>
        <w:spacing w:before="0" w:after="0"/>
        <w:rPr>
          <w:rFonts w:eastAsia="Times New Roman" w:cs="Arial"/>
          <w:b/>
          <w:bCs/>
          <w:szCs w:val="16"/>
        </w:rPr>
      </w:pPr>
      <w:r w:rsidRPr="00F37764">
        <w:rPr>
          <w:rFonts w:eastAsia="Times New Roman" w:cs="Arial"/>
          <w:b/>
          <w:bCs/>
          <w:szCs w:val="16"/>
        </w:rPr>
        <w:t>I. </w:t>
      </w:r>
      <w:r w:rsidRPr="00F04643">
        <w:rPr>
          <w:rFonts w:eastAsia="Times New Roman" w:cs="Arial"/>
          <w:b/>
          <w:bCs/>
          <w:i/>
          <w:iCs/>
          <w:szCs w:val="16"/>
        </w:rPr>
        <w:t>Definitions</w:t>
      </w:r>
    </w:p>
    <w:p w14:paraId="239CB051" w14:textId="357D0921" w:rsidR="00B67038" w:rsidRPr="00D37503" w:rsidRDefault="00B67038" w:rsidP="003A4027">
      <w:pPr>
        <w:spacing w:before="0" w:after="210"/>
        <w:rPr>
          <w:rFonts w:eastAsia="Times New Roman" w:cs="Arial"/>
          <w:szCs w:val="16"/>
        </w:rPr>
      </w:pPr>
      <w:r w:rsidRPr="00791C5F">
        <w:rPr>
          <w:rFonts w:eastAsia="Times New Roman" w:cs="Arial"/>
          <w:i/>
          <w:iCs/>
          <w:szCs w:val="16"/>
        </w:rPr>
        <w:t>Enrolled in higher education</w:t>
      </w:r>
      <w:r w:rsidRPr="007816D8">
        <w:rPr>
          <w:rFonts w:eastAsia="Times New Roman" w:cs="Arial"/>
          <w:szCs w:val="16"/>
        </w:rPr>
        <w:t> as used in measures A, B, and C means youth have been enrolled on a full- or part-time basis in a community college (</w:t>
      </w:r>
      <w:r w:rsidR="00DB1150" w:rsidRPr="002002C8">
        <w:rPr>
          <w:rFonts w:eastAsia="Times New Roman" w:cs="Arial"/>
          <w:szCs w:val="16"/>
        </w:rPr>
        <w:t>two</w:t>
      </w:r>
      <w:r w:rsidR="00DB1150" w:rsidRPr="00D37503">
        <w:rPr>
          <w:rFonts w:eastAsia="Times New Roman" w:cs="Arial"/>
          <w:szCs w:val="16"/>
        </w:rPr>
        <w:t>-year</w:t>
      </w:r>
      <w:r w:rsidRPr="00D37503">
        <w:rPr>
          <w:rFonts w:eastAsia="Times New Roman" w:cs="Arial"/>
          <w:szCs w:val="16"/>
        </w:rPr>
        <w:t xml:space="preserve"> program) or college/university (four or more year program) for at least one complete term, at any time in the year since leaving high school.</w:t>
      </w:r>
    </w:p>
    <w:p w14:paraId="4D24D49D" w14:textId="7EC50DEC" w:rsidR="00B67038" w:rsidRPr="00D37503" w:rsidRDefault="003A4027" w:rsidP="003A4027">
      <w:pPr>
        <w:spacing w:before="0" w:after="210"/>
        <w:rPr>
          <w:rFonts w:eastAsia="Times New Roman" w:cs="Arial"/>
          <w:szCs w:val="16"/>
        </w:rPr>
      </w:pPr>
      <w:r w:rsidRPr="00D37503">
        <w:rPr>
          <w:rFonts w:eastAsia="Times New Roman" w:cs="Arial"/>
          <w:i/>
          <w:iCs/>
          <w:szCs w:val="16"/>
        </w:rPr>
        <w:t xml:space="preserve">Competitive employment </w:t>
      </w:r>
      <w:r w:rsidRPr="00D37503">
        <w:rPr>
          <w:rFonts w:eastAsia="Times New Roman" w:cs="Arial"/>
          <w:iCs/>
          <w:szCs w:val="16"/>
        </w:rPr>
        <w:t xml:space="preserve">as used in measures B and C: States have two options to report data under “competitive employment” in the FFY </w:t>
      </w:r>
      <w:r w:rsidR="00C20C52">
        <w:rPr>
          <w:rFonts w:eastAsia="Times New Roman" w:cs="Arial"/>
          <w:iCs/>
          <w:szCs w:val="16"/>
        </w:rPr>
        <w:t>2019</w:t>
      </w:r>
      <w:r w:rsidRPr="00D37503">
        <w:rPr>
          <w:rFonts w:eastAsia="Times New Roman" w:cs="Arial"/>
          <w:iCs/>
          <w:szCs w:val="16"/>
        </w:rPr>
        <w:t xml:space="preserve"> SPP/APR, due February </w:t>
      </w:r>
      <w:r w:rsidR="00D37503">
        <w:rPr>
          <w:rFonts w:eastAsia="Times New Roman" w:cs="Arial"/>
          <w:iCs/>
          <w:szCs w:val="16"/>
        </w:rPr>
        <w:t>2021</w:t>
      </w:r>
      <w:r w:rsidRPr="00D37503">
        <w:rPr>
          <w:rFonts w:eastAsia="Times New Roman" w:cs="Arial"/>
          <w:iCs/>
          <w:szCs w:val="16"/>
        </w:rPr>
        <w:t>:</w:t>
      </w:r>
    </w:p>
    <w:p w14:paraId="18FD65ED" w14:textId="77777777" w:rsidR="00B67038" w:rsidRPr="00D37503" w:rsidRDefault="00B67038" w:rsidP="002D597B">
      <w:pPr>
        <w:spacing w:before="0" w:after="210"/>
        <w:rPr>
          <w:rFonts w:eastAsia="Times New Roman" w:cs="Arial"/>
          <w:szCs w:val="16"/>
        </w:rPr>
      </w:pPr>
      <w:r w:rsidRPr="00D37503">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77777777" w:rsidR="00B67038" w:rsidRPr="00D37503" w:rsidRDefault="00B67038" w:rsidP="002D597B">
      <w:pPr>
        <w:spacing w:before="0"/>
        <w:rPr>
          <w:rFonts w:eastAsia="Times New Roman" w:cs="Arial"/>
          <w:szCs w:val="16"/>
        </w:rPr>
      </w:pPr>
      <w:r w:rsidRPr="00D37503">
        <w:rPr>
          <w:rFonts w:eastAsia="Times New Roman" w:cs="Arial"/>
          <w:szCs w:val="16"/>
        </w:rPr>
        <w:t>Option 2: States report in alignment with the term “competitive integrated employment” and its definition, in section 7(5) of the Rehabilitation Act, as amended by Workforce Innovation and Opportunity Act (WIOA), and 34 CFR §361.5(c)(9).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D37503" w:rsidRDefault="00B67038" w:rsidP="003A4027">
      <w:pPr>
        <w:spacing w:before="0" w:after="0"/>
        <w:rPr>
          <w:rFonts w:eastAsia="Times New Roman" w:cs="Arial"/>
          <w:b/>
          <w:bCs/>
          <w:szCs w:val="16"/>
        </w:rPr>
      </w:pPr>
    </w:p>
    <w:p w14:paraId="1CBB96D1" w14:textId="18D4158D" w:rsidR="00B67038" w:rsidRPr="00D37503" w:rsidRDefault="00B67038" w:rsidP="003A4027">
      <w:pPr>
        <w:spacing w:before="0" w:after="210"/>
        <w:rPr>
          <w:rFonts w:eastAsia="Times New Roman" w:cs="Arial"/>
          <w:szCs w:val="16"/>
        </w:rPr>
      </w:pPr>
      <w:r w:rsidRPr="00D37503">
        <w:rPr>
          <w:rFonts w:eastAsia="Times New Roman" w:cs="Arial"/>
          <w:i/>
          <w:iCs/>
          <w:szCs w:val="16"/>
        </w:rPr>
        <w:t>Enrolled in other postsecondary education or training</w:t>
      </w:r>
      <w:r w:rsidRPr="00D37503">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D37503">
        <w:rPr>
          <w:rFonts w:eastAsia="Times New Roman" w:cs="Arial"/>
          <w:szCs w:val="16"/>
        </w:rPr>
        <w:t>two-year</w:t>
      </w:r>
      <w:r w:rsidRPr="00D37503">
        <w:rPr>
          <w:rFonts w:eastAsia="Times New Roman" w:cs="Arial"/>
          <w:szCs w:val="16"/>
        </w:rPr>
        <w:t xml:space="preserve"> program).</w:t>
      </w:r>
    </w:p>
    <w:p w14:paraId="639590BD" w14:textId="77777777" w:rsidR="00B67038" w:rsidRPr="00D37503" w:rsidRDefault="00B67038" w:rsidP="003A4027">
      <w:pPr>
        <w:spacing w:before="0"/>
        <w:rPr>
          <w:rFonts w:eastAsia="Times New Roman" w:cs="Arial"/>
          <w:szCs w:val="16"/>
        </w:rPr>
      </w:pPr>
      <w:r w:rsidRPr="00D37503">
        <w:rPr>
          <w:rFonts w:eastAsia="Times New Roman" w:cs="Arial"/>
          <w:i/>
          <w:iCs/>
          <w:szCs w:val="16"/>
        </w:rPr>
        <w:t>Some other employment</w:t>
      </w:r>
      <w:r w:rsidRPr="00D37503">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14:paraId="7BDE8111" w14:textId="77777777" w:rsidR="00B67038" w:rsidRPr="00D37503" w:rsidRDefault="00B67038" w:rsidP="003A4027">
      <w:pPr>
        <w:spacing w:before="0" w:after="0"/>
        <w:rPr>
          <w:rFonts w:eastAsia="Times New Roman" w:cs="Arial"/>
          <w:b/>
          <w:bCs/>
          <w:szCs w:val="16"/>
        </w:rPr>
      </w:pPr>
      <w:r w:rsidRPr="00D37503">
        <w:rPr>
          <w:rFonts w:eastAsia="Times New Roman" w:cs="Arial"/>
          <w:b/>
          <w:bCs/>
          <w:szCs w:val="16"/>
        </w:rPr>
        <w:t>II. </w:t>
      </w:r>
      <w:r w:rsidRPr="00D37503">
        <w:rPr>
          <w:rFonts w:eastAsia="Times New Roman" w:cs="Arial"/>
          <w:b/>
          <w:bCs/>
          <w:i/>
          <w:iCs/>
          <w:szCs w:val="16"/>
        </w:rPr>
        <w:t>Data Reporting</w:t>
      </w:r>
    </w:p>
    <w:p w14:paraId="220A6449" w14:textId="77777777" w:rsidR="00B67038" w:rsidRPr="00D37503" w:rsidRDefault="00B67038" w:rsidP="003A4027">
      <w:pPr>
        <w:spacing w:before="0" w:after="210"/>
        <w:rPr>
          <w:rFonts w:eastAsia="Times New Roman" w:cs="Arial"/>
          <w:szCs w:val="16"/>
        </w:rPr>
      </w:pPr>
      <w:r w:rsidRPr="00D37503">
        <w:rPr>
          <w:rFonts w:eastAsia="Times New Roman" w:cs="Arial"/>
          <w:szCs w:val="16"/>
        </w:rPr>
        <w:t>Provide the actual numbers for each of the following mutually exclusive categories. The actual number of “leavers” who are:</w:t>
      </w:r>
    </w:p>
    <w:p w14:paraId="03B608C9" w14:textId="51223E67" w:rsidR="00B67038" w:rsidRPr="00D37503" w:rsidRDefault="006C58FD" w:rsidP="006A01BD">
      <w:pPr>
        <w:spacing w:before="0" w:after="0"/>
        <w:ind w:left="432"/>
        <w:rPr>
          <w:rFonts w:eastAsia="Times New Roman" w:cs="Arial"/>
          <w:szCs w:val="16"/>
        </w:rPr>
      </w:pPr>
      <w:r w:rsidRPr="00D37503">
        <w:rPr>
          <w:rFonts w:eastAsia="Times New Roman" w:cs="Arial"/>
          <w:szCs w:val="16"/>
        </w:rPr>
        <w:tab/>
        <w:t>1. Enrolled in higher education within one year of leaving high school;</w:t>
      </w:r>
    </w:p>
    <w:p w14:paraId="797BA656" w14:textId="599F8145" w:rsidR="00B67038" w:rsidRPr="00D37503" w:rsidRDefault="006C58FD" w:rsidP="006A01BD">
      <w:pPr>
        <w:spacing w:before="0" w:after="0"/>
        <w:ind w:left="432"/>
        <w:rPr>
          <w:rFonts w:eastAsia="Times New Roman" w:cs="Arial"/>
          <w:szCs w:val="16"/>
        </w:rPr>
      </w:pPr>
      <w:r w:rsidRPr="00D37503">
        <w:rPr>
          <w:rFonts w:eastAsia="Times New Roman" w:cs="Arial"/>
          <w:szCs w:val="16"/>
        </w:rPr>
        <w:tab/>
        <w:t>2. Competitively employed within one year of leaving high school (but not enrolled in higher education);</w:t>
      </w:r>
    </w:p>
    <w:p w14:paraId="17A92E9A" w14:textId="64EC74C3" w:rsidR="00B67038" w:rsidRPr="00D37503" w:rsidRDefault="006C58FD" w:rsidP="006A01BD">
      <w:pPr>
        <w:spacing w:before="0" w:after="0"/>
        <w:ind w:left="432"/>
        <w:rPr>
          <w:rFonts w:eastAsia="Times New Roman" w:cs="Arial"/>
          <w:szCs w:val="16"/>
        </w:rPr>
      </w:pPr>
      <w:r w:rsidRPr="00D37503">
        <w:rPr>
          <w:rFonts w:eastAsia="Times New Roman" w:cs="Arial"/>
          <w:szCs w:val="16"/>
        </w:rPr>
        <w:tab/>
        <w:t xml:space="preserve">3. Enrolled in some other postsecondary education or training program within one year of leaving high school (but not enrolled in </w:t>
      </w:r>
      <w:r w:rsidRPr="00D37503">
        <w:rPr>
          <w:rFonts w:eastAsia="Times New Roman" w:cs="Arial"/>
          <w:szCs w:val="16"/>
        </w:rPr>
        <w:tab/>
      </w:r>
      <w:r w:rsidRPr="00D37503">
        <w:rPr>
          <w:rFonts w:eastAsia="Times New Roman" w:cs="Arial"/>
          <w:szCs w:val="16"/>
        </w:rPr>
        <w:tab/>
      </w:r>
      <w:r w:rsidRPr="00D37503">
        <w:rPr>
          <w:rFonts w:eastAsia="Times New Roman" w:cs="Arial"/>
          <w:szCs w:val="16"/>
        </w:rPr>
        <w:tab/>
      </w:r>
      <w:r w:rsidR="00B67038" w:rsidRPr="00D37503">
        <w:rPr>
          <w:rFonts w:eastAsia="Times New Roman" w:cs="Arial"/>
          <w:szCs w:val="16"/>
        </w:rPr>
        <w:t>higher education or competitively employed);</w:t>
      </w:r>
    </w:p>
    <w:p w14:paraId="506D7913" w14:textId="49E1F1FF" w:rsidR="00B67038" w:rsidRPr="00D37503" w:rsidRDefault="006C58FD" w:rsidP="006A01BD">
      <w:pPr>
        <w:spacing w:before="0" w:after="0"/>
        <w:ind w:left="432"/>
        <w:rPr>
          <w:rFonts w:eastAsia="Times New Roman" w:cs="Arial"/>
          <w:szCs w:val="16"/>
        </w:rPr>
      </w:pPr>
      <w:r w:rsidRPr="00D37503">
        <w:rPr>
          <w:rFonts w:eastAsia="Times New Roman" w:cs="Arial"/>
          <w:szCs w:val="16"/>
        </w:rPr>
        <w:tab/>
        <w:t xml:space="preserve">4. In some other employment within one year of leaving high school (but not enrolled in higher education, some other postsecondary </w:t>
      </w:r>
      <w:r w:rsidRPr="00D37503">
        <w:rPr>
          <w:rFonts w:eastAsia="Times New Roman" w:cs="Arial"/>
          <w:szCs w:val="16"/>
        </w:rPr>
        <w:tab/>
      </w:r>
      <w:r w:rsidR="00B67038" w:rsidRPr="00D37503">
        <w:rPr>
          <w:rFonts w:eastAsia="Times New Roman" w:cs="Arial"/>
          <w:szCs w:val="16"/>
        </w:rPr>
        <w:t>education or training program, or competitively employed).</w:t>
      </w:r>
    </w:p>
    <w:p w14:paraId="32C672D4" w14:textId="77777777" w:rsidR="006C58FD" w:rsidRPr="00D37503" w:rsidRDefault="006C58FD" w:rsidP="00B67038">
      <w:pPr>
        <w:spacing w:before="0"/>
        <w:ind w:left="432"/>
        <w:rPr>
          <w:rFonts w:eastAsia="Times New Roman" w:cs="Arial"/>
          <w:szCs w:val="16"/>
        </w:rPr>
      </w:pPr>
    </w:p>
    <w:p w14:paraId="12CAB169" w14:textId="7C0DA6D7" w:rsidR="00B67038" w:rsidRPr="005C29F8" w:rsidRDefault="00B67038" w:rsidP="00B67038">
      <w:pPr>
        <w:spacing w:before="0"/>
        <w:ind w:left="432"/>
        <w:rPr>
          <w:rFonts w:eastAsia="Times New Roman" w:cs="Arial"/>
          <w:color w:val="000000" w:themeColor="text1"/>
          <w:szCs w:val="16"/>
        </w:rPr>
      </w:pPr>
      <w:r w:rsidRPr="00D37503">
        <w:rPr>
          <w:rFonts w:eastAsia="Times New Roman" w:cs="Arial"/>
          <w:szCs w:val="16"/>
        </w:rPr>
        <w:t>“Leavers”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happen to be employed. Likewise, “leavers” who are not enrolled in either part- or full-time higher education</w:t>
      </w:r>
      <w:r w:rsidRPr="005C29F8">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0504C504" w14:textId="1B4B7E8B" w:rsidR="00B67038" w:rsidRPr="005C29F8" w:rsidRDefault="00B67038" w:rsidP="003A4027">
      <w:pPr>
        <w:spacing w:before="0" w:after="0"/>
        <w:rPr>
          <w:rFonts w:eastAsia="Times New Roman" w:cs="Arial"/>
          <w:b/>
          <w:bCs/>
          <w:color w:val="000000" w:themeColor="text1"/>
          <w:szCs w:val="16"/>
        </w:rPr>
      </w:pPr>
      <w:r w:rsidRPr="005C29F8">
        <w:rPr>
          <w:rFonts w:eastAsia="Times New Roman" w:cs="Arial"/>
          <w:b/>
          <w:bCs/>
          <w:color w:val="000000" w:themeColor="text1"/>
          <w:szCs w:val="16"/>
        </w:rPr>
        <w:t>III. </w:t>
      </w:r>
      <w:r w:rsidRPr="005C29F8">
        <w:rPr>
          <w:rFonts w:eastAsia="Times New Roman" w:cs="Arial"/>
          <w:b/>
          <w:bCs/>
          <w:i/>
          <w:iCs/>
          <w:color w:val="000000" w:themeColor="text1"/>
          <w:szCs w:val="16"/>
        </w:rPr>
        <w:t xml:space="preserve">Reporting </w:t>
      </w:r>
      <w:r w:rsidR="00DB1150" w:rsidRPr="005C29F8">
        <w:rPr>
          <w:rFonts w:eastAsia="Times New Roman" w:cs="Arial"/>
          <w:b/>
          <w:bCs/>
          <w:i/>
          <w:iCs/>
          <w:color w:val="000000" w:themeColor="text1"/>
          <w:szCs w:val="16"/>
        </w:rPr>
        <w:t>on</w:t>
      </w:r>
      <w:r w:rsidRPr="005C29F8">
        <w:rPr>
          <w:rFonts w:eastAsia="Times New Roman" w:cs="Arial"/>
          <w:b/>
          <w:bCs/>
          <w:i/>
          <w:iCs/>
          <w:color w:val="000000" w:themeColor="text1"/>
          <w:szCs w:val="16"/>
        </w:rPr>
        <w:t xml:space="preserve"> the Measures/Indicators</w:t>
      </w:r>
    </w:p>
    <w:p w14:paraId="2306E2F3" w14:textId="77777777" w:rsidR="00B67038" w:rsidRPr="005C29F8" w:rsidRDefault="00B67038" w:rsidP="003A4027">
      <w:pPr>
        <w:spacing w:before="0" w:after="210"/>
        <w:rPr>
          <w:rFonts w:eastAsia="Times New Roman" w:cs="Arial"/>
          <w:color w:val="000000" w:themeColor="text1"/>
          <w:szCs w:val="16"/>
        </w:rPr>
      </w:pPr>
      <w:r w:rsidRPr="005C29F8">
        <w:rPr>
          <w:rFonts w:eastAsia="Times New Roman" w:cs="Arial"/>
          <w:color w:val="000000" w:themeColor="text1"/>
          <w:szCs w:val="16"/>
        </w:rPr>
        <w:lastRenderedPageBreak/>
        <w:t>Targets must be established for measures A, B, and C.</w:t>
      </w:r>
    </w:p>
    <w:p w14:paraId="5A3D5C77" w14:textId="77777777" w:rsidR="00B67038" w:rsidRPr="005C29F8" w:rsidRDefault="00B67038" w:rsidP="003A4027">
      <w:pPr>
        <w:spacing w:before="0" w:after="210"/>
        <w:rPr>
          <w:rFonts w:eastAsia="Times New Roman" w:cs="Arial"/>
          <w:color w:val="000000" w:themeColor="text1"/>
          <w:szCs w:val="16"/>
        </w:rPr>
      </w:pPr>
      <w:r w:rsidRPr="005C29F8">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5C29F8" w:rsidRDefault="00B67038" w:rsidP="003A4027">
      <w:pPr>
        <w:spacing w:before="0" w:after="210"/>
        <w:rPr>
          <w:rFonts w:eastAsia="Times New Roman" w:cs="Arial"/>
          <w:color w:val="000000" w:themeColor="text1"/>
          <w:szCs w:val="16"/>
        </w:rPr>
      </w:pPr>
      <w:r w:rsidRPr="005C29F8">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7777777" w:rsidR="00B67038" w:rsidRPr="005C29F8" w:rsidRDefault="00B67038" w:rsidP="003A4027">
      <w:pPr>
        <w:spacing w:before="0" w:after="210"/>
        <w:rPr>
          <w:rFonts w:eastAsia="Times New Roman" w:cs="Arial"/>
          <w:color w:val="000000" w:themeColor="text1"/>
          <w:szCs w:val="16"/>
        </w:rPr>
      </w:pPr>
      <w:r w:rsidRPr="005C29F8">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3D129DCD" w14:textId="77777777" w:rsidR="00B67038" w:rsidRPr="005C29F8" w:rsidRDefault="00B67038" w:rsidP="003A4027">
      <w:pPr>
        <w:spacing w:before="0" w:after="210"/>
        <w:rPr>
          <w:rFonts w:eastAsia="Times New Roman" w:cs="Arial"/>
          <w:color w:val="000000" w:themeColor="text1"/>
          <w:szCs w:val="16"/>
        </w:rPr>
      </w:pPr>
      <w:r w:rsidRPr="005C29F8">
        <w:rPr>
          <w:rFonts w:eastAsia="Times New Roman" w:cs="Arial"/>
          <w:color w:val="000000" w:themeColor="text1"/>
          <w:szCs w:val="16"/>
        </w:rPr>
        <w:t>Include the State’s analysis of the extent to which the response data are representative of the demographics of youth who are no longer in secondary school and had IEPs in effect at the time they left school. States should consider categories such as race and ethnicity, disability category, and geographic location in the State.</w:t>
      </w:r>
    </w:p>
    <w:p w14:paraId="0E3C94F2" w14:textId="6C70D6B4" w:rsidR="00B67038" w:rsidRPr="005C29F8" w:rsidRDefault="00B67038" w:rsidP="003A4027">
      <w:pPr>
        <w:spacing w:before="0"/>
        <w:rPr>
          <w:rFonts w:eastAsia="Times New Roman" w:cs="Arial"/>
          <w:color w:val="000000" w:themeColor="text1"/>
          <w:szCs w:val="16"/>
        </w:rPr>
      </w:pPr>
      <w:r w:rsidRPr="005C29F8">
        <w:rPr>
          <w:rFonts w:eastAsia="Times New Roman" w:cs="Arial"/>
          <w:color w:val="000000" w:themeColor="text1"/>
          <w:szCs w:val="16"/>
        </w:rP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p w14:paraId="3FE9961A" w14:textId="1EDBA086" w:rsidR="000301BA" w:rsidRPr="0033429D" w:rsidRDefault="00172058" w:rsidP="00123D76">
      <w:pPr>
        <w:pStyle w:val="Heading2"/>
      </w:pPr>
      <w:r w:rsidRPr="0033429D">
        <w:t>14 - Indicator Data</w:t>
      </w:r>
    </w:p>
    <w:bookmarkEnd w:id="76"/>
    <w:p w14:paraId="373EDCC8" w14:textId="77777777" w:rsidR="005F442C" w:rsidRPr="005C29F8" w:rsidRDefault="005F442C" w:rsidP="004369B2">
      <w:pPr>
        <w:rPr>
          <w:color w:val="000000" w:themeColor="text1"/>
        </w:rPr>
      </w:pPr>
      <w:r w:rsidRPr="005C29F8">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5C29F8" w14:paraId="23017209" w14:textId="77777777" w:rsidTr="0033429D">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5C29F8" w:rsidRDefault="004E1996" w:rsidP="008E31C4">
            <w:pPr>
              <w:spacing w:line="276" w:lineRule="auto"/>
              <w:jc w:val="center"/>
              <w:rPr>
                <w:rFonts w:cs="Arial"/>
                <w:b/>
                <w:color w:val="000000" w:themeColor="text1"/>
                <w:szCs w:val="16"/>
              </w:rPr>
            </w:pPr>
            <w:r>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5C29F8" w:rsidRDefault="005F442C" w:rsidP="008E31C4">
            <w:pPr>
              <w:spacing w:line="276" w:lineRule="auto"/>
              <w:jc w:val="center"/>
              <w:rPr>
                <w:rFonts w:cs="Arial"/>
                <w:b/>
                <w:color w:val="000000" w:themeColor="text1"/>
                <w:szCs w:val="16"/>
              </w:rPr>
            </w:pPr>
            <w:r w:rsidRPr="005C29F8">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5C29F8" w:rsidRDefault="005F442C" w:rsidP="008E31C4">
            <w:pPr>
              <w:spacing w:line="276" w:lineRule="auto"/>
              <w:jc w:val="center"/>
              <w:rPr>
                <w:rFonts w:cs="Arial"/>
                <w:b/>
                <w:color w:val="000000" w:themeColor="text1"/>
                <w:szCs w:val="16"/>
              </w:rPr>
            </w:pPr>
            <w:r w:rsidRPr="005C29F8">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5C29F8" w:rsidRDefault="002B7490" w:rsidP="001111BE">
            <w:pPr>
              <w:spacing w:line="276" w:lineRule="auto"/>
              <w:jc w:val="center"/>
              <w:rPr>
                <w:rFonts w:cs="Arial"/>
                <w:b/>
                <w:color w:val="000000" w:themeColor="text1"/>
                <w:szCs w:val="16"/>
              </w:rPr>
            </w:pPr>
            <w:r w:rsidRPr="005C29F8">
              <w:rPr>
                <w:rFonts w:cs="Arial"/>
                <w:b/>
                <w:color w:val="000000" w:themeColor="text1"/>
                <w:szCs w:val="16"/>
              </w:rPr>
              <w:t>2014</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5C29F8" w:rsidRDefault="002B7490" w:rsidP="001111BE">
            <w:pPr>
              <w:spacing w:line="276" w:lineRule="auto"/>
              <w:jc w:val="center"/>
              <w:rPr>
                <w:rFonts w:cs="Arial"/>
                <w:b/>
                <w:color w:val="000000" w:themeColor="text1"/>
                <w:szCs w:val="16"/>
              </w:rPr>
            </w:pPr>
            <w:r w:rsidRPr="005C29F8">
              <w:rPr>
                <w:rFonts w:cs="Arial"/>
                <w:b/>
                <w:color w:val="000000" w:themeColor="text1"/>
                <w:szCs w:val="16"/>
              </w:rPr>
              <w:t>2015</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5C29F8" w:rsidRDefault="002B7490" w:rsidP="001111BE">
            <w:pPr>
              <w:spacing w:line="276" w:lineRule="auto"/>
              <w:jc w:val="center"/>
              <w:rPr>
                <w:rFonts w:cs="Arial"/>
                <w:b/>
                <w:color w:val="000000" w:themeColor="text1"/>
                <w:szCs w:val="16"/>
              </w:rPr>
            </w:pPr>
            <w:r w:rsidRPr="005C29F8">
              <w:rPr>
                <w:rFonts w:cs="Arial"/>
                <w:b/>
                <w:color w:val="000000" w:themeColor="text1"/>
                <w:szCs w:val="16"/>
              </w:rPr>
              <w:t>2016</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5C29F8" w:rsidRDefault="002B7490" w:rsidP="001111BE">
            <w:pPr>
              <w:spacing w:line="276" w:lineRule="auto"/>
              <w:jc w:val="center"/>
              <w:rPr>
                <w:rFonts w:cs="Arial"/>
                <w:b/>
                <w:color w:val="000000" w:themeColor="text1"/>
                <w:szCs w:val="16"/>
              </w:rPr>
            </w:pPr>
            <w:r w:rsidRPr="005C29F8">
              <w:rPr>
                <w:rFonts w:cs="Arial"/>
                <w:b/>
                <w:color w:val="000000" w:themeColor="text1"/>
                <w:szCs w:val="16"/>
              </w:rPr>
              <w:t>2017</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5C29F8" w:rsidRDefault="002B7490" w:rsidP="001111BE">
            <w:pPr>
              <w:spacing w:line="276" w:lineRule="auto"/>
              <w:jc w:val="center"/>
              <w:rPr>
                <w:rFonts w:cs="Arial"/>
                <w:b/>
                <w:color w:val="000000" w:themeColor="text1"/>
                <w:szCs w:val="16"/>
              </w:rPr>
            </w:pPr>
            <w:r w:rsidRPr="005C29F8">
              <w:rPr>
                <w:rFonts w:cs="Arial"/>
                <w:b/>
                <w:color w:val="000000" w:themeColor="text1"/>
                <w:szCs w:val="16"/>
              </w:rPr>
              <w:t>2018</w:t>
            </w:r>
          </w:p>
        </w:tc>
      </w:tr>
      <w:tr w:rsidR="005C29F8" w:rsidRPr="005C29F8" w14:paraId="083B463F" w14:textId="77777777" w:rsidTr="00AB0D6A">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5C29F8" w:rsidRDefault="005F442C">
            <w:pPr>
              <w:spacing w:line="276" w:lineRule="auto"/>
              <w:jc w:val="center"/>
              <w:rPr>
                <w:rFonts w:cs="Arial"/>
                <w:color w:val="000000" w:themeColor="text1"/>
                <w:szCs w:val="16"/>
              </w:rPr>
            </w:pPr>
            <w:r w:rsidRPr="005C29F8">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5C29F8" w:rsidRDefault="005F442C" w:rsidP="00A018D4">
            <w:pPr>
              <w:spacing w:line="276" w:lineRule="auto"/>
              <w:rPr>
                <w:rFonts w:cs="Arial"/>
                <w:color w:val="000000" w:themeColor="text1"/>
                <w:szCs w:val="16"/>
              </w:rPr>
            </w:pPr>
            <w:r w:rsidRPr="005C29F8">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5C29F8" w:rsidRDefault="002B7490" w:rsidP="00A018D4">
            <w:pPr>
              <w:jc w:val="center"/>
              <w:rPr>
                <w:rFonts w:cs="Arial"/>
                <w:color w:val="000000" w:themeColor="text1"/>
                <w:szCs w:val="16"/>
              </w:rPr>
            </w:pPr>
            <w:r w:rsidRPr="005C29F8">
              <w:rPr>
                <w:rFonts w:cs="Arial"/>
                <w:color w:val="000000" w:themeColor="text1"/>
                <w:szCs w:val="16"/>
              </w:rPr>
              <w:t>47.00%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5C29F8" w:rsidRDefault="002B7490" w:rsidP="00A018D4">
            <w:pPr>
              <w:jc w:val="center"/>
              <w:rPr>
                <w:rFonts w:cs="Arial"/>
                <w:color w:val="000000" w:themeColor="text1"/>
                <w:szCs w:val="16"/>
              </w:rPr>
            </w:pPr>
            <w:r w:rsidRPr="005C29F8">
              <w:rPr>
                <w:rFonts w:cs="Arial"/>
                <w:color w:val="000000" w:themeColor="text1"/>
                <w:szCs w:val="16"/>
              </w:rPr>
              <w:t>49.00%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5C29F8" w:rsidRDefault="002B7490" w:rsidP="00A018D4">
            <w:pPr>
              <w:jc w:val="center"/>
              <w:rPr>
                <w:rFonts w:cs="Arial"/>
                <w:color w:val="000000" w:themeColor="text1"/>
                <w:szCs w:val="16"/>
              </w:rPr>
            </w:pPr>
            <w:r w:rsidRPr="005C29F8">
              <w:rPr>
                <w:rFonts w:cs="Arial"/>
                <w:color w:val="000000" w:themeColor="text1"/>
                <w:szCs w:val="16"/>
              </w:rPr>
              <w:t>51.00%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5C29F8" w:rsidRDefault="002B7490" w:rsidP="00A018D4">
            <w:pPr>
              <w:jc w:val="center"/>
              <w:rPr>
                <w:rFonts w:cs="Arial"/>
                <w:color w:val="000000" w:themeColor="text1"/>
                <w:szCs w:val="16"/>
              </w:rPr>
            </w:pPr>
            <w:r w:rsidRPr="005C29F8">
              <w:rPr>
                <w:rFonts w:cs="Arial"/>
                <w:color w:val="000000" w:themeColor="text1"/>
                <w:szCs w:val="16"/>
              </w:rPr>
              <w:t>53.00%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5C29F8" w:rsidRDefault="002B7490" w:rsidP="00A018D4">
            <w:pPr>
              <w:jc w:val="center"/>
              <w:rPr>
                <w:rFonts w:cs="Arial"/>
                <w:color w:val="000000" w:themeColor="text1"/>
                <w:szCs w:val="16"/>
              </w:rPr>
            </w:pPr>
            <w:r w:rsidRPr="005C29F8">
              <w:rPr>
                <w:rFonts w:cs="Arial"/>
                <w:color w:val="000000" w:themeColor="text1"/>
                <w:szCs w:val="16"/>
              </w:rPr>
              <w:t>50.20%</w:t>
            </w:r>
          </w:p>
        </w:tc>
      </w:tr>
      <w:tr w:rsidR="005C29F8" w:rsidRPr="005C29F8" w14:paraId="4DFAA88C" w14:textId="77777777" w:rsidTr="00AB0D6A">
        <w:trPr>
          <w:trHeight w:val="85"/>
        </w:trPr>
        <w:tc>
          <w:tcPr>
            <w:tcW w:w="190" w:type="pct"/>
            <w:tcBorders>
              <w:left w:val="single" w:sz="4" w:space="0" w:color="auto"/>
              <w:right w:val="single" w:sz="4" w:space="0" w:color="auto"/>
            </w:tcBorders>
            <w:shd w:val="clear" w:color="auto" w:fill="auto"/>
          </w:tcPr>
          <w:p w14:paraId="65028A7E" w14:textId="6CD117ED" w:rsidR="005F442C" w:rsidRPr="005C29F8" w:rsidRDefault="00676431" w:rsidP="00A018D4">
            <w:pPr>
              <w:spacing w:line="276" w:lineRule="auto"/>
              <w:jc w:val="center"/>
              <w:rPr>
                <w:rFonts w:cs="Arial"/>
                <w:color w:val="000000" w:themeColor="text1"/>
                <w:szCs w:val="16"/>
              </w:rPr>
            </w:pPr>
            <w:r w:rsidRPr="005C29F8">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5C29F8" w:rsidRDefault="002B7490" w:rsidP="00A018D4">
            <w:pPr>
              <w:jc w:val="center"/>
              <w:rPr>
                <w:rFonts w:cs="Arial"/>
                <w:color w:val="000000" w:themeColor="text1"/>
                <w:szCs w:val="16"/>
              </w:rPr>
            </w:pPr>
            <w:r w:rsidRPr="005C29F8">
              <w:rPr>
                <w:rFonts w:cs="Arial"/>
                <w:color w:val="000000" w:themeColor="text1"/>
                <w:szCs w:val="16"/>
              </w:rPr>
              <w:t>50.00%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5C29F8" w:rsidRDefault="005F442C" w:rsidP="00A018D4">
            <w:pPr>
              <w:spacing w:line="276" w:lineRule="auto"/>
              <w:rPr>
                <w:rFonts w:cs="Arial"/>
                <w:color w:val="000000" w:themeColor="text1"/>
                <w:szCs w:val="16"/>
              </w:rPr>
            </w:pPr>
            <w:r w:rsidRPr="005C29F8">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5C29F8" w:rsidRDefault="002B7490" w:rsidP="00A018D4">
            <w:pPr>
              <w:jc w:val="center"/>
              <w:rPr>
                <w:rFonts w:cs="Arial"/>
                <w:color w:val="000000" w:themeColor="text1"/>
                <w:szCs w:val="16"/>
              </w:rPr>
            </w:pPr>
            <w:r w:rsidRPr="005C29F8">
              <w:rPr>
                <w:rFonts w:cs="Arial"/>
                <w:color w:val="000000" w:themeColor="text1"/>
                <w:szCs w:val="16"/>
              </w:rPr>
              <w:t>48.94%</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5C29F8" w:rsidRDefault="002B7490" w:rsidP="00A018D4">
            <w:pPr>
              <w:jc w:val="center"/>
              <w:rPr>
                <w:rFonts w:cs="Arial"/>
                <w:color w:val="000000" w:themeColor="text1"/>
                <w:szCs w:val="16"/>
              </w:rPr>
            </w:pPr>
            <w:r w:rsidRPr="005C29F8">
              <w:rPr>
                <w:rFonts w:cs="Arial"/>
                <w:color w:val="000000" w:themeColor="text1"/>
                <w:szCs w:val="16"/>
              </w:rPr>
              <w:t>53.83%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5C29F8" w:rsidRDefault="002B7490" w:rsidP="00A018D4">
            <w:pPr>
              <w:jc w:val="center"/>
              <w:rPr>
                <w:rFonts w:cs="Arial"/>
                <w:color w:val="000000" w:themeColor="text1"/>
                <w:szCs w:val="16"/>
              </w:rPr>
            </w:pPr>
            <w:r w:rsidRPr="005C29F8">
              <w:rPr>
                <w:rFonts w:cs="Arial"/>
                <w:color w:val="000000" w:themeColor="text1"/>
                <w:szCs w:val="16"/>
              </w:rPr>
              <w:t>49.64%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5C29F8" w:rsidRDefault="002B7490" w:rsidP="00A018D4">
            <w:pPr>
              <w:jc w:val="center"/>
              <w:rPr>
                <w:rFonts w:cs="Arial"/>
                <w:color w:val="000000" w:themeColor="text1"/>
                <w:szCs w:val="16"/>
              </w:rPr>
            </w:pPr>
            <w:r w:rsidRPr="005C29F8">
              <w:rPr>
                <w:rFonts w:cs="Arial"/>
                <w:color w:val="000000" w:themeColor="text1"/>
                <w:szCs w:val="16"/>
              </w:rPr>
              <w:t>50.00%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5C29F8" w:rsidRDefault="002B7490" w:rsidP="00A018D4">
            <w:pPr>
              <w:jc w:val="center"/>
              <w:rPr>
                <w:rFonts w:cs="Arial"/>
                <w:color w:val="000000" w:themeColor="text1"/>
                <w:szCs w:val="16"/>
              </w:rPr>
            </w:pPr>
            <w:r w:rsidRPr="005C29F8">
              <w:rPr>
                <w:rFonts w:cs="Arial"/>
                <w:color w:val="000000" w:themeColor="text1"/>
                <w:szCs w:val="16"/>
              </w:rPr>
              <w:t>41.18%</w:t>
            </w:r>
          </w:p>
        </w:tc>
      </w:tr>
      <w:tr w:rsidR="005C29F8" w:rsidRPr="005C29F8" w14:paraId="626D1DE5" w14:textId="77777777" w:rsidTr="00AB0D6A">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5C29F8" w:rsidRDefault="005F442C">
            <w:pPr>
              <w:spacing w:line="276" w:lineRule="auto"/>
              <w:jc w:val="center"/>
              <w:rPr>
                <w:rFonts w:cs="Arial"/>
                <w:color w:val="000000" w:themeColor="text1"/>
                <w:szCs w:val="16"/>
              </w:rPr>
            </w:pPr>
            <w:r w:rsidRPr="005C29F8">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5C29F8" w:rsidRDefault="005F442C" w:rsidP="00A018D4">
            <w:pPr>
              <w:spacing w:line="276" w:lineRule="auto"/>
              <w:rPr>
                <w:rFonts w:cs="Arial"/>
                <w:color w:val="000000" w:themeColor="text1"/>
                <w:szCs w:val="16"/>
              </w:rPr>
            </w:pPr>
            <w:r w:rsidRPr="005C29F8">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5C29F8" w:rsidRDefault="002B7490" w:rsidP="00A018D4">
            <w:pPr>
              <w:jc w:val="center"/>
              <w:rPr>
                <w:rFonts w:cs="Arial"/>
                <w:color w:val="000000" w:themeColor="text1"/>
                <w:szCs w:val="16"/>
              </w:rPr>
            </w:pPr>
            <w:r w:rsidRPr="005C29F8">
              <w:rPr>
                <w:rFonts w:cs="Arial"/>
                <w:color w:val="000000" w:themeColor="text1"/>
                <w:szCs w:val="16"/>
              </w:rPr>
              <w:t>82.00%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5C29F8" w:rsidRDefault="002B7490" w:rsidP="00A018D4">
            <w:pPr>
              <w:jc w:val="center"/>
              <w:rPr>
                <w:rFonts w:cs="Arial"/>
                <w:color w:val="000000" w:themeColor="text1"/>
                <w:szCs w:val="16"/>
              </w:rPr>
            </w:pPr>
            <w:r w:rsidRPr="005C29F8">
              <w:rPr>
                <w:rFonts w:cs="Arial"/>
                <w:color w:val="000000" w:themeColor="text1"/>
                <w:szCs w:val="16"/>
              </w:rPr>
              <w:t>84.00%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5C29F8" w:rsidRDefault="002B7490" w:rsidP="00A018D4">
            <w:pPr>
              <w:jc w:val="center"/>
              <w:rPr>
                <w:rFonts w:cs="Arial"/>
                <w:color w:val="000000" w:themeColor="text1"/>
                <w:szCs w:val="16"/>
              </w:rPr>
            </w:pPr>
            <w:r w:rsidRPr="005C29F8">
              <w:rPr>
                <w:rFonts w:cs="Arial"/>
                <w:color w:val="000000" w:themeColor="text1"/>
                <w:szCs w:val="16"/>
              </w:rPr>
              <w:t>86.00%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5C29F8" w:rsidRDefault="002B7490" w:rsidP="00A018D4">
            <w:pPr>
              <w:jc w:val="center"/>
              <w:rPr>
                <w:rFonts w:cs="Arial"/>
                <w:color w:val="000000" w:themeColor="text1"/>
                <w:szCs w:val="16"/>
              </w:rPr>
            </w:pPr>
            <w:r w:rsidRPr="005C29F8">
              <w:rPr>
                <w:rFonts w:cs="Arial"/>
                <w:color w:val="000000" w:themeColor="text1"/>
                <w:szCs w:val="16"/>
              </w:rPr>
              <w:t>88.00%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5C29F8" w:rsidRDefault="002B7490" w:rsidP="00A018D4">
            <w:pPr>
              <w:jc w:val="center"/>
              <w:rPr>
                <w:rFonts w:cs="Arial"/>
                <w:color w:val="000000" w:themeColor="text1"/>
                <w:szCs w:val="16"/>
              </w:rPr>
            </w:pPr>
            <w:r w:rsidRPr="005C29F8">
              <w:rPr>
                <w:rFonts w:cs="Arial"/>
                <w:color w:val="000000" w:themeColor="text1"/>
                <w:szCs w:val="16"/>
              </w:rPr>
              <w:t>79.60%</w:t>
            </w:r>
          </w:p>
        </w:tc>
      </w:tr>
      <w:tr w:rsidR="005C29F8" w:rsidRPr="005C29F8" w14:paraId="04BD4647" w14:textId="77777777" w:rsidTr="00AB0D6A">
        <w:trPr>
          <w:trHeight w:val="85"/>
        </w:trPr>
        <w:tc>
          <w:tcPr>
            <w:tcW w:w="190" w:type="pct"/>
            <w:tcBorders>
              <w:left w:val="single" w:sz="4" w:space="0" w:color="auto"/>
              <w:right w:val="single" w:sz="4" w:space="0" w:color="auto"/>
            </w:tcBorders>
            <w:shd w:val="clear" w:color="auto" w:fill="auto"/>
          </w:tcPr>
          <w:p w14:paraId="0F20B888" w14:textId="46217DEF" w:rsidR="005F442C" w:rsidRPr="005C29F8" w:rsidRDefault="00676431" w:rsidP="00A018D4">
            <w:pPr>
              <w:spacing w:line="276" w:lineRule="auto"/>
              <w:jc w:val="center"/>
              <w:rPr>
                <w:rFonts w:cs="Arial"/>
                <w:color w:val="000000" w:themeColor="text1"/>
                <w:szCs w:val="16"/>
              </w:rPr>
            </w:pPr>
            <w:r w:rsidRPr="005C29F8">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5C29F8" w:rsidRDefault="002B7490" w:rsidP="00A018D4">
            <w:pPr>
              <w:jc w:val="center"/>
              <w:rPr>
                <w:rFonts w:cs="Arial"/>
                <w:color w:val="000000" w:themeColor="text1"/>
                <w:szCs w:val="16"/>
              </w:rPr>
            </w:pPr>
            <w:r w:rsidRPr="005C29F8">
              <w:rPr>
                <w:rFonts w:cs="Arial"/>
                <w:color w:val="000000" w:themeColor="text1"/>
                <w:szCs w:val="16"/>
              </w:rPr>
              <w:t>79.37%</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5C29F8" w:rsidRDefault="005F442C" w:rsidP="00A018D4">
            <w:pPr>
              <w:spacing w:line="276" w:lineRule="auto"/>
              <w:rPr>
                <w:rFonts w:cs="Arial"/>
                <w:color w:val="000000" w:themeColor="text1"/>
                <w:szCs w:val="16"/>
              </w:rPr>
            </w:pPr>
            <w:r w:rsidRPr="005C29F8">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5C29F8" w:rsidRDefault="002B7490" w:rsidP="00A018D4">
            <w:pPr>
              <w:jc w:val="center"/>
              <w:rPr>
                <w:rFonts w:cs="Arial"/>
                <w:color w:val="000000" w:themeColor="text1"/>
                <w:szCs w:val="16"/>
              </w:rPr>
            </w:pPr>
            <w:r w:rsidRPr="005C29F8">
              <w:rPr>
                <w:rFonts w:cs="Arial"/>
                <w:color w:val="000000" w:themeColor="text1"/>
                <w:szCs w:val="16"/>
              </w:rPr>
              <w:t>82.00%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5C29F8" w:rsidRDefault="002B7490" w:rsidP="00A018D4">
            <w:pPr>
              <w:jc w:val="center"/>
              <w:rPr>
                <w:rFonts w:cs="Arial"/>
                <w:color w:val="000000" w:themeColor="text1"/>
                <w:szCs w:val="16"/>
              </w:rPr>
            </w:pPr>
            <w:r w:rsidRPr="005C29F8">
              <w:rPr>
                <w:rFonts w:cs="Arial"/>
                <w:color w:val="000000" w:themeColor="text1"/>
                <w:szCs w:val="16"/>
              </w:rPr>
              <w:t>81.31%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5C29F8" w:rsidRDefault="002B7490" w:rsidP="00A018D4">
            <w:pPr>
              <w:jc w:val="center"/>
              <w:rPr>
                <w:rFonts w:cs="Arial"/>
                <w:color w:val="000000" w:themeColor="text1"/>
                <w:szCs w:val="16"/>
              </w:rPr>
            </w:pPr>
            <w:r w:rsidRPr="005C29F8">
              <w:rPr>
                <w:rFonts w:cs="Arial"/>
                <w:color w:val="000000" w:themeColor="text1"/>
                <w:szCs w:val="16"/>
              </w:rPr>
              <w:t>83.13%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5C29F8" w:rsidRDefault="002B7490" w:rsidP="00A018D4">
            <w:pPr>
              <w:jc w:val="center"/>
              <w:rPr>
                <w:rFonts w:cs="Arial"/>
                <w:color w:val="000000" w:themeColor="text1"/>
                <w:szCs w:val="16"/>
              </w:rPr>
            </w:pPr>
            <w:r w:rsidRPr="005C29F8">
              <w:rPr>
                <w:rFonts w:cs="Arial"/>
                <w:color w:val="000000" w:themeColor="text1"/>
                <w:szCs w:val="16"/>
              </w:rPr>
              <w:t>79.37%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5C29F8" w:rsidRDefault="002B7490" w:rsidP="00A018D4">
            <w:pPr>
              <w:jc w:val="center"/>
              <w:rPr>
                <w:rFonts w:cs="Arial"/>
                <w:color w:val="000000" w:themeColor="text1"/>
                <w:szCs w:val="16"/>
              </w:rPr>
            </w:pPr>
            <w:r w:rsidRPr="005C29F8">
              <w:rPr>
                <w:rFonts w:cs="Arial"/>
                <w:color w:val="000000" w:themeColor="text1"/>
                <w:szCs w:val="16"/>
              </w:rPr>
              <w:t>70.88%</w:t>
            </w:r>
          </w:p>
        </w:tc>
      </w:tr>
      <w:tr w:rsidR="005C29F8" w:rsidRPr="005C29F8" w14:paraId="3B4797BA" w14:textId="77777777" w:rsidTr="00AB0D6A">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5C29F8" w:rsidRDefault="005F442C">
            <w:pPr>
              <w:spacing w:line="276" w:lineRule="auto"/>
              <w:jc w:val="center"/>
              <w:rPr>
                <w:rFonts w:cs="Arial"/>
                <w:color w:val="000000" w:themeColor="text1"/>
                <w:szCs w:val="16"/>
              </w:rPr>
            </w:pPr>
            <w:r w:rsidRPr="005C29F8">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5C29F8" w:rsidRDefault="002B7490" w:rsidP="00A018D4">
            <w:pPr>
              <w:jc w:val="center"/>
              <w:rPr>
                <w:rFonts w:cs="Arial"/>
                <w:color w:val="000000" w:themeColor="text1"/>
                <w:szCs w:val="16"/>
              </w:rPr>
            </w:pPr>
            <w:r w:rsidRPr="005C29F8">
              <w:rPr>
                <w:rFonts w:cs="Arial"/>
                <w:color w:val="000000" w:themeColor="text1"/>
                <w:szCs w:val="16"/>
              </w:rPr>
              <w:t>2017</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5C29F8" w:rsidRDefault="005F442C" w:rsidP="00A018D4">
            <w:pPr>
              <w:spacing w:line="276" w:lineRule="auto"/>
              <w:rPr>
                <w:rFonts w:cs="Arial"/>
                <w:color w:val="000000" w:themeColor="text1"/>
                <w:szCs w:val="16"/>
              </w:rPr>
            </w:pPr>
            <w:r w:rsidRPr="005C29F8">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5C29F8" w:rsidRDefault="002B7490" w:rsidP="00A018D4">
            <w:pPr>
              <w:jc w:val="center"/>
              <w:rPr>
                <w:rFonts w:cs="Arial"/>
                <w:color w:val="000000" w:themeColor="text1"/>
                <w:szCs w:val="16"/>
              </w:rPr>
            </w:pPr>
            <w:r w:rsidRPr="005C29F8">
              <w:rPr>
                <w:rFonts w:cs="Arial"/>
                <w:color w:val="000000" w:themeColor="text1"/>
                <w:szCs w:val="16"/>
              </w:rPr>
              <w:t>89.00%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5C29F8" w:rsidRDefault="002B7490" w:rsidP="00A018D4">
            <w:pPr>
              <w:jc w:val="center"/>
              <w:rPr>
                <w:rFonts w:cs="Arial"/>
                <w:color w:val="000000" w:themeColor="text1"/>
                <w:szCs w:val="16"/>
              </w:rPr>
            </w:pPr>
            <w:r w:rsidRPr="005C29F8">
              <w:rPr>
                <w:rFonts w:cs="Arial"/>
                <w:color w:val="000000" w:themeColor="text1"/>
                <w:szCs w:val="16"/>
              </w:rPr>
              <w:t>91.00%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5C29F8" w:rsidRDefault="002B7490" w:rsidP="00A018D4">
            <w:pPr>
              <w:jc w:val="center"/>
              <w:rPr>
                <w:rFonts w:cs="Arial"/>
                <w:color w:val="000000" w:themeColor="text1"/>
                <w:szCs w:val="16"/>
              </w:rPr>
            </w:pPr>
            <w:r w:rsidRPr="005C29F8">
              <w:rPr>
                <w:rFonts w:cs="Arial"/>
                <w:color w:val="000000" w:themeColor="text1"/>
                <w:szCs w:val="16"/>
              </w:rPr>
              <w:t>93.00%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5C29F8" w:rsidRDefault="002B7490" w:rsidP="00A018D4">
            <w:pPr>
              <w:jc w:val="center"/>
              <w:rPr>
                <w:rFonts w:cs="Arial"/>
                <w:color w:val="000000" w:themeColor="text1"/>
                <w:szCs w:val="16"/>
              </w:rPr>
            </w:pPr>
            <w:r w:rsidRPr="005C29F8">
              <w:rPr>
                <w:rFonts w:cs="Arial"/>
                <w:color w:val="000000" w:themeColor="text1"/>
                <w:szCs w:val="16"/>
              </w:rPr>
              <w:t>95.00%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5C29F8" w:rsidRDefault="002B7490" w:rsidP="00A018D4">
            <w:pPr>
              <w:jc w:val="center"/>
              <w:rPr>
                <w:rFonts w:cs="Arial"/>
                <w:color w:val="000000" w:themeColor="text1"/>
                <w:szCs w:val="16"/>
              </w:rPr>
            </w:pPr>
            <w:r w:rsidRPr="005C29F8">
              <w:rPr>
                <w:rFonts w:cs="Arial"/>
                <w:color w:val="000000" w:themeColor="text1"/>
                <w:szCs w:val="16"/>
              </w:rPr>
              <w:t>87.30%</w:t>
            </w:r>
          </w:p>
        </w:tc>
      </w:tr>
      <w:tr w:rsidR="005C29F8" w:rsidRPr="005C29F8" w14:paraId="6F394366" w14:textId="77777777" w:rsidTr="00AB0D6A">
        <w:trPr>
          <w:trHeight w:val="85"/>
        </w:trPr>
        <w:tc>
          <w:tcPr>
            <w:tcW w:w="190" w:type="pct"/>
            <w:tcBorders>
              <w:left w:val="single" w:sz="4" w:space="0" w:color="auto"/>
              <w:right w:val="single" w:sz="4" w:space="0" w:color="auto"/>
            </w:tcBorders>
            <w:shd w:val="clear" w:color="auto" w:fill="auto"/>
          </w:tcPr>
          <w:p w14:paraId="44948B1E" w14:textId="67BC5CB9" w:rsidR="005F442C" w:rsidRPr="005C29F8" w:rsidRDefault="00676431" w:rsidP="00A018D4">
            <w:pPr>
              <w:spacing w:line="276" w:lineRule="auto"/>
              <w:jc w:val="center"/>
              <w:rPr>
                <w:rFonts w:cs="Arial"/>
                <w:color w:val="000000" w:themeColor="text1"/>
                <w:szCs w:val="16"/>
              </w:rPr>
            </w:pPr>
            <w:r w:rsidRPr="005C29F8">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5C29F8" w:rsidRDefault="002B7490" w:rsidP="00A018D4">
            <w:pPr>
              <w:jc w:val="center"/>
              <w:rPr>
                <w:rFonts w:cs="Arial"/>
                <w:color w:val="000000" w:themeColor="text1"/>
                <w:szCs w:val="16"/>
              </w:rPr>
            </w:pPr>
            <w:r w:rsidRPr="005C29F8">
              <w:rPr>
                <w:rFonts w:cs="Arial"/>
                <w:color w:val="000000" w:themeColor="text1"/>
                <w:szCs w:val="16"/>
              </w:rPr>
              <w:t>87.09%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5C29F8" w:rsidRDefault="005F442C" w:rsidP="00A018D4">
            <w:pPr>
              <w:spacing w:line="276" w:lineRule="auto"/>
              <w:rPr>
                <w:rFonts w:cs="Arial"/>
                <w:color w:val="000000" w:themeColor="text1"/>
                <w:szCs w:val="16"/>
              </w:rPr>
            </w:pPr>
            <w:r w:rsidRPr="005C29F8">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5C29F8" w:rsidRDefault="002B7490" w:rsidP="00A018D4">
            <w:pPr>
              <w:jc w:val="center"/>
              <w:rPr>
                <w:rFonts w:cs="Arial"/>
                <w:color w:val="000000" w:themeColor="text1"/>
                <w:szCs w:val="16"/>
              </w:rPr>
            </w:pPr>
            <w:r w:rsidRPr="005C29F8">
              <w:rPr>
                <w:rFonts w:cs="Arial"/>
                <w:color w:val="000000" w:themeColor="text1"/>
                <w:szCs w:val="16"/>
              </w:rPr>
              <w:t>90.16%</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5C29F8" w:rsidRDefault="002B7490" w:rsidP="00A018D4">
            <w:pPr>
              <w:jc w:val="center"/>
              <w:rPr>
                <w:rFonts w:cs="Arial"/>
                <w:color w:val="000000" w:themeColor="text1"/>
                <w:szCs w:val="16"/>
              </w:rPr>
            </w:pPr>
            <w:r w:rsidRPr="005C29F8">
              <w:rPr>
                <w:rFonts w:cs="Arial"/>
                <w:color w:val="000000" w:themeColor="text1"/>
                <w:szCs w:val="16"/>
              </w:rPr>
              <w:t>93.74%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5C29F8" w:rsidRDefault="002B7490" w:rsidP="00A018D4">
            <w:pPr>
              <w:jc w:val="center"/>
              <w:rPr>
                <w:rFonts w:cs="Arial"/>
                <w:color w:val="000000" w:themeColor="text1"/>
                <w:szCs w:val="16"/>
              </w:rPr>
            </w:pPr>
            <w:r w:rsidRPr="005C29F8">
              <w:rPr>
                <w:rFonts w:cs="Arial"/>
                <w:color w:val="000000" w:themeColor="text1"/>
                <w:szCs w:val="16"/>
              </w:rPr>
              <w:t>94.43%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5C29F8" w:rsidRDefault="002B7490" w:rsidP="00A018D4">
            <w:pPr>
              <w:jc w:val="center"/>
              <w:rPr>
                <w:rFonts w:cs="Arial"/>
                <w:color w:val="000000" w:themeColor="text1"/>
                <w:szCs w:val="16"/>
              </w:rPr>
            </w:pPr>
            <w:r w:rsidRPr="005C29F8">
              <w:rPr>
                <w:rFonts w:cs="Arial"/>
                <w:color w:val="000000" w:themeColor="text1"/>
                <w:szCs w:val="16"/>
              </w:rPr>
              <w:t>87.09%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5C29F8" w:rsidRDefault="002B7490" w:rsidP="00A018D4">
            <w:pPr>
              <w:jc w:val="center"/>
              <w:rPr>
                <w:rFonts w:cs="Arial"/>
                <w:color w:val="000000" w:themeColor="text1"/>
                <w:szCs w:val="16"/>
              </w:rPr>
            </w:pPr>
            <w:r w:rsidRPr="005C29F8">
              <w:rPr>
                <w:rFonts w:cs="Arial"/>
                <w:color w:val="000000" w:themeColor="text1"/>
                <w:szCs w:val="16"/>
              </w:rPr>
              <w:t>79.02%</w:t>
            </w:r>
          </w:p>
        </w:tc>
      </w:tr>
    </w:tbl>
    <w:p w14:paraId="7084612B" w14:textId="77777777" w:rsidR="00E448E9" w:rsidRPr="005C29F8" w:rsidRDefault="00E448E9" w:rsidP="004369B2">
      <w:pPr>
        <w:rPr>
          <w:color w:val="000000" w:themeColor="text1"/>
        </w:rPr>
      </w:pPr>
    </w:p>
    <w:p w14:paraId="02DB82E4" w14:textId="2DEF87EE" w:rsidR="005F442C" w:rsidRPr="005C29F8" w:rsidRDefault="005F442C" w:rsidP="004369B2">
      <w:pPr>
        <w:rPr>
          <w:color w:val="000000" w:themeColor="text1"/>
        </w:rPr>
      </w:pPr>
      <w:r w:rsidRPr="005C29F8">
        <w:rPr>
          <w:b/>
          <w:color w:val="000000" w:themeColor="text1"/>
        </w:rPr>
        <w:t>FFY 2019 Targets</w:t>
      </w:r>
    </w:p>
    <w:tbl>
      <w:tblPr>
        <w:tblW w:w="1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1075"/>
        <w:gridCol w:w="2186"/>
      </w:tblGrid>
      <w:tr w:rsidR="00441578" w:rsidRPr="005C29F8" w14:paraId="0D5EED67" w14:textId="56E6AAB3" w:rsidTr="0033429D">
        <w:trPr>
          <w:trHeight w:val="350"/>
        </w:trPr>
        <w:tc>
          <w:tcPr>
            <w:tcW w:w="1648" w:type="pct"/>
            <w:tcBorders>
              <w:bottom w:val="single" w:sz="4" w:space="0" w:color="auto"/>
            </w:tcBorders>
            <w:shd w:val="clear" w:color="auto" w:fill="auto"/>
          </w:tcPr>
          <w:p w14:paraId="3A39086B" w14:textId="77777777" w:rsidR="00441578" w:rsidRPr="005C29F8" w:rsidRDefault="00441578" w:rsidP="004369B2">
            <w:pPr>
              <w:jc w:val="center"/>
              <w:rPr>
                <w:b/>
                <w:color w:val="000000" w:themeColor="text1"/>
              </w:rPr>
            </w:pPr>
            <w:r w:rsidRPr="005C29F8">
              <w:rPr>
                <w:b/>
                <w:color w:val="000000" w:themeColor="text1"/>
              </w:rPr>
              <w:t>FFY</w:t>
            </w:r>
          </w:p>
        </w:tc>
        <w:tc>
          <w:tcPr>
            <w:tcW w:w="3352" w:type="pct"/>
            <w:shd w:val="clear" w:color="auto" w:fill="auto"/>
          </w:tcPr>
          <w:p w14:paraId="3904D56E" w14:textId="5A40B787" w:rsidR="00441578" w:rsidRPr="005C29F8" w:rsidRDefault="00441578" w:rsidP="004369B2">
            <w:pPr>
              <w:jc w:val="center"/>
              <w:rPr>
                <w:b/>
                <w:color w:val="000000" w:themeColor="text1"/>
              </w:rPr>
            </w:pPr>
            <w:r w:rsidRPr="005C29F8">
              <w:rPr>
                <w:b/>
                <w:color w:val="000000" w:themeColor="text1"/>
              </w:rPr>
              <w:t>2019</w:t>
            </w:r>
          </w:p>
        </w:tc>
      </w:tr>
      <w:tr w:rsidR="00441578" w:rsidRPr="005C29F8" w14:paraId="7E2B073B" w14:textId="3D1CA9FC" w:rsidTr="0033429D">
        <w:trPr>
          <w:trHeight w:val="357"/>
        </w:trPr>
        <w:tc>
          <w:tcPr>
            <w:tcW w:w="1648" w:type="pct"/>
            <w:shd w:val="clear" w:color="auto" w:fill="auto"/>
          </w:tcPr>
          <w:p w14:paraId="0DC64663" w14:textId="2175F0A9" w:rsidR="00441578" w:rsidRPr="005C29F8" w:rsidRDefault="00441578" w:rsidP="001126C3">
            <w:pPr>
              <w:rPr>
                <w:rFonts w:cs="Arial"/>
                <w:color w:val="000000" w:themeColor="text1"/>
                <w:szCs w:val="16"/>
              </w:rPr>
            </w:pPr>
            <w:r w:rsidRPr="005C29F8">
              <w:rPr>
                <w:rFonts w:cs="Arial"/>
                <w:color w:val="000000" w:themeColor="text1"/>
                <w:szCs w:val="16"/>
              </w:rPr>
              <w:t>Target A &gt;=</w:t>
            </w:r>
          </w:p>
        </w:tc>
        <w:tc>
          <w:tcPr>
            <w:tcW w:w="3352" w:type="pct"/>
            <w:shd w:val="clear" w:color="auto" w:fill="auto"/>
            <w:vAlign w:val="center"/>
          </w:tcPr>
          <w:p w14:paraId="0A86FFC3" w14:textId="4AE9585E" w:rsidR="00441578" w:rsidRPr="005C29F8" w:rsidRDefault="00441578" w:rsidP="00A018D4">
            <w:pPr>
              <w:jc w:val="center"/>
              <w:rPr>
                <w:rFonts w:cs="Arial"/>
                <w:color w:val="000000" w:themeColor="text1"/>
                <w:szCs w:val="16"/>
              </w:rPr>
            </w:pPr>
            <w:r w:rsidRPr="005C29F8">
              <w:rPr>
                <w:rFonts w:cs="Arial"/>
                <w:color w:val="000000" w:themeColor="text1"/>
                <w:szCs w:val="16"/>
              </w:rPr>
              <w:t>50.40%</w:t>
            </w:r>
          </w:p>
        </w:tc>
      </w:tr>
      <w:tr w:rsidR="00441578" w:rsidRPr="005C29F8" w14:paraId="0314BAE3" w14:textId="3C7111DC" w:rsidTr="0033429D">
        <w:trPr>
          <w:trHeight w:val="357"/>
        </w:trPr>
        <w:tc>
          <w:tcPr>
            <w:tcW w:w="1648" w:type="pct"/>
            <w:shd w:val="clear" w:color="auto" w:fill="auto"/>
          </w:tcPr>
          <w:p w14:paraId="53C1536D" w14:textId="615A342B" w:rsidR="00441578" w:rsidRPr="005C29F8" w:rsidRDefault="00441578" w:rsidP="001126C3">
            <w:pPr>
              <w:rPr>
                <w:rFonts w:cs="Arial"/>
                <w:color w:val="000000" w:themeColor="text1"/>
                <w:szCs w:val="16"/>
              </w:rPr>
            </w:pPr>
            <w:r w:rsidRPr="005C29F8">
              <w:rPr>
                <w:rFonts w:cs="Arial"/>
                <w:color w:val="000000" w:themeColor="text1"/>
                <w:szCs w:val="16"/>
              </w:rPr>
              <w:t>Target B &gt;=</w:t>
            </w:r>
          </w:p>
        </w:tc>
        <w:tc>
          <w:tcPr>
            <w:tcW w:w="3352" w:type="pct"/>
            <w:shd w:val="clear" w:color="auto" w:fill="auto"/>
            <w:vAlign w:val="center"/>
          </w:tcPr>
          <w:p w14:paraId="3AAA5324" w14:textId="5539646A" w:rsidR="00441578" w:rsidRPr="005C29F8" w:rsidRDefault="00441578" w:rsidP="00A018D4">
            <w:pPr>
              <w:jc w:val="center"/>
              <w:rPr>
                <w:rFonts w:cs="Arial"/>
                <w:color w:val="000000" w:themeColor="text1"/>
                <w:szCs w:val="16"/>
              </w:rPr>
            </w:pPr>
            <w:r w:rsidRPr="005C29F8">
              <w:rPr>
                <w:rFonts w:cs="Arial"/>
                <w:color w:val="000000" w:themeColor="text1"/>
                <w:szCs w:val="16"/>
              </w:rPr>
              <w:t>79.80%</w:t>
            </w:r>
          </w:p>
        </w:tc>
      </w:tr>
      <w:tr w:rsidR="00441578" w:rsidRPr="005C29F8" w14:paraId="571B685C" w14:textId="647BD845" w:rsidTr="0033429D">
        <w:trPr>
          <w:trHeight w:val="357"/>
        </w:trPr>
        <w:tc>
          <w:tcPr>
            <w:tcW w:w="1648" w:type="pct"/>
            <w:shd w:val="clear" w:color="auto" w:fill="auto"/>
          </w:tcPr>
          <w:p w14:paraId="4D525255" w14:textId="5D1105EA" w:rsidR="00441578" w:rsidRPr="005C29F8" w:rsidRDefault="00441578" w:rsidP="001126C3">
            <w:pPr>
              <w:rPr>
                <w:rFonts w:cs="Arial"/>
                <w:color w:val="000000" w:themeColor="text1"/>
                <w:szCs w:val="16"/>
              </w:rPr>
            </w:pPr>
            <w:r w:rsidRPr="005C29F8">
              <w:rPr>
                <w:rFonts w:cs="Arial"/>
                <w:color w:val="000000" w:themeColor="text1"/>
                <w:szCs w:val="16"/>
              </w:rPr>
              <w:t>Target C &gt;=</w:t>
            </w:r>
          </w:p>
        </w:tc>
        <w:tc>
          <w:tcPr>
            <w:tcW w:w="3352" w:type="pct"/>
            <w:shd w:val="clear" w:color="auto" w:fill="auto"/>
            <w:vAlign w:val="center"/>
          </w:tcPr>
          <w:p w14:paraId="6A2D65BD" w14:textId="1F6D3E1F" w:rsidR="00441578" w:rsidRPr="005C29F8" w:rsidRDefault="00441578" w:rsidP="00A018D4">
            <w:pPr>
              <w:jc w:val="center"/>
              <w:rPr>
                <w:rFonts w:cs="Arial"/>
                <w:color w:val="000000" w:themeColor="text1"/>
                <w:szCs w:val="16"/>
              </w:rPr>
            </w:pPr>
            <w:r w:rsidRPr="005C29F8">
              <w:rPr>
                <w:rFonts w:cs="Arial"/>
                <w:color w:val="000000" w:themeColor="text1"/>
                <w:szCs w:val="16"/>
              </w:rPr>
              <w:t>87.50%</w:t>
            </w:r>
          </w:p>
        </w:tc>
      </w:tr>
    </w:tbl>
    <w:p w14:paraId="007E6F50" w14:textId="125782E4" w:rsidR="000A2C83" w:rsidRDefault="000A2C83" w:rsidP="004369B2">
      <w:pPr>
        <w:rPr>
          <w:b/>
          <w:color w:val="000000" w:themeColor="text1"/>
        </w:rPr>
      </w:pPr>
      <w:r w:rsidRPr="005C29F8">
        <w:rPr>
          <w:b/>
          <w:color w:val="000000" w:themeColor="text1"/>
        </w:rPr>
        <w:t xml:space="preserve">Targets: Description of Stakeholder Input </w:t>
      </w:r>
    </w:p>
    <w:p w14:paraId="0D80EDD0" w14:textId="285AFA3B" w:rsidR="000A2C83" w:rsidRDefault="002B7490" w:rsidP="000A2C83">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262FFC50" w14:textId="3E779EE8" w:rsidR="000A2C83" w:rsidRPr="005C29F8" w:rsidRDefault="002B7490" w:rsidP="000A2C83">
      <w:pPr>
        <w:rPr>
          <w:rFonts w:cs="Arial"/>
          <w:color w:val="000000" w:themeColor="text1"/>
          <w:szCs w:val="16"/>
        </w:rPr>
      </w:pPr>
      <w:r w:rsidRPr="005C29F8">
        <w:rPr>
          <w:rFonts w:cs="Arial"/>
          <w:color w:val="000000" w:themeColor="text1"/>
          <w:szCs w:val="16"/>
        </w:rPr>
        <w:t>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schools, and educational collaboratives; representatives of higher education; and health care and related service providers.</w:t>
      </w:r>
      <w:r w:rsidRPr="005C29F8">
        <w:rPr>
          <w:rFonts w:cs="Arial"/>
          <w:color w:val="000000" w:themeColor="text1"/>
          <w:szCs w:val="16"/>
        </w:rPr>
        <w:br/>
      </w:r>
      <w:r w:rsidRPr="005C29F8">
        <w:rPr>
          <w:rFonts w:cs="Arial"/>
          <w:color w:val="000000" w:themeColor="text1"/>
          <w:szCs w:val="16"/>
        </w:rPr>
        <w:br/>
        <w:t xml:space="preserve">The SEAP met most recently in January 2021 to review current data and discuss future actions to improve the State’s performance. No targets were set </w:t>
      </w:r>
      <w:r w:rsidRPr="005C29F8">
        <w:rPr>
          <w:rFonts w:cs="Arial"/>
          <w:color w:val="000000" w:themeColor="text1"/>
          <w:szCs w:val="16"/>
        </w:rPr>
        <w:lastRenderedPageBreak/>
        <w:t>at the January 2021 meeting, but targets will be set next year to correspond with the new FFY2020-FFY2025 package.</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MA DESE also consults with educators, parents, advocates, and others on an ad hoc basis to inform policy and practice. Stakeholder engagement is an essential component of MA DESE’s special education agenda.</w:t>
      </w:r>
    </w:p>
    <w:p w14:paraId="4522ADD4" w14:textId="77777777" w:rsidR="00E448E9" w:rsidRPr="005C29F8" w:rsidRDefault="00E448E9" w:rsidP="004369B2">
      <w:pPr>
        <w:rPr>
          <w:color w:val="000000" w:themeColor="text1"/>
        </w:rPr>
      </w:pPr>
      <w:bookmarkStart w:id="77" w:name="_Toc392159337"/>
    </w:p>
    <w:p w14:paraId="4202DC3A" w14:textId="3291E421" w:rsidR="00A03EFA" w:rsidRPr="005C29F8" w:rsidRDefault="00EC46E4" w:rsidP="004369B2">
      <w:pPr>
        <w:rPr>
          <w:color w:val="000000" w:themeColor="text1"/>
        </w:rPr>
      </w:pPr>
      <w:r w:rsidRPr="005C29F8">
        <w:rPr>
          <w:b/>
          <w:color w:val="000000" w:themeColor="text1"/>
        </w:rPr>
        <w:t>FFY 2019 SPP/APR Data</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9055"/>
        <w:gridCol w:w="1735"/>
      </w:tblGrid>
      <w:tr w:rsidR="005C29F8" w:rsidRPr="005C29F8" w14:paraId="4BEBCF45" w14:textId="77777777" w:rsidTr="004369B2">
        <w:tc>
          <w:tcPr>
            <w:tcW w:w="4196" w:type="pct"/>
            <w:vAlign w:val="center"/>
          </w:tcPr>
          <w:p w14:paraId="362898CB" w14:textId="77777777" w:rsidR="00634AD8" w:rsidRPr="005C29F8" w:rsidRDefault="00634AD8" w:rsidP="00B06A84">
            <w:pPr>
              <w:keepNext/>
              <w:rPr>
                <w:rFonts w:cs="Arial"/>
                <w:color w:val="000000" w:themeColor="text1"/>
                <w:szCs w:val="16"/>
              </w:rPr>
            </w:pPr>
            <w:r w:rsidRPr="005C29F8">
              <w:rPr>
                <w:rFonts w:cs="Arial"/>
                <w:color w:val="000000" w:themeColor="text1"/>
                <w:szCs w:val="16"/>
              </w:rPr>
              <w:t>Number of respondent youth who are no longer in secondary school and had IEPs in effect at the time they left school</w:t>
            </w:r>
          </w:p>
        </w:tc>
        <w:tc>
          <w:tcPr>
            <w:tcW w:w="804" w:type="pct"/>
            <w:vAlign w:val="center"/>
          </w:tcPr>
          <w:p w14:paraId="4E7A7BCA" w14:textId="4D8CFE95" w:rsidR="00634AD8" w:rsidRPr="005C29F8" w:rsidRDefault="002B7490" w:rsidP="00A018D4">
            <w:pPr>
              <w:jc w:val="center"/>
              <w:rPr>
                <w:rFonts w:cs="Arial"/>
                <w:color w:val="000000" w:themeColor="text1"/>
                <w:szCs w:val="16"/>
              </w:rPr>
            </w:pPr>
            <w:r w:rsidRPr="005C29F8">
              <w:rPr>
                <w:rFonts w:cs="Arial"/>
                <w:color w:val="000000" w:themeColor="text1"/>
                <w:szCs w:val="16"/>
              </w:rPr>
              <w:t>1,190</w:t>
            </w:r>
          </w:p>
        </w:tc>
      </w:tr>
      <w:tr w:rsidR="005C29F8" w:rsidRPr="005C29F8" w14:paraId="5E0C2D8D" w14:textId="77777777" w:rsidTr="004369B2">
        <w:tc>
          <w:tcPr>
            <w:tcW w:w="4196" w:type="pct"/>
            <w:vAlign w:val="center"/>
          </w:tcPr>
          <w:p w14:paraId="307B7092" w14:textId="77777777" w:rsidR="00634AD8" w:rsidRPr="005C29F8" w:rsidRDefault="00634AD8" w:rsidP="003E65F5">
            <w:pPr>
              <w:rPr>
                <w:rFonts w:cs="Arial"/>
                <w:color w:val="000000" w:themeColor="text1"/>
                <w:szCs w:val="16"/>
              </w:rPr>
            </w:pPr>
            <w:r w:rsidRPr="005C29F8">
              <w:rPr>
                <w:rFonts w:cs="Arial"/>
                <w:color w:val="000000" w:themeColor="text1"/>
                <w:szCs w:val="16"/>
              </w:rPr>
              <w:t xml:space="preserve">1. Number of respondent youth who enrolled in higher education within one year of leaving high school </w:t>
            </w:r>
          </w:p>
        </w:tc>
        <w:tc>
          <w:tcPr>
            <w:tcW w:w="804" w:type="pct"/>
            <w:vAlign w:val="center"/>
          </w:tcPr>
          <w:p w14:paraId="0A9A571A" w14:textId="2C7C274B" w:rsidR="00634AD8" w:rsidRPr="005C29F8" w:rsidRDefault="002B7490" w:rsidP="00A018D4">
            <w:pPr>
              <w:jc w:val="center"/>
              <w:rPr>
                <w:rFonts w:cs="Arial"/>
                <w:color w:val="000000" w:themeColor="text1"/>
                <w:szCs w:val="16"/>
              </w:rPr>
            </w:pPr>
            <w:r w:rsidRPr="005C29F8">
              <w:rPr>
                <w:rFonts w:cs="Arial"/>
                <w:color w:val="000000" w:themeColor="text1"/>
                <w:szCs w:val="16"/>
              </w:rPr>
              <w:t>414</w:t>
            </w:r>
          </w:p>
        </w:tc>
      </w:tr>
      <w:tr w:rsidR="005C29F8" w:rsidRPr="005C29F8" w14:paraId="7827FDF9" w14:textId="77777777" w:rsidTr="004369B2">
        <w:tc>
          <w:tcPr>
            <w:tcW w:w="4196" w:type="pct"/>
            <w:vAlign w:val="center"/>
          </w:tcPr>
          <w:p w14:paraId="143C6167" w14:textId="77777777" w:rsidR="00C66181" w:rsidRPr="005C29F8" w:rsidRDefault="00C66181" w:rsidP="00C66181">
            <w:pPr>
              <w:rPr>
                <w:rFonts w:cs="Arial"/>
                <w:color w:val="000000" w:themeColor="text1"/>
                <w:szCs w:val="16"/>
              </w:rPr>
            </w:pPr>
            <w:r w:rsidRPr="005C29F8">
              <w:rPr>
                <w:rFonts w:cs="Arial"/>
                <w:color w:val="000000" w:themeColor="text1"/>
                <w:szCs w:val="16"/>
              </w:rPr>
              <w:t xml:space="preserve">2. Number of respondent youth who competitively employed within one year of leaving high school </w:t>
            </w:r>
          </w:p>
        </w:tc>
        <w:tc>
          <w:tcPr>
            <w:tcW w:w="804" w:type="pct"/>
            <w:vAlign w:val="center"/>
          </w:tcPr>
          <w:p w14:paraId="6B716476" w14:textId="340D4859" w:rsidR="00C66181" w:rsidRPr="005C29F8" w:rsidRDefault="002B7490" w:rsidP="00A018D4">
            <w:pPr>
              <w:jc w:val="center"/>
              <w:rPr>
                <w:rFonts w:cs="Arial"/>
                <w:color w:val="000000" w:themeColor="text1"/>
                <w:szCs w:val="16"/>
              </w:rPr>
            </w:pPr>
            <w:r w:rsidRPr="005C29F8">
              <w:rPr>
                <w:rFonts w:cs="Arial"/>
                <w:color w:val="000000" w:themeColor="text1"/>
                <w:szCs w:val="16"/>
              </w:rPr>
              <w:t>259</w:t>
            </w:r>
          </w:p>
        </w:tc>
      </w:tr>
      <w:tr w:rsidR="005C29F8" w:rsidRPr="005C29F8" w14:paraId="5F3556EC" w14:textId="77777777" w:rsidTr="004369B2">
        <w:tc>
          <w:tcPr>
            <w:tcW w:w="4196" w:type="pct"/>
            <w:vAlign w:val="center"/>
          </w:tcPr>
          <w:p w14:paraId="31472415" w14:textId="77777777" w:rsidR="00C66181" w:rsidRPr="005C29F8" w:rsidRDefault="00C66181" w:rsidP="00C66181">
            <w:pPr>
              <w:rPr>
                <w:rFonts w:cs="Arial"/>
                <w:color w:val="000000" w:themeColor="text1"/>
                <w:szCs w:val="16"/>
              </w:rPr>
            </w:pPr>
            <w:r w:rsidRPr="005C29F8">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804" w:type="pct"/>
            <w:vAlign w:val="center"/>
          </w:tcPr>
          <w:p w14:paraId="113FFF64" w14:textId="3A694BE0" w:rsidR="00C66181" w:rsidRPr="005C29F8" w:rsidRDefault="002B7490" w:rsidP="00A018D4">
            <w:pPr>
              <w:jc w:val="center"/>
              <w:rPr>
                <w:rFonts w:cs="Arial"/>
                <w:color w:val="000000" w:themeColor="text1"/>
                <w:szCs w:val="16"/>
              </w:rPr>
            </w:pPr>
            <w:r w:rsidRPr="005C29F8">
              <w:rPr>
                <w:rFonts w:cs="Arial"/>
                <w:color w:val="000000" w:themeColor="text1"/>
                <w:szCs w:val="16"/>
              </w:rPr>
              <w:t>35</w:t>
            </w:r>
          </w:p>
        </w:tc>
      </w:tr>
      <w:tr w:rsidR="00C66181" w:rsidRPr="005C29F8" w14:paraId="781804C6" w14:textId="77777777" w:rsidTr="004369B2">
        <w:tc>
          <w:tcPr>
            <w:tcW w:w="4196" w:type="pct"/>
            <w:vAlign w:val="center"/>
          </w:tcPr>
          <w:p w14:paraId="1C549366" w14:textId="77777777" w:rsidR="00C66181" w:rsidRPr="005C29F8" w:rsidRDefault="00C66181" w:rsidP="00C66181">
            <w:pPr>
              <w:rPr>
                <w:rFonts w:cs="Arial"/>
                <w:color w:val="000000" w:themeColor="text1"/>
                <w:szCs w:val="16"/>
              </w:rPr>
            </w:pPr>
            <w:r w:rsidRPr="005C29F8">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804" w:type="pct"/>
            <w:vAlign w:val="center"/>
          </w:tcPr>
          <w:p w14:paraId="73A7669A" w14:textId="69DC744F" w:rsidR="00C66181" w:rsidRPr="005C29F8" w:rsidRDefault="002B7490" w:rsidP="00A018D4">
            <w:pPr>
              <w:jc w:val="center"/>
              <w:rPr>
                <w:rFonts w:cs="Arial"/>
                <w:color w:val="000000" w:themeColor="text1"/>
                <w:szCs w:val="16"/>
              </w:rPr>
            </w:pPr>
            <w:r w:rsidRPr="005C29F8">
              <w:rPr>
                <w:rFonts w:cs="Arial"/>
                <w:color w:val="000000" w:themeColor="text1"/>
                <w:szCs w:val="16"/>
              </w:rPr>
              <w:t>34</w:t>
            </w:r>
          </w:p>
        </w:tc>
      </w:tr>
    </w:tbl>
    <w:p w14:paraId="4C7C103F" w14:textId="77777777" w:rsidR="00634AD8" w:rsidRPr="005C29F8"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5C29F8" w:rsidRPr="005C29F8" w14:paraId="5EEC1BAF" w14:textId="0A8A2949" w:rsidTr="0033429D">
        <w:trPr>
          <w:trHeight w:val="358"/>
          <w:tblHeader/>
        </w:trPr>
        <w:tc>
          <w:tcPr>
            <w:tcW w:w="625" w:type="pct"/>
            <w:shd w:val="clear" w:color="auto" w:fill="auto"/>
            <w:vAlign w:val="bottom"/>
          </w:tcPr>
          <w:p w14:paraId="4E882584" w14:textId="038C3477" w:rsidR="00B67038" w:rsidRPr="005C29F8" w:rsidRDefault="004E1996" w:rsidP="00B02B95">
            <w:pPr>
              <w:jc w:val="center"/>
              <w:rPr>
                <w:rFonts w:cs="Arial"/>
                <w:b/>
                <w:color w:val="000000" w:themeColor="text1"/>
                <w:szCs w:val="16"/>
              </w:rPr>
            </w:pPr>
            <w:r>
              <w:rPr>
                <w:rFonts w:cs="Arial"/>
                <w:b/>
                <w:color w:val="000000" w:themeColor="text1"/>
                <w:szCs w:val="16"/>
              </w:rPr>
              <w:t>Measure</w:t>
            </w:r>
          </w:p>
        </w:tc>
        <w:tc>
          <w:tcPr>
            <w:tcW w:w="625" w:type="pct"/>
            <w:shd w:val="clear" w:color="auto" w:fill="auto"/>
            <w:vAlign w:val="bottom"/>
          </w:tcPr>
          <w:p w14:paraId="5814109E" w14:textId="77777777" w:rsidR="00B67038" w:rsidRPr="005C29F8" w:rsidRDefault="00B67038" w:rsidP="00B02B95">
            <w:pPr>
              <w:jc w:val="center"/>
              <w:rPr>
                <w:rFonts w:cs="Arial"/>
                <w:b/>
                <w:color w:val="000000" w:themeColor="text1"/>
                <w:szCs w:val="16"/>
              </w:rPr>
            </w:pPr>
            <w:r w:rsidRPr="005C29F8">
              <w:rPr>
                <w:rFonts w:cs="Arial"/>
                <w:b/>
                <w:color w:val="000000" w:themeColor="text1"/>
                <w:szCs w:val="16"/>
              </w:rPr>
              <w:t>Number of respondent youth</w:t>
            </w:r>
          </w:p>
        </w:tc>
        <w:tc>
          <w:tcPr>
            <w:tcW w:w="625" w:type="pct"/>
            <w:shd w:val="clear" w:color="auto" w:fill="auto"/>
            <w:vAlign w:val="bottom"/>
          </w:tcPr>
          <w:p w14:paraId="14CE6B2C" w14:textId="77777777" w:rsidR="00B67038" w:rsidRPr="005C29F8" w:rsidRDefault="00B67038" w:rsidP="00B02B95">
            <w:pPr>
              <w:jc w:val="center"/>
              <w:rPr>
                <w:rFonts w:cs="Arial"/>
                <w:b/>
                <w:color w:val="000000" w:themeColor="text1"/>
                <w:szCs w:val="16"/>
              </w:rPr>
            </w:pPr>
            <w:r w:rsidRPr="005C29F8">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7F0E9157" w:rsidR="00B67038" w:rsidRPr="005C29F8" w:rsidRDefault="001111BE" w:rsidP="00B02B95">
            <w:pPr>
              <w:jc w:val="center"/>
              <w:rPr>
                <w:rFonts w:cs="Arial"/>
                <w:b/>
                <w:color w:val="000000" w:themeColor="text1"/>
                <w:szCs w:val="16"/>
              </w:rPr>
            </w:pPr>
            <w:r w:rsidRPr="005C29F8">
              <w:rPr>
                <w:rFonts w:cs="Arial"/>
                <w:b/>
                <w:color w:val="000000" w:themeColor="text1"/>
                <w:szCs w:val="16"/>
              </w:rPr>
              <w:t>FFY 2018 Data</w:t>
            </w:r>
          </w:p>
        </w:tc>
        <w:tc>
          <w:tcPr>
            <w:tcW w:w="625" w:type="pct"/>
            <w:shd w:val="clear" w:color="auto" w:fill="auto"/>
            <w:vAlign w:val="bottom"/>
          </w:tcPr>
          <w:p w14:paraId="5152926B" w14:textId="6CEABA8D" w:rsidR="00B67038" w:rsidRPr="005C29F8" w:rsidRDefault="00B67038" w:rsidP="00B02B95">
            <w:pPr>
              <w:jc w:val="center"/>
              <w:rPr>
                <w:rFonts w:cs="Arial"/>
                <w:b/>
                <w:color w:val="000000" w:themeColor="text1"/>
                <w:szCs w:val="16"/>
              </w:rPr>
            </w:pPr>
            <w:r w:rsidRPr="005C29F8">
              <w:rPr>
                <w:rFonts w:cs="Arial"/>
                <w:b/>
                <w:color w:val="000000" w:themeColor="text1"/>
                <w:szCs w:val="16"/>
              </w:rPr>
              <w:t>FFY 2019 Target</w:t>
            </w:r>
          </w:p>
        </w:tc>
        <w:tc>
          <w:tcPr>
            <w:tcW w:w="625" w:type="pct"/>
            <w:shd w:val="clear" w:color="auto" w:fill="auto"/>
            <w:vAlign w:val="bottom"/>
          </w:tcPr>
          <w:p w14:paraId="520BBB1B" w14:textId="0403AE7C" w:rsidR="00B67038" w:rsidRPr="005C29F8" w:rsidRDefault="00B67038" w:rsidP="00B02B95">
            <w:pPr>
              <w:jc w:val="center"/>
              <w:rPr>
                <w:rFonts w:cs="Arial"/>
                <w:b/>
                <w:color w:val="000000" w:themeColor="text1"/>
                <w:szCs w:val="16"/>
              </w:rPr>
            </w:pPr>
            <w:r w:rsidRPr="005C29F8">
              <w:rPr>
                <w:rFonts w:cs="Arial"/>
                <w:b/>
                <w:color w:val="000000" w:themeColor="text1"/>
                <w:szCs w:val="16"/>
              </w:rPr>
              <w:t>FFY 2019 Data</w:t>
            </w:r>
          </w:p>
        </w:tc>
        <w:tc>
          <w:tcPr>
            <w:tcW w:w="625" w:type="pct"/>
            <w:shd w:val="clear" w:color="auto" w:fill="auto"/>
            <w:vAlign w:val="bottom"/>
          </w:tcPr>
          <w:p w14:paraId="4E9CD96E" w14:textId="648B12FE" w:rsidR="00B67038" w:rsidRPr="005C29F8" w:rsidRDefault="00B67038" w:rsidP="00B02B95">
            <w:pPr>
              <w:jc w:val="center"/>
              <w:rPr>
                <w:rFonts w:cs="Arial"/>
                <w:b/>
                <w:color w:val="000000" w:themeColor="text1"/>
                <w:szCs w:val="16"/>
              </w:rPr>
            </w:pPr>
            <w:r w:rsidRPr="005C29F8">
              <w:rPr>
                <w:rFonts w:cs="Arial"/>
                <w:b/>
                <w:color w:val="000000" w:themeColor="text1"/>
                <w:szCs w:val="16"/>
              </w:rPr>
              <w:t>Status</w:t>
            </w:r>
          </w:p>
        </w:tc>
        <w:tc>
          <w:tcPr>
            <w:tcW w:w="625" w:type="pct"/>
            <w:shd w:val="clear" w:color="auto" w:fill="auto"/>
            <w:vAlign w:val="bottom"/>
          </w:tcPr>
          <w:p w14:paraId="715E8BB1" w14:textId="2FE9D03B" w:rsidR="00B67038" w:rsidRPr="005C29F8" w:rsidRDefault="00B67038" w:rsidP="00B02B95">
            <w:pPr>
              <w:jc w:val="center"/>
              <w:rPr>
                <w:rFonts w:cs="Arial"/>
                <w:b/>
                <w:color w:val="000000" w:themeColor="text1"/>
                <w:szCs w:val="16"/>
              </w:rPr>
            </w:pPr>
            <w:r w:rsidRPr="005C29F8">
              <w:rPr>
                <w:rFonts w:cs="Arial"/>
                <w:b/>
                <w:color w:val="000000" w:themeColor="text1"/>
                <w:szCs w:val="16"/>
              </w:rPr>
              <w:t>Slippage</w:t>
            </w:r>
          </w:p>
        </w:tc>
      </w:tr>
      <w:tr w:rsidR="005C29F8" w:rsidRPr="005C29F8" w14:paraId="2526E003" w14:textId="5321EBA7" w:rsidTr="0033429D">
        <w:trPr>
          <w:trHeight w:val="365"/>
        </w:trPr>
        <w:tc>
          <w:tcPr>
            <w:tcW w:w="625" w:type="pct"/>
            <w:shd w:val="clear" w:color="auto" w:fill="auto"/>
            <w:vAlign w:val="center"/>
          </w:tcPr>
          <w:p w14:paraId="4322DAA7" w14:textId="775B971A" w:rsidR="00C66181" w:rsidRPr="005C29F8" w:rsidRDefault="00C66181" w:rsidP="00C66181">
            <w:pPr>
              <w:rPr>
                <w:rFonts w:cs="Arial"/>
                <w:color w:val="000000" w:themeColor="text1"/>
                <w:szCs w:val="16"/>
              </w:rPr>
            </w:pPr>
            <w:r w:rsidRPr="005C29F8">
              <w:rPr>
                <w:rFonts w:cs="Arial"/>
                <w:color w:val="000000" w:themeColor="text1"/>
                <w:szCs w:val="16"/>
              </w:rPr>
              <w:t>A. Enrolled in higher education (1)</w:t>
            </w:r>
          </w:p>
        </w:tc>
        <w:tc>
          <w:tcPr>
            <w:tcW w:w="625" w:type="pct"/>
            <w:shd w:val="clear" w:color="auto" w:fill="auto"/>
            <w:vAlign w:val="center"/>
          </w:tcPr>
          <w:p w14:paraId="2B2B0998" w14:textId="349D0F93" w:rsidR="00C66181" w:rsidRPr="005C29F8" w:rsidRDefault="002B7490" w:rsidP="00A018D4">
            <w:pPr>
              <w:jc w:val="center"/>
              <w:rPr>
                <w:rFonts w:cs="Arial"/>
                <w:color w:val="000000" w:themeColor="text1"/>
                <w:szCs w:val="16"/>
              </w:rPr>
            </w:pPr>
            <w:r w:rsidRPr="005C29F8">
              <w:rPr>
                <w:rFonts w:cs="Arial"/>
                <w:color w:val="000000" w:themeColor="text1"/>
                <w:szCs w:val="16"/>
              </w:rPr>
              <w:t>414</w:t>
            </w:r>
          </w:p>
        </w:tc>
        <w:tc>
          <w:tcPr>
            <w:tcW w:w="625" w:type="pct"/>
            <w:shd w:val="clear" w:color="auto" w:fill="auto"/>
            <w:vAlign w:val="center"/>
          </w:tcPr>
          <w:p w14:paraId="2D1BC64A" w14:textId="15C5A024" w:rsidR="00C66181" w:rsidRPr="005C29F8" w:rsidRDefault="002B7490" w:rsidP="00A018D4">
            <w:pPr>
              <w:jc w:val="center"/>
              <w:rPr>
                <w:rFonts w:cs="Arial"/>
                <w:color w:val="000000" w:themeColor="text1"/>
                <w:szCs w:val="16"/>
              </w:rPr>
            </w:pPr>
            <w:r w:rsidRPr="005C29F8">
              <w:rPr>
                <w:rFonts w:cs="Arial"/>
                <w:color w:val="000000" w:themeColor="text1"/>
                <w:szCs w:val="16"/>
              </w:rPr>
              <w:t>1,190</w:t>
            </w:r>
          </w:p>
        </w:tc>
        <w:tc>
          <w:tcPr>
            <w:tcW w:w="625" w:type="pct"/>
            <w:shd w:val="clear" w:color="auto" w:fill="auto"/>
            <w:vAlign w:val="center"/>
          </w:tcPr>
          <w:p w14:paraId="3243FB0B" w14:textId="028EEEBB" w:rsidR="00C66181" w:rsidRPr="005C29F8" w:rsidRDefault="002B7490" w:rsidP="00A018D4">
            <w:pPr>
              <w:jc w:val="center"/>
              <w:rPr>
                <w:rFonts w:cs="Arial"/>
                <w:color w:val="000000" w:themeColor="text1"/>
                <w:szCs w:val="16"/>
              </w:rPr>
            </w:pPr>
            <w:r w:rsidRPr="005C29F8">
              <w:rPr>
                <w:rFonts w:cs="Arial"/>
                <w:color w:val="000000" w:themeColor="text1"/>
                <w:szCs w:val="16"/>
              </w:rPr>
              <w:t>41.18%</w:t>
            </w:r>
          </w:p>
        </w:tc>
        <w:tc>
          <w:tcPr>
            <w:tcW w:w="625" w:type="pct"/>
            <w:shd w:val="clear" w:color="auto" w:fill="auto"/>
            <w:vAlign w:val="center"/>
          </w:tcPr>
          <w:p w14:paraId="7BCB140B" w14:textId="02D0AFDC" w:rsidR="00C66181" w:rsidRPr="005C29F8" w:rsidRDefault="002B7490" w:rsidP="00A018D4">
            <w:pPr>
              <w:jc w:val="center"/>
              <w:rPr>
                <w:rFonts w:cs="Arial"/>
                <w:color w:val="000000" w:themeColor="text1"/>
                <w:szCs w:val="16"/>
              </w:rPr>
            </w:pPr>
            <w:r w:rsidRPr="005C29F8">
              <w:rPr>
                <w:rFonts w:cs="Arial"/>
                <w:color w:val="000000" w:themeColor="text1"/>
                <w:szCs w:val="16"/>
              </w:rPr>
              <w:t>50.40%</w:t>
            </w:r>
          </w:p>
        </w:tc>
        <w:tc>
          <w:tcPr>
            <w:tcW w:w="625" w:type="pct"/>
            <w:shd w:val="clear" w:color="auto" w:fill="auto"/>
            <w:vAlign w:val="center"/>
          </w:tcPr>
          <w:p w14:paraId="0D6600A4" w14:textId="4E0FD8C8" w:rsidR="00C66181" w:rsidRPr="005C29F8" w:rsidRDefault="002B7490" w:rsidP="00A018D4">
            <w:pPr>
              <w:jc w:val="center"/>
              <w:rPr>
                <w:rFonts w:cs="Arial"/>
                <w:color w:val="000000" w:themeColor="text1"/>
                <w:szCs w:val="16"/>
              </w:rPr>
            </w:pPr>
            <w:r w:rsidRPr="005C29F8">
              <w:rPr>
                <w:rFonts w:cs="Arial"/>
                <w:color w:val="000000" w:themeColor="text1"/>
                <w:szCs w:val="16"/>
              </w:rPr>
              <w:t>34.79%</w:t>
            </w:r>
          </w:p>
        </w:tc>
        <w:tc>
          <w:tcPr>
            <w:tcW w:w="625" w:type="pct"/>
            <w:shd w:val="clear" w:color="auto" w:fill="auto"/>
            <w:vAlign w:val="center"/>
          </w:tcPr>
          <w:p w14:paraId="3C766484" w14:textId="7B272BC5" w:rsidR="00C66181"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625" w:type="pct"/>
            <w:shd w:val="clear" w:color="auto" w:fill="auto"/>
            <w:vAlign w:val="center"/>
          </w:tcPr>
          <w:p w14:paraId="575A444D" w14:textId="78F1C14C" w:rsidR="00C66181" w:rsidRPr="005C29F8" w:rsidRDefault="002B7490" w:rsidP="00A018D4">
            <w:pPr>
              <w:jc w:val="center"/>
              <w:rPr>
                <w:rFonts w:cs="Arial"/>
                <w:color w:val="000000" w:themeColor="text1"/>
                <w:szCs w:val="16"/>
              </w:rPr>
            </w:pPr>
            <w:r w:rsidRPr="005C29F8">
              <w:rPr>
                <w:rFonts w:cs="Arial"/>
                <w:color w:val="000000" w:themeColor="text1"/>
                <w:szCs w:val="16"/>
              </w:rPr>
              <w:t>Slippage</w:t>
            </w:r>
          </w:p>
        </w:tc>
      </w:tr>
      <w:tr w:rsidR="005C29F8" w:rsidRPr="005C29F8" w14:paraId="490D8194" w14:textId="3CFB279F" w:rsidTr="0033429D">
        <w:trPr>
          <w:trHeight w:val="365"/>
        </w:trPr>
        <w:tc>
          <w:tcPr>
            <w:tcW w:w="625" w:type="pct"/>
            <w:shd w:val="clear" w:color="auto" w:fill="auto"/>
            <w:vAlign w:val="center"/>
          </w:tcPr>
          <w:p w14:paraId="64A6757D" w14:textId="0FC0A9B9" w:rsidR="00C66181" w:rsidRPr="005C29F8" w:rsidRDefault="00C66181" w:rsidP="00C66181">
            <w:pPr>
              <w:rPr>
                <w:rFonts w:cs="Arial"/>
                <w:color w:val="000000" w:themeColor="text1"/>
                <w:szCs w:val="16"/>
              </w:rPr>
            </w:pPr>
            <w:r w:rsidRPr="005C29F8">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5C29F8" w:rsidRDefault="002B7490" w:rsidP="00A018D4">
            <w:pPr>
              <w:jc w:val="center"/>
              <w:rPr>
                <w:rFonts w:cs="Arial"/>
                <w:color w:val="000000" w:themeColor="text1"/>
                <w:szCs w:val="16"/>
              </w:rPr>
            </w:pPr>
            <w:r w:rsidRPr="005C29F8">
              <w:rPr>
                <w:rFonts w:cs="Arial"/>
                <w:color w:val="000000" w:themeColor="text1"/>
                <w:szCs w:val="16"/>
              </w:rPr>
              <w:t>673</w:t>
            </w:r>
          </w:p>
        </w:tc>
        <w:tc>
          <w:tcPr>
            <w:tcW w:w="625" w:type="pct"/>
            <w:shd w:val="clear" w:color="auto" w:fill="auto"/>
            <w:vAlign w:val="center"/>
          </w:tcPr>
          <w:p w14:paraId="5DE56E38" w14:textId="525AF49A" w:rsidR="00C66181" w:rsidRPr="005C29F8" w:rsidRDefault="002B7490" w:rsidP="00A018D4">
            <w:pPr>
              <w:jc w:val="center"/>
              <w:rPr>
                <w:rFonts w:cs="Arial"/>
                <w:color w:val="000000" w:themeColor="text1"/>
                <w:szCs w:val="16"/>
              </w:rPr>
            </w:pPr>
            <w:r w:rsidRPr="005C29F8">
              <w:rPr>
                <w:rFonts w:cs="Arial"/>
                <w:color w:val="000000" w:themeColor="text1"/>
                <w:szCs w:val="16"/>
              </w:rPr>
              <w:t>1,190</w:t>
            </w:r>
          </w:p>
        </w:tc>
        <w:tc>
          <w:tcPr>
            <w:tcW w:w="625" w:type="pct"/>
            <w:shd w:val="clear" w:color="auto" w:fill="auto"/>
            <w:vAlign w:val="center"/>
          </w:tcPr>
          <w:p w14:paraId="7FF1FC54" w14:textId="2A5DA1E3" w:rsidR="00C66181" w:rsidRPr="005C29F8" w:rsidRDefault="002B7490" w:rsidP="00A018D4">
            <w:pPr>
              <w:jc w:val="center"/>
              <w:rPr>
                <w:rFonts w:cs="Arial"/>
                <w:color w:val="000000" w:themeColor="text1"/>
                <w:szCs w:val="16"/>
              </w:rPr>
            </w:pPr>
            <w:r w:rsidRPr="005C29F8">
              <w:rPr>
                <w:rFonts w:cs="Arial"/>
                <w:color w:val="000000" w:themeColor="text1"/>
                <w:szCs w:val="16"/>
              </w:rPr>
              <w:t>70.88%</w:t>
            </w:r>
          </w:p>
        </w:tc>
        <w:tc>
          <w:tcPr>
            <w:tcW w:w="625" w:type="pct"/>
            <w:shd w:val="clear" w:color="auto" w:fill="auto"/>
            <w:vAlign w:val="center"/>
          </w:tcPr>
          <w:p w14:paraId="296C6AD3" w14:textId="560D60D3" w:rsidR="00C66181" w:rsidRPr="005C29F8" w:rsidRDefault="002B7490" w:rsidP="00A018D4">
            <w:pPr>
              <w:jc w:val="center"/>
              <w:rPr>
                <w:rFonts w:cs="Arial"/>
                <w:color w:val="000000" w:themeColor="text1"/>
                <w:szCs w:val="16"/>
              </w:rPr>
            </w:pPr>
            <w:r w:rsidRPr="005C29F8">
              <w:rPr>
                <w:rFonts w:cs="Arial"/>
                <w:color w:val="000000" w:themeColor="text1"/>
                <w:szCs w:val="16"/>
              </w:rPr>
              <w:t>79.80%</w:t>
            </w:r>
          </w:p>
        </w:tc>
        <w:tc>
          <w:tcPr>
            <w:tcW w:w="625" w:type="pct"/>
            <w:shd w:val="clear" w:color="auto" w:fill="auto"/>
            <w:vAlign w:val="center"/>
          </w:tcPr>
          <w:p w14:paraId="54BDC44C" w14:textId="0AE0B920" w:rsidR="00C66181" w:rsidRPr="005C29F8" w:rsidRDefault="002B7490" w:rsidP="00A018D4">
            <w:pPr>
              <w:jc w:val="center"/>
              <w:rPr>
                <w:rFonts w:cs="Arial"/>
                <w:color w:val="000000" w:themeColor="text1"/>
                <w:szCs w:val="16"/>
              </w:rPr>
            </w:pPr>
            <w:r w:rsidRPr="005C29F8">
              <w:rPr>
                <w:rFonts w:cs="Arial"/>
                <w:color w:val="000000" w:themeColor="text1"/>
                <w:szCs w:val="16"/>
              </w:rPr>
              <w:t>56.55%</w:t>
            </w:r>
          </w:p>
        </w:tc>
        <w:tc>
          <w:tcPr>
            <w:tcW w:w="625" w:type="pct"/>
            <w:shd w:val="clear" w:color="auto" w:fill="auto"/>
            <w:vAlign w:val="center"/>
          </w:tcPr>
          <w:p w14:paraId="48B49570" w14:textId="038E3826" w:rsidR="00C66181"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625" w:type="pct"/>
            <w:shd w:val="clear" w:color="auto" w:fill="auto"/>
            <w:vAlign w:val="center"/>
          </w:tcPr>
          <w:p w14:paraId="0A2BDCF3" w14:textId="3B0044C6" w:rsidR="00C66181" w:rsidRPr="005C29F8" w:rsidRDefault="002B7490" w:rsidP="00A018D4">
            <w:pPr>
              <w:jc w:val="center"/>
              <w:rPr>
                <w:rFonts w:cs="Arial"/>
                <w:color w:val="000000" w:themeColor="text1"/>
                <w:szCs w:val="16"/>
              </w:rPr>
            </w:pPr>
            <w:r w:rsidRPr="005C29F8">
              <w:rPr>
                <w:rFonts w:cs="Arial"/>
                <w:color w:val="000000" w:themeColor="text1"/>
                <w:szCs w:val="16"/>
              </w:rPr>
              <w:t>Slippage</w:t>
            </w:r>
          </w:p>
        </w:tc>
      </w:tr>
      <w:tr w:rsidR="005C29F8" w:rsidRPr="005C29F8" w14:paraId="493DA09A" w14:textId="4FC8161E" w:rsidTr="0033429D">
        <w:trPr>
          <w:trHeight w:val="365"/>
        </w:trPr>
        <w:tc>
          <w:tcPr>
            <w:tcW w:w="625" w:type="pct"/>
            <w:shd w:val="clear" w:color="auto" w:fill="auto"/>
            <w:vAlign w:val="center"/>
          </w:tcPr>
          <w:p w14:paraId="3D517963" w14:textId="6D3BD99F" w:rsidR="00C66181" w:rsidRPr="005C29F8" w:rsidRDefault="00C66181" w:rsidP="00C66181">
            <w:pPr>
              <w:rPr>
                <w:rFonts w:cs="Arial"/>
                <w:color w:val="000000" w:themeColor="text1"/>
                <w:szCs w:val="16"/>
              </w:rPr>
            </w:pPr>
            <w:r w:rsidRPr="005C29F8">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5C29F8" w:rsidRDefault="002B7490" w:rsidP="00A018D4">
            <w:pPr>
              <w:jc w:val="center"/>
              <w:rPr>
                <w:rFonts w:cs="Arial"/>
                <w:color w:val="000000" w:themeColor="text1"/>
                <w:szCs w:val="16"/>
              </w:rPr>
            </w:pPr>
            <w:r w:rsidRPr="005C29F8">
              <w:rPr>
                <w:rFonts w:cs="Arial"/>
                <w:color w:val="000000" w:themeColor="text1"/>
                <w:szCs w:val="16"/>
              </w:rPr>
              <w:t>742</w:t>
            </w:r>
          </w:p>
        </w:tc>
        <w:tc>
          <w:tcPr>
            <w:tcW w:w="625" w:type="pct"/>
            <w:shd w:val="clear" w:color="auto" w:fill="auto"/>
            <w:vAlign w:val="center"/>
          </w:tcPr>
          <w:p w14:paraId="1FAFC4F9" w14:textId="70DE7F33" w:rsidR="00C66181" w:rsidRPr="005C29F8" w:rsidRDefault="002B7490" w:rsidP="00A018D4">
            <w:pPr>
              <w:jc w:val="center"/>
              <w:rPr>
                <w:rFonts w:cs="Arial"/>
                <w:color w:val="000000" w:themeColor="text1"/>
                <w:szCs w:val="16"/>
              </w:rPr>
            </w:pPr>
            <w:r w:rsidRPr="005C29F8">
              <w:rPr>
                <w:rFonts w:cs="Arial"/>
                <w:color w:val="000000" w:themeColor="text1"/>
                <w:szCs w:val="16"/>
              </w:rPr>
              <w:t>1,190</w:t>
            </w:r>
          </w:p>
        </w:tc>
        <w:tc>
          <w:tcPr>
            <w:tcW w:w="625" w:type="pct"/>
            <w:shd w:val="clear" w:color="auto" w:fill="auto"/>
            <w:vAlign w:val="center"/>
          </w:tcPr>
          <w:p w14:paraId="5FB73F1B" w14:textId="26275AAA" w:rsidR="00C66181" w:rsidRPr="005C29F8" w:rsidRDefault="002B7490" w:rsidP="00A018D4">
            <w:pPr>
              <w:jc w:val="center"/>
              <w:rPr>
                <w:rFonts w:cs="Arial"/>
                <w:color w:val="000000" w:themeColor="text1"/>
                <w:szCs w:val="16"/>
              </w:rPr>
            </w:pPr>
            <w:r w:rsidRPr="005C29F8">
              <w:rPr>
                <w:rFonts w:cs="Arial"/>
                <w:color w:val="000000" w:themeColor="text1"/>
                <w:szCs w:val="16"/>
              </w:rPr>
              <w:t>79.02%</w:t>
            </w:r>
          </w:p>
        </w:tc>
        <w:tc>
          <w:tcPr>
            <w:tcW w:w="625" w:type="pct"/>
            <w:shd w:val="clear" w:color="auto" w:fill="auto"/>
            <w:vAlign w:val="center"/>
          </w:tcPr>
          <w:p w14:paraId="3A75A593" w14:textId="74B21849" w:rsidR="00C66181" w:rsidRPr="005C29F8" w:rsidRDefault="002B7490" w:rsidP="00A018D4">
            <w:pPr>
              <w:jc w:val="center"/>
              <w:rPr>
                <w:rFonts w:cs="Arial"/>
                <w:color w:val="000000" w:themeColor="text1"/>
                <w:szCs w:val="16"/>
              </w:rPr>
            </w:pPr>
            <w:r w:rsidRPr="005C29F8">
              <w:rPr>
                <w:rFonts w:cs="Arial"/>
                <w:color w:val="000000" w:themeColor="text1"/>
                <w:szCs w:val="16"/>
              </w:rPr>
              <w:t>87.50%</w:t>
            </w:r>
          </w:p>
        </w:tc>
        <w:tc>
          <w:tcPr>
            <w:tcW w:w="625" w:type="pct"/>
            <w:shd w:val="clear" w:color="auto" w:fill="auto"/>
            <w:vAlign w:val="center"/>
          </w:tcPr>
          <w:p w14:paraId="6D78DA3F" w14:textId="61DB3CB1" w:rsidR="00C66181" w:rsidRPr="005C29F8" w:rsidRDefault="002B7490" w:rsidP="00A018D4">
            <w:pPr>
              <w:jc w:val="center"/>
              <w:rPr>
                <w:rFonts w:cs="Arial"/>
                <w:color w:val="000000" w:themeColor="text1"/>
                <w:szCs w:val="16"/>
              </w:rPr>
            </w:pPr>
            <w:r w:rsidRPr="005C29F8">
              <w:rPr>
                <w:rFonts w:cs="Arial"/>
                <w:color w:val="000000" w:themeColor="text1"/>
                <w:szCs w:val="16"/>
              </w:rPr>
              <w:t>62.35%</w:t>
            </w:r>
          </w:p>
        </w:tc>
        <w:tc>
          <w:tcPr>
            <w:tcW w:w="625" w:type="pct"/>
            <w:shd w:val="clear" w:color="auto" w:fill="auto"/>
            <w:vAlign w:val="center"/>
          </w:tcPr>
          <w:p w14:paraId="6E5BDC78" w14:textId="48EDE622" w:rsidR="00C66181"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625" w:type="pct"/>
            <w:shd w:val="clear" w:color="auto" w:fill="auto"/>
            <w:vAlign w:val="center"/>
          </w:tcPr>
          <w:p w14:paraId="4A054D72" w14:textId="19B24E43" w:rsidR="00C66181" w:rsidRPr="005C29F8" w:rsidRDefault="002B7490" w:rsidP="00A018D4">
            <w:pPr>
              <w:jc w:val="center"/>
              <w:rPr>
                <w:rFonts w:cs="Arial"/>
                <w:color w:val="000000" w:themeColor="text1"/>
                <w:szCs w:val="16"/>
              </w:rPr>
            </w:pPr>
            <w:r w:rsidRPr="005C29F8">
              <w:rPr>
                <w:rFonts w:cs="Arial"/>
                <w:color w:val="000000" w:themeColor="text1"/>
                <w:szCs w:val="16"/>
              </w:rPr>
              <w:t>Slippage</w:t>
            </w:r>
          </w:p>
        </w:tc>
      </w:tr>
    </w:tbl>
    <w:p w14:paraId="4A5381A2" w14:textId="3787227C" w:rsidR="001773E7"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5C29F8" w14:paraId="049EEA4C" w14:textId="77777777" w:rsidTr="003138F9">
        <w:trPr>
          <w:tblHeader/>
        </w:trPr>
        <w:tc>
          <w:tcPr>
            <w:tcW w:w="715" w:type="dxa"/>
            <w:vAlign w:val="bottom"/>
          </w:tcPr>
          <w:p w14:paraId="2E1368A0" w14:textId="77777777" w:rsidR="001773E7" w:rsidRPr="005C29F8" w:rsidRDefault="001773E7" w:rsidP="004369B2">
            <w:pPr>
              <w:jc w:val="center"/>
              <w:rPr>
                <w:color w:val="000000" w:themeColor="text1"/>
              </w:rPr>
            </w:pPr>
            <w:r w:rsidRPr="005C29F8">
              <w:rPr>
                <w:b/>
                <w:color w:val="000000" w:themeColor="text1"/>
              </w:rPr>
              <w:t>Part</w:t>
            </w:r>
          </w:p>
        </w:tc>
        <w:tc>
          <w:tcPr>
            <w:tcW w:w="10080" w:type="dxa"/>
            <w:shd w:val="clear" w:color="auto" w:fill="auto"/>
          </w:tcPr>
          <w:p w14:paraId="39A18603" w14:textId="77777777" w:rsidR="001773E7" w:rsidRPr="005C29F8" w:rsidRDefault="001773E7" w:rsidP="004369B2">
            <w:pPr>
              <w:jc w:val="center"/>
              <w:rPr>
                <w:color w:val="000000" w:themeColor="text1"/>
              </w:rPr>
            </w:pPr>
            <w:r w:rsidRPr="005C29F8">
              <w:rPr>
                <w:b/>
                <w:color w:val="000000" w:themeColor="text1"/>
              </w:rPr>
              <w:t>Reasons for slippage, if applicable</w:t>
            </w:r>
          </w:p>
        </w:tc>
      </w:tr>
      <w:tr w:rsidR="005C29F8" w:rsidRPr="005C29F8" w14:paraId="3F4E853C" w14:textId="77777777" w:rsidTr="009E40E1">
        <w:tc>
          <w:tcPr>
            <w:tcW w:w="715" w:type="dxa"/>
            <w:vAlign w:val="center"/>
          </w:tcPr>
          <w:p w14:paraId="5F8F2AD7" w14:textId="77777777" w:rsidR="001773E7" w:rsidRPr="005C29F8" w:rsidRDefault="001773E7" w:rsidP="004369B2">
            <w:pPr>
              <w:jc w:val="center"/>
              <w:rPr>
                <w:b/>
                <w:color w:val="000000" w:themeColor="text1"/>
              </w:rPr>
            </w:pPr>
            <w:r w:rsidRPr="005C29F8">
              <w:rPr>
                <w:b/>
                <w:color w:val="000000" w:themeColor="text1"/>
              </w:rPr>
              <w:t>A</w:t>
            </w:r>
          </w:p>
        </w:tc>
        <w:tc>
          <w:tcPr>
            <w:tcW w:w="10080" w:type="dxa"/>
            <w:shd w:val="clear" w:color="auto" w:fill="auto"/>
          </w:tcPr>
          <w:p w14:paraId="126B7404" w14:textId="7F4A2633" w:rsidR="001773E7" w:rsidRPr="005C29F8" w:rsidRDefault="001773E7" w:rsidP="004369B2">
            <w:pPr>
              <w:rPr>
                <w:color w:val="000000" w:themeColor="text1"/>
              </w:rPr>
            </w:pPr>
            <w:r w:rsidRPr="005C29F8">
              <w:rPr>
                <w:rFonts w:cs="Arial"/>
                <w:color w:val="000000" w:themeColor="text1"/>
                <w:szCs w:val="16"/>
              </w:rPr>
              <w:t xml:space="preserve">Although it is impossible to fully understand the interplay of challenges caused by the COVID-19 pandemic, the drop in exiter engagement is heartbreaking but unsurprising. Job scarcity, food insecurity, mental and physical health difficulties, the closing of in-person higher education and training, and a host of other challenges led to the precipitous drop in engagement across all three Indicator 14 measurements.  </w:t>
            </w:r>
          </w:p>
        </w:tc>
      </w:tr>
      <w:tr w:rsidR="005C29F8" w:rsidRPr="005C29F8" w14:paraId="14E24734" w14:textId="77777777" w:rsidTr="009E40E1">
        <w:tc>
          <w:tcPr>
            <w:tcW w:w="715" w:type="dxa"/>
            <w:vAlign w:val="center"/>
          </w:tcPr>
          <w:p w14:paraId="425A2916" w14:textId="77777777" w:rsidR="001773E7" w:rsidRPr="005C29F8" w:rsidRDefault="001773E7" w:rsidP="004369B2">
            <w:pPr>
              <w:jc w:val="center"/>
              <w:rPr>
                <w:b/>
                <w:color w:val="000000" w:themeColor="text1"/>
              </w:rPr>
            </w:pPr>
            <w:r w:rsidRPr="005C29F8">
              <w:rPr>
                <w:b/>
                <w:color w:val="000000" w:themeColor="text1"/>
              </w:rPr>
              <w:t>B</w:t>
            </w:r>
          </w:p>
        </w:tc>
        <w:tc>
          <w:tcPr>
            <w:tcW w:w="10080" w:type="dxa"/>
            <w:shd w:val="clear" w:color="auto" w:fill="auto"/>
          </w:tcPr>
          <w:p w14:paraId="17E7061D" w14:textId="3241D10F" w:rsidR="001773E7" w:rsidRPr="005C29F8" w:rsidRDefault="001773E7" w:rsidP="009E40E1">
            <w:pPr>
              <w:rPr>
                <w:rFonts w:cs="Arial"/>
                <w:color w:val="000000" w:themeColor="text1"/>
                <w:szCs w:val="16"/>
              </w:rPr>
            </w:pPr>
            <w:r w:rsidRPr="005C29F8">
              <w:rPr>
                <w:rFonts w:cs="Arial"/>
                <w:color w:val="000000" w:themeColor="text1"/>
                <w:szCs w:val="16"/>
              </w:rPr>
              <w:t xml:space="preserve">Although it is impossible to fully understand the interplay of challenges caused by the COVID-19 pandemic, the drop in exiter engagement is heartbreaking but unsurprising. Job scarcity, food insecurity, mental and physical health difficulties, the closing of in-person higher education and training, and a host of other challenges led to the precipitous drop in engagement across all three Indicator 14 measurements.  </w:t>
            </w:r>
          </w:p>
        </w:tc>
      </w:tr>
      <w:tr w:rsidR="005C29F8" w:rsidRPr="005C29F8" w14:paraId="34DAD959" w14:textId="77777777" w:rsidTr="009E40E1">
        <w:tc>
          <w:tcPr>
            <w:tcW w:w="715" w:type="dxa"/>
            <w:vAlign w:val="center"/>
          </w:tcPr>
          <w:p w14:paraId="47D24000" w14:textId="77777777" w:rsidR="001773E7" w:rsidRPr="005C29F8" w:rsidRDefault="001773E7" w:rsidP="004369B2">
            <w:pPr>
              <w:jc w:val="center"/>
              <w:rPr>
                <w:b/>
                <w:color w:val="000000" w:themeColor="text1"/>
              </w:rPr>
            </w:pPr>
            <w:r w:rsidRPr="005C29F8">
              <w:rPr>
                <w:b/>
                <w:color w:val="000000" w:themeColor="text1"/>
              </w:rPr>
              <w:t>C</w:t>
            </w:r>
          </w:p>
        </w:tc>
        <w:tc>
          <w:tcPr>
            <w:tcW w:w="10080" w:type="dxa"/>
            <w:shd w:val="clear" w:color="auto" w:fill="auto"/>
          </w:tcPr>
          <w:p w14:paraId="67EE1CFC" w14:textId="3BF189F6" w:rsidR="001773E7" w:rsidRPr="005C29F8" w:rsidRDefault="001773E7" w:rsidP="009E40E1">
            <w:pPr>
              <w:rPr>
                <w:rFonts w:cs="Arial"/>
                <w:color w:val="000000" w:themeColor="text1"/>
                <w:szCs w:val="16"/>
              </w:rPr>
            </w:pPr>
            <w:r w:rsidRPr="005C29F8">
              <w:rPr>
                <w:rFonts w:cs="Arial"/>
                <w:color w:val="000000" w:themeColor="text1"/>
                <w:szCs w:val="16"/>
              </w:rPr>
              <w:t xml:space="preserve">Although it is impossible to fully understand the interplay of challenges caused by the COVID-19 pandemic, the drop in exiter engagement is heartbreaking but unsurprising. Job scarcity, food insecurity, mental and physical health difficulties, the closing of in-person higher education and training, and a host of other challenges led to the precipitous drop in engagement across all three Indicator 14 measurements.  </w:t>
            </w:r>
          </w:p>
        </w:tc>
      </w:tr>
    </w:tbl>
    <w:p w14:paraId="51D07FD2" w14:textId="77777777" w:rsidR="005D6713" w:rsidRPr="005D6713" w:rsidRDefault="005D6713" w:rsidP="005D6713">
      <w:pPr>
        <w:rPr>
          <w:rFonts w:cs="Arial"/>
          <w:b/>
          <w:color w:val="000000" w:themeColor="text1"/>
          <w:szCs w:val="16"/>
        </w:rPr>
      </w:pPr>
    </w:p>
    <w:p w14:paraId="2B9D1101" w14:textId="12285E81" w:rsidR="00C95094" w:rsidRPr="005C29F8" w:rsidRDefault="0077712B" w:rsidP="00C66181">
      <w:pPr>
        <w:rPr>
          <w:rFonts w:cs="Arial"/>
          <w:b/>
          <w:color w:val="000000" w:themeColor="text1"/>
          <w:szCs w:val="16"/>
        </w:rPr>
      </w:pPr>
      <w:r w:rsidRPr="005C29F8">
        <w:rPr>
          <w:rFonts w:cs="Arial"/>
          <w:b/>
          <w:color w:val="000000" w:themeColor="text1"/>
          <w:szCs w:val="16"/>
        </w:rPr>
        <w:t xml:space="preserve">Please select the reporting option your State is using: </w:t>
      </w:r>
    </w:p>
    <w:p w14:paraId="5C46FD26" w14:textId="5673980D" w:rsidR="000070D5" w:rsidRPr="005C29F8" w:rsidRDefault="002B7490" w:rsidP="00C66181">
      <w:pPr>
        <w:rPr>
          <w:rFonts w:cs="Arial"/>
          <w:color w:val="000000" w:themeColor="text1"/>
          <w:szCs w:val="16"/>
        </w:rPr>
      </w:pPr>
      <w:r w:rsidRPr="005C29F8">
        <w:rPr>
          <w:rFonts w:cs="Arial"/>
          <w:color w:val="000000" w:themeColor="text1"/>
          <w:szCs w:val="16"/>
        </w:rPr>
        <w:lastRenderedPageBreak/>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tbl>
      <w:tblPr>
        <w:tblStyle w:val="TableGrid"/>
        <w:tblW w:w="0" w:type="auto"/>
        <w:tblLook w:val="04A0" w:firstRow="1" w:lastRow="0" w:firstColumn="1" w:lastColumn="0" w:noHBand="0" w:noVBand="1"/>
        <w:tblCaption w:val="B14SAMPLEUSED"/>
      </w:tblPr>
      <w:tblGrid>
        <w:gridCol w:w="8306"/>
        <w:gridCol w:w="2484"/>
      </w:tblGrid>
      <w:tr w:rsidR="005C29F8" w:rsidRPr="005C29F8"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33429D" w:rsidRDefault="00CC2002" w:rsidP="008E31C4">
            <w:pPr>
              <w:rPr>
                <w:rFonts w:cs="Arial"/>
                <w:b/>
                <w:bCs/>
                <w:color w:val="000000" w:themeColor="text1"/>
                <w:szCs w:val="16"/>
              </w:rPr>
            </w:pPr>
            <w:r w:rsidRPr="0033429D">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5C29F8" w:rsidRDefault="00763780" w:rsidP="001011BB">
            <w:pPr>
              <w:jc w:val="center"/>
              <w:rPr>
                <w:rFonts w:cs="Arial"/>
                <w:b/>
                <w:color w:val="000000" w:themeColor="text1"/>
                <w:szCs w:val="16"/>
              </w:rPr>
            </w:pPr>
            <w:r w:rsidRPr="005C29F8">
              <w:rPr>
                <w:rFonts w:cs="Arial"/>
                <w:b/>
                <w:color w:val="000000" w:themeColor="text1"/>
                <w:szCs w:val="16"/>
              </w:rPr>
              <w:t>Yes / No</w:t>
            </w:r>
          </w:p>
        </w:tc>
      </w:tr>
      <w:tr w:rsidR="005C29F8" w:rsidRPr="005C29F8" w14:paraId="408903DE" w14:textId="1FE95128" w:rsidTr="0033429D">
        <w:tc>
          <w:tcPr>
            <w:tcW w:w="8310" w:type="dxa"/>
            <w:shd w:val="clear" w:color="auto" w:fill="auto"/>
          </w:tcPr>
          <w:p w14:paraId="0472BB53" w14:textId="55673E5F" w:rsidR="00763780" w:rsidRPr="005C29F8" w:rsidRDefault="00763780" w:rsidP="008E31C4">
            <w:pPr>
              <w:rPr>
                <w:rFonts w:cs="Arial"/>
                <w:color w:val="000000" w:themeColor="text1"/>
                <w:szCs w:val="16"/>
              </w:rPr>
            </w:pPr>
            <w:r w:rsidRPr="005C29F8">
              <w:rPr>
                <w:rFonts w:cs="Arial"/>
                <w:color w:val="000000" w:themeColor="text1"/>
                <w:szCs w:val="16"/>
              </w:rPr>
              <w:t xml:space="preserve">Was sampling used? </w:t>
            </w:r>
          </w:p>
        </w:tc>
        <w:tc>
          <w:tcPr>
            <w:tcW w:w="2485" w:type="dxa"/>
            <w:shd w:val="clear" w:color="auto" w:fill="auto"/>
          </w:tcPr>
          <w:p w14:paraId="0BA01DE6" w14:textId="013EE38E" w:rsidR="00763780" w:rsidRPr="005C29F8" w:rsidRDefault="002B7490" w:rsidP="00A018D4">
            <w:pPr>
              <w:jc w:val="center"/>
              <w:rPr>
                <w:rFonts w:cs="Arial"/>
                <w:color w:val="000000" w:themeColor="text1"/>
                <w:szCs w:val="16"/>
              </w:rPr>
            </w:pPr>
            <w:r w:rsidRPr="005C29F8">
              <w:rPr>
                <w:rFonts w:cs="Arial"/>
                <w:color w:val="000000" w:themeColor="text1"/>
                <w:szCs w:val="16"/>
              </w:rPr>
              <w:t>YES</w:t>
            </w:r>
          </w:p>
        </w:tc>
      </w:tr>
      <w:tr w:rsidR="005C29F8" w:rsidRPr="005C29F8" w14:paraId="0C61A8CE" w14:textId="761BD791" w:rsidTr="0033429D">
        <w:tc>
          <w:tcPr>
            <w:tcW w:w="8310" w:type="dxa"/>
            <w:shd w:val="clear" w:color="auto" w:fill="auto"/>
          </w:tcPr>
          <w:p w14:paraId="63248DD2" w14:textId="22B5EF64" w:rsidR="00763780" w:rsidRPr="005C29F8" w:rsidRDefault="003805D3" w:rsidP="008E31C4">
            <w:pPr>
              <w:rPr>
                <w:rFonts w:cs="Arial"/>
                <w:color w:val="000000" w:themeColor="text1"/>
                <w:szCs w:val="16"/>
              </w:rPr>
            </w:pPr>
            <w:r w:rsidRPr="005C29F8">
              <w:rPr>
                <w:rFonts w:cs="Arial"/>
                <w:color w:val="000000" w:themeColor="text1"/>
                <w:szCs w:val="16"/>
              </w:rPr>
              <w:t>If yes, has your previously-approved sampling plan changed?</w:t>
            </w:r>
          </w:p>
        </w:tc>
        <w:tc>
          <w:tcPr>
            <w:tcW w:w="2485" w:type="dxa"/>
            <w:shd w:val="clear" w:color="auto" w:fill="auto"/>
          </w:tcPr>
          <w:p w14:paraId="76A0D255" w14:textId="0D587544" w:rsidR="00763780" w:rsidRPr="005C29F8" w:rsidRDefault="002B7490" w:rsidP="00A018D4">
            <w:pPr>
              <w:jc w:val="center"/>
              <w:rPr>
                <w:rFonts w:cs="Arial"/>
                <w:color w:val="000000" w:themeColor="text1"/>
                <w:szCs w:val="16"/>
              </w:rPr>
            </w:pPr>
            <w:r w:rsidRPr="005C29F8">
              <w:rPr>
                <w:rFonts w:cs="Arial"/>
                <w:color w:val="000000" w:themeColor="text1"/>
                <w:szCs w:val="16"/>
              </w:rPr>
              <w:t>NO</w:t>
            </w:r>
          </w:p>
        </w:tc>
      </w:tr>
    </w:tbl>
    <w:p w14:paraId="2678D062" w14:textId="7796AF41" w:rsidR="00293C7E" w:rsidRPr="005C29F8" w:rsidRDefault="00293C7E" w:rsidP="008E31C4">
      <w:pPr>
        <w:rPr>
          <w:rFonts w:cs="Arial"/>
          <w:b/>
          <w:color w:val="000000" w:themeColor="text1"/>
          <w:szCs w:val="16"/>
        </w:rPr>
      </w:pPr>
      <w:r w:rsidRPr="005C29F8">
        <w:rPr>
          <w:rFonts w:cs="Arial"/>
          <w:b/>
          <w:color w:val="000000" w:themeColor="text1"/>
          <w:szCs w:val="16"/>
        </w:rPr>
        <w:t>Describe the sampling methodology outlining how the design will yield valid and reliable estimates.</w:t>
      </w:r>
    </w:p>
    <w:p w14:paraId="03DF054A" w14:textId="7E109F53" w:rsidR="00293C7E" w:rsidRDefault="002B7490" w:rsidP="008E31C4">
      <w:pPr>
        <w:rPr>
          <w:rFonts w:cs="Arial"/>
          <w:color w:val="000000" w:themeColor="text1"/>
          <w:szCs w:val="16"/>
        </w:rPr>
      </w:pPr>
      <w:r w:rsidRPr="005C29F8">
        <w:rPr>
          <w:rFonts w:cs="Arial"/>
          <w:color w:val="000000" w:themeColor="text1"/>
          <w:szCs w:val="16"/>
        </w:rPr>
        <w:t>For FFY2019, MA DESE continued to use the OSEP-approved cohort sampling method, to yield valid and reliable estimates. MA DESE divides the state into four cohorts, each of which is representative of the state as a whole. With the exception of the city of Boston, which conducts Indicator 14 data collection every year, Indicator 14 data is collected from each cohort in turn over the course of four years.</w:t>
      </w:r>
    </w:p>
    <w:tbl>
      <w:tblPr>
        <w:tblStyle w:val="TableGrid"/>
        <w:tblW w:w="5000" w:type="pct"/>
        <w:tblLook w:val="04A0" w:firstRow="1" w:lastRow="0" w:firstColumn="1" w:lastColumn="0" w:noHBand="0" w:noVBand="1"/>
        <w:tblCaption w:val="B14SURVEYUSED"/>
      </w:tblPr>
      <w:tblGrid>
        <w:gridCol w:w="8306"/>
        <w:gridCol w:w="2484"/>
      </w:tblGrid>
      <w:tr w:rsidR="005C29F8" w:rsidRPr="005C29F8"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33429D" w:rsidRDefault="00CC2002" w:rsidP="008E31C4">
            <w:pPr>
              <w:rPr>
                <w:rFonts w:cs="Arial"/>
                <w:b/>
                <w:bCs/>
                <w:color w:val="000000" w:themeColor="text1"/>
                <w:szCs w:val="16"/>
              </w:rPr>
            </w:pPr>
            <w:r w:rsidRPr="0033429D">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5C29F8" w:rsidRDefault="00BC4655" w:rsidP="001011BB">
            <w:pPr>
              <w:jc w:val="center"/>
              <w:rPr>
                <w:rFonts w:cs="Arial"/>
                <w:b/>
                <w:color w:val="000000" w:themeColor="text1"/>
                <w:szCs w:val="16"/>
              </w:rPr>
            </w:pPr>
            <w:r w:rsidRPr="005C29F8">
              <w:rPr>
                <w:rFonts w:cs="Arial"/>
                <w:b/>
                <w:color w:val="000000" w:themeColor="text1"/>
                <w:szCs w:val="16"/>
              </w:rPr>
              <w:t>Yes / No</w:t>
            </w:r>
          </w:p>
        </w:tc>
      </w:tr>
      <w:tr w:rsidR="005C29F8" w:rsidRPr="005C29F8" w14:paraId="6901B015" w14:textId="2CE4C417" w:rsidTr="0033429D">
        <w:tc>
          <w:tcPr>
            <w:tcW w:w="3849" w:type="pct"/>
            <w:shd w:val="clear" w:color="auto" w:fill="auto"/>
          </w:tcPr>
          <w:p w14:paraId="0856121E" w14:textId="5B1AD843" w:rsidR="00BC4655" w:rsidRPr="005C29F8" w:rsidRDefault="00BC4655" w:rsidP="008E31C4">
            <w:pPr>
              <w:rPr>
                <w:rFonts w:cs="Arial"/>
                <w:color w:val="000000" w:themeColor="text1"/>
                <w:szCs w:val="16"/>
              </w:rPr>
            </w:pPr>
            <w:r w:rsidRPr="005C29F8">
              <w:rPr>
                <w:rFonts w:cs="Arial"/>
                <w:color w:val="000000" w:themeColor="text1"/>
                <w:szCs w:val="16"/>
              </w:rPr>
              <w:t xml:space="preserve">Was a survey used? </w:t>
            </w:r>
          </w:p>
        </w:tc>
        <w:tc>
          <w:tcPr>
            <w:tcW w:w="1151" w:type="pct"/>
            <w:shd w:val="clear" w:color="auto" w:fill="auto"/>
          </w:tcPr>
          <w:p w14:paraId="47AE85B8" w14:textId="2FE77A74" w:rsidR="00BC4655" w:rsidRPr="005C29F8" w:rsidRDefault="002B7490" w:rsidP="00A018D4">
            <w:pPr>
              <w:jc w:val="center"/>
              <w:rPr>
                <w:rFonts w:cs="Arial"/>
                <w:color w:val="000000" w:themeColor="text1"/>
                <w:szCs w:val="16"/>
              </w:rPr>
            </w:pPr>
            <w:r w:rsidRPr="005C29F8">
              <w:rPr>
                <w:rFonts w:cs="Arial"/>
                <w:color w:val="000000" w:themeColor="text1"/>
                <w:szCs w:val="16"/>
              </w:rPr>
              <w:t>YES</w:t>
            </w:r>
          </w:p>
        </w:tc>
      </w:tr>
      <w:tr w:rsidR="005C29F8" w:rsidRPr="005C29F8" w14:paraId="649D8839" w14:textId="3AAB3A92" w:rsidTr="0033429D">
        <w:tc>
          <w:tcPr>
            <w:tcW w:w="3849" w:type="pct"/>
            <w:shd w:val="clear" w:color="auto" w:fill="auto"/>
          </w:tcPr>
          <w:p w14:paraId="56C87E2E" w14:textId="1890EBD8" w:rsidR="00BC4655" w:rsidRPr="005C29F8" w:rsidRDefault="003805D3" w:rsidP="008E31C4">
            <w:pPr>
              <w:rPr>
                <w:rFonts w:cs="Arial"/>
                <w:color w:val="000000" w:themeColor="text1"/>
                <w:szCs w:val="16"/>
              </w:rPr>
            </w:pPr>
            <w:r w:rsidRPr="005C29F8">
              <w:rPr>
                <w:rFonts w:cs="Arial"/>
                <w:color w:val="000000" w:themeColor="text1"/>
                <w:szCs w:val="16"/>
              </w:rPr>
              <w:t>If yes, is it a new or revised survey?</w:t>
            </w:r>
          </w:p>
        </w:tc>
        <w:tc>
          <w:tcPr>
            <w:tcW w:w="1151" w:type="pct"/>
            <w:shd w:val="clear" w:color="auto" w:fill="auto"/>
          </w:tcPr>
          <w:p w14:paraId="53803AF8" w14:textId="54EB33AD" w:rsidR="00BC4655" w:rsidRPr="005C29F8" w:rsidRDefault="002B7490" w:rsidP="00A018D4">
            <w:pPr>
              <w:jc w:val="center"/>
              <w:rPr>
                <w:rFonts w:cs="Arial"/>
                <w:color w:val="000000" w:themeColor="text1"/>
                <w:szCs w:val="16"/>
              </w:rPr>
            </w:pPr>
            <w:r w:rsidRPr="005C29F8">
              <w:rPr>
                <w:rFonts w:cs="Arial"/>
                <w:color w:val="000000" w:themeColor="text1"/>
                <w:szCs w:val="16"/>
              </w:rPr>
              <w:t>YES</w:t>
            </w:r>
          </w:p>
        </w:tc>
      </w:tr>
      <w:tr w:rsidR="005C29F8" w:rsidRPr="005C29F8" w14:paraId="42B69D90" w14:textId="5E1DCBBF" w:rsidTr="0033429D">
        <w:tc>
          <w:tcPr>
            <w:tcW w:w="3849" w:type="pct"/>
            <w:shd w:val="clear" w:color="auto" w:fill="auto"/>
          </w:tcPr>
          <w:p w14:paraId="63C2C96F" w14:textId="52AEB004" w:rsidR="00212954" w:rsidRPr="005C29F8" w:rsidRDefault="003805D3" w:rsidP="008E31C4">
            <w:pPr>
              <w:rPr>
                <w:rFonts w:cs="Arial"/>
                <w:color w:val="000000" w:themeColor="text1"/>
                <w:szCs w:val="16"/>
              </w:rPr>
            </w:pPr>
            <w:r w:rsidRPr="005C29F8">
              <w:rPr>
                <w:rFonts w:cs="Arial"/>
                <w:color w:val="000000" w:themeColor="text1"/>
                <w:szCs w:val="16"/>
              </w:rPr>
              <w:t>If yes, attach a copy of the survey</w:t>
            </w:r>
          </w:p>
        </w:tc>
        <w:tc>
          <w:tcPr>
            <w:tcW w:w="1151" w:type="pct"/>
            <w:shd w:val="clear" w:color="auto" w:fill="auto"/>
          </w:tcPr>
          <w:p w14:paraId="381E41E4" w14:textId="6628A613" w:rsidR="00212954" w:rsidRPr="005C29F8" w:rsidRDefault="002B7490" w:rsidP="00A018D4">
            <w:pPr>
              <w:jc w:val="center"/>
              <w:rPr>
                <w:rFonts w:cs="Arial"/>
                <w:color w:val="000000" w:themeColor="text1"/>
                <w:szCs w:val="16"/>
              </w:rPr>
            </w:pPr>
            <w:r w:rsidRPr="005C29F8">
              <w:rPr>
                <w:rFonts w:cs="Arial"/>
                <w:color w:val="000000" w:themeColor="text1"/>
                <w:szCs w:val="16"/>
              </w:rPr>
              <w:t>FFY2019 Ind14 After High School Survey_English for OSEP</w:t>
            </w:r>
          </w:p>
        </w:tc>
      </w:tr>
    </w:tbl>
    <w:p w14:paraId="5D360F1B" w14:textId="19A4208F" w:rsidR="00C66181" w:rsidRPr="005C29F8" w:rsidRDefault="003A4027" w:rsidP="00206890">
      <w:pPr>
        <w:rPr>
          <w:rFonts w:cs="Arial"/>
          <w:b/>
          <w:color w:val="000000" w:themeColor="text1"/>
          <w:szCs w:val="16"/>
        </w:rPr>
      </w:pPr>
      <w:r w:rsidRPr="005C29F8">
        <w:rPr>
          <w:rFonts w:cs="Arial"/>
          <w:b/>
          <w:color w:val="000000" w:themeColor="text1"/>
          <w:szCs w:val="16"/>
        </w:rPr>
        <w:t>Include the State’s analyses of the extent to which the response data are representative of the demographics of youth who are no longer in secondary school and had IEPs in effect at the time they left school.</w:t>
      </w:r>
    </w:p>
    <w:p w14:paraId="08E2115C" w14:textId="06B45FCF" w:rsidR="00293C7E" w:rsidRPr="005C29F8" w:rsidRDefault="002B7490" w:rsidP="008E31C4">
      <w:pPr>
        <w:rPr>
          <w:rFonts w:cs="Arial"/>
          <w:color w:val="000000" w:themeColor="text1"/>
          <w:szCs w:val="16"/>
        </w:rPr>
      </w:pPr>
      <w:r w:rsidRPr="005C29F8">
        <w:rPr>
          <w:rFonts w:cs="Arial"/>
          <w:color w:val="000000" w:themeColor="text1"/>
          <w:szCs w:val="16"/>
        </w:rPr>
        <w:t xml:space="preserve">The Response Rate Calculator Template was adapted from the one that is available from the website of the National Technical Assistance Center for Transition (NTACT). MA DESE examined representativeness in these categories: Specific Learning Disabilities, Emotional Disabilities, Intellectual Disabilities, All Other, Female, Minority, LEP/ELL, Dropout, and Economically Disadvantaged. This year’s analysis shows that seven out the nine examined sub-populations are represented within the +/- 3.00% benchmark. Two are slightly over-represented, Minority at +4.53% and LEP/ELL at +4.02. MA DESE provided the Indicator 14 After High School Survey in Spanish for the FFY19 data collection. We commend district staff who made the effort to ensure these often under-represented sub-populations had higher than average response rates. </w:t>
      </w:r>
      <w:r w:rsidRPr="005C29F8">
        <w:rPr>
          <w:rFonts w:cs="Arial"/>
          <w:color w:val="000000" w:themeColor="text1"/>
          <w:szCs w:val="16"/>
        </w:rPr>
        <w:br/>
      </w:r>
      <w:r w:rsidRPr="005C29F8">
        <w:rPr>
          <w:rFonts w:cs="Arial"/>
          <w:color w:val="000000" w:themeColor="text1"/>
          <w:szCs w:val="16"/>
        </w:rPr>
        <w:br/>
        <w:t>In addition, this year's survey increased the participation of students with IEPs who had dropped out; unlike in last year's survey administration, the response rate was within the +/- 3.00% benchmark. Further analysis of these sub-populations finds that among Ethnicity/Race groups, Hispanics are over-represented by 4.2% and Whites under-represented by -4.5%. Across the levels of need, those former students receiving low level of support at less than 2 hours per week are over-represented by 3.7%, and those receiving a Moderate Level of Support under-represented by – 4.2%. There is proportional representation (+/- 3.00%) across the range of types of disabilities, special education settings, and reasons for school exit.</w:t>
      </w:r>
    </w:p>
    <w:tbl>
      <w:tblPr>
        <w:tblStyle w:val="TableGrid"/>
        <w:tblW w:w="10800" w:type="dxa"/>
        <w:tblLook w:val="04A0" w:firstRow="1" w:lastRow="0" w:firstColumn="1" w:lastColumn="0" w:noHBand="0" w:noVBand="1"/>
        <w:tblCaption w:val="B14REPDEMO"/>
      </w:tblPr>
      <w:tblGrid>
        <w:gridCol w:w="8538"/>
        <w:gridCol w:w="2262"/>
      </w:tblGrid>
      <w:tr w:rsidR="005C29F8" w:rsidRPr="005C29F8" w14:paraId="252C1807" w14:textId="77777777" w:rsidTr="0033429D">
        <w:trPr>
          <w:tblHeader/>
        </w:trPr>
        <w:tc>
          <w:tcPr>
            <w:tcW w:w="8538" w:type="dxa"/>
            <w:tcBorders>
              <w:top w:val="single" w:sz="4" w:space="0" w:color="auto"/>
              <w:left w:val="single" w:sz="4" w:space="0" w:color="auto"/>
            </w:tcBorders>
          </w:tcPr>
          <w:p w14:paraId="481AC8A6" w14:textId="71EAFD3A" w:rsidR="001A3BEB" w:rsidRPr="0033429D" w:rsidRDefault="00CC2002" w:rsidP="008E31C4">
            <w:pPr>
              <w:rPr>
                <w:rFonts w:cs="Arial"/>
                <w:b/>
                <w:bCs/>
                <w:color w:val="000000" w:themeColor="text1"/>
                <w:szCs w:val="16"/>
              </w:rPr>
            </w:pPr>
            <w:bookmarkStart w:id="78" w:name="_Toc392159338"/>
            <w:r w:rsidRPr="0033429D">
              <w:rPr>
                <w:rFonts w:cs="Arial"/>
                <w:b/>
                <w:bCs/>
                <w:color w:val="000000" w:themeColor="text1"/>
                <w:szCs w:val="16"/>
              </w:rPr>
              <w:t>Question</w:t>
            </w:r>
          </w:p>
        </w:tc>
        <w:tc>
          <w:tcPr>
            <w:tcW w:w="2262" w:type="dxa"/>
            <w:tcBorders>
              <w:top w:val="single" w:sz="4" w:space="0" w:color="auto"/>
            </w:tcBorders>
          </w:tcPr>
          <w:p w14:paraId="469053AF" w14:textId="71D06708" w:rsidR="001A3BEB" w:rsidRPr="005C29F8" w:rsidRDefault="001A3BEB" w:rsidP="001011BB">
            <w:pPr>
              <w:jc w:val="center"/>
              <w:rPr>
                <w:rFonts w:cs="Arial"/>
                <w:b/>
                <w:color w:val="000000" w:themeColor="text1"/>
                <w:szCs w:val="16"/>
              </w:rPr>
            </w:pPr>
            <w:r w:rsidRPr="005C29F8">
              <w:rPr>
                <w:rFonts w:cs="Arial"/>
                <w:b/>
                <w:color w:val="000000" w:themeColor="text1"/>
                <w:szCs w:val="16"/>
              </w:rPr>
              <w:t>Yes / No</w:t>
            </w:r>
          </w:p>
        </w:tc>
      </w:tr>
      <w:tr w:rsidR="005C29F8" w:rsidRPr="005C29F8" w14:paraId="0A13B2BA" w14:textId="2B06C37F" w:rsidTr="005D6713">
        <w:tc>
          <w:tcPr>
            <w:tcW w:w="8538" w:type="dxa"/>
          </w:tcPr>
          <w:p w14:paraId="744B5BF5" w14:textId="2224FC23" w:rsidR="001A3BEB" w:rsidRPr="005C29F8" w:rsidRDefault="001A3BEB" w:rsidP="008E31C4">
            <w:pPr>
              <w:rPr>
                <w:rFonts w:cs="Arial"/>
                <w:color w:val="000000" w:themeColor="text1"/>
                <w:szCs w:val="16"/>
              </w:rPr>
            </w:pPr>
            <w:r w:rsidRPr="005C29F8">
              <w:rPr>
                <w:rFonts w:cs="Arial"/>
                <w:color w:val="000000" w:themeColor="text1"/>
                <w:szCs w:val="16"/>
              </w:rPr>
              <w:t xml:space="preserve">Are the response data representative of the demographics of youth who are no longer in school and had IEPs in effect at the time they left school? </w:t>
            </w:r>
          </w:p>
        </w:tc>
        <w:tc>
          <w:tcPr>
            <w:tcW w:w="2262" w:type="dxa"/>
          </w:tcPr>
          <w:p w14:paraId="06F81C76" w14:textId="7FE99976" w:rsidR="001A3BEB" w:rsidRPr="005C29F8" w:rsidRDefault="002B7490" w:rsidP="00A018D4">
            <w:pPr>
              <w:jc w:val="center"/>
              <w:rPr>
                <w:rFonts w:cs="Arial"/>
                <w:color w:val="000000" w:themeColor="text1"/>
                <w:szCs w:val="16"/>
              </w:rPr>
            </w:pPr>
            <w:r w:rsidRPr="005C29F8">
              <w:rPr>
                <w:rFonts w:cs="Arial"/>
                <w:color w:val="000000" w:themeColor="text1"/>
                <w:szCs w:val="16"/>
              </w:rPr>
              <w:t>NO</w:t>
            </w:r>
          </w:p>
        </w:tc>
      </w:tr>
    </w:tbl>
    <w:p w14:paraId="5929F193" w14:textId="650DB1F9" w:rsidR="00293C7E" w:rsidRPr="005C29F8" w:rsidRDefault="003805D3" w:rsidP="008E31C4">
      <w:pPr>
        <w:rPr>
          <w:rFonts w:cs="Arial"/>
          <w:b/>
          <w:i/>
          <w:color w:val="000000" w:themeColor="text1"/>
          <w:szCs w:val="16"/>
        </w:rPr>
      </w:pPr>
      <w:r w:rsidRPr="005C29F8">
        <w:rPr>
          <w:rFonts w:cs="Arial"/>
          <w:b/>
          <w:color w:val="000000" w:themeColor="text1"/>
          <w:szCs w:val="16"/>
        </w:rPr>
        <w:t>If no, describe the strategies that the State will use to ensure that in the future the response data are representative of those demographics.</w:t>
      </w:r>
    </w:p>
    <w:p w14:paraId="3925749C" w14:textId="0D8B2828" w:rsidR="00293C7E" w:rsidRDefault="002B7490" w:rsidP="008E31C4">
      <w:pPr>
        <w:rPr>
          <w:rFonts w:cs="Arial"/>
          <w:color w:val="000000" w:themeColor="text1"/>
          <w:szCs w:val="16"/>
        </w:rPr>
      </w:pPr>
      <w:r w:rsidRPr="005C29F8">
        <w:rPr>
          <w:rFonts w:cs="Arial"/>
          <w:color w:val="000000" w:themeColor="text1"/>
          <w:szCs w:val="16"/>
        </w:rPr>
        <w:t xml:space="preserve">MA DESE commends the efforts of districts to survey exiters. Their hard work resulted in an overall survey response rate of 39.5% for FFY2019 versus 34.6% for FFY2018, a remarkable result during the COVID-19 pandemic. Beginning in FFY2020, MA DESE will offer the Indicator 14 After High School Survey in additional languages, in an effort to continue the promising upward trend of responses from Minority and LEP/ELL subgroups. To improve response rates from underrepresented groups, MA DESE will assist districts to improve coordinated outreach to families, to improve the visibility of Indicator 14 data collection and emphasize its importance. </w:t>
      </w:r>
    </w:p>
    <w:p w14:paraId="62361D73" w14:textId="77777777" w:rsidR="00644AC8" w:rsidRPr="005C29F8" w:rsidRDefault="00644AC8" w:rsidP="00644AC8">
      <w:pPr>
        <w:rPr>
          <w:rFonts w:cs="Arial"/>
          <w:b/>
          <w:color w:val="000000" w:themeColor="text1"/>
          <w:szCs w:val="16"/>
        </w:rPr>
      </w:pPr>
      <w:bookmarkStart w:id="79" w:name="_Toc382082390"/>
      <w:bookmarkStart w:id="80" w:name="_Toc392159339"/>
      <w:bookmarkEnd w:id="78"/>
      <w:r w:rsidRPr="005C29F8">
        <w:rPr>
          <w:rFonts w:cs="Arial"/>
          <w:b/>
          <w:color w:val="000000" w:themeColor="text1"/>
          <w:szCs w:val="16"/>
        </w:rPr>
        <w:t>Provide additional information about this indicator (optional)</w:t>
      </w:r>
    </w:p>
    <w:p w14:paraId="30BD41D2" w14:textId="40D58B63" w:rsidR="00293C7E" w:rsidRPr="005C29F8" w:rsidRDefault="00293C7E" w:rsidP="007D435F">
      <w:pPr>
        <w:rPr>
          <w:rFonts w:cs="Arial"/>
          <w:color w:val="000000" w:themeColor="text1"/>
          <w:szCs w:val="16"/>
        </w:rPr>
      </w:pPr>
    </w:p>
    <w:p w14:paraId="7B9DDAF2" w14:textId="6AA9F8CA" w:rsidR="000A2C83" w:rsidRPr="0033429D" w:rsidRDefault="00172058" w:rsidP="00123D76">
      <w:pPr>
        <w:pStyle w:val="Heading2"/>
      </w:pPr>
      <w:r w:rsidRPr="0033429D">
        <w:t>14</w:t>
      </w:r>
      <w:r w:rsidR="001D508D" w:rsidRPr="0033429D">
        <w:t xml:space="preserve"> </w:t>
      </w:r>
      <w:r w:rsidRPr="0033429D">
        <w:t xml:space="preserve">- </w:t>
      </w:r>
      <w:r w:rsidR="000A2C83" w:rsidRPr="0033429D">
        <w:t>Prior FFY Required Actions</w:t>
      </w:r>
    </w:p>
    <w:p w14:paraId="3812AD37" w14:textId="58CBF83D" w:rsidR="009F69E7" w:rsidRPr="005C29F8" w:rsidRDefault="002B7490" w:rsidP="000A2C83">
      <w:pPr>
        <w:rPr>
          <w:rFonts w:cs="Arial"/>
          <w:color w:val="000000" w:themeColor="text1"/>
          <w:szCs w:val="16"/>
        </w:rPr>
      </w:pPr>
      <w:r w:rsidRPr="005C29F8">
        <w:rPr>
          <w:rFonts w:cs="Arial"/>
          <w:color w:val="000000" w:themeColor="text1"/>
          <w:szCs w:val="16"/>
        </w:rPr>
        <w:t xml:space="preserve">In the FFY 2019 SPP/APR, the State must report whether the FFY 2019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09927E6D" w14:textId="0BEB5AB0" w:rsidR="000A2C83" w:rsidRPr="005C29F8" w:rsidRDefault="000A2C83" w:rsidP="004369B2">
      <w:pPr>
        <w:rPr>
          <w:b/>
          <w:color w:val="000000" w:themeColor="text1"/>
        </w:rPr>
      </w:pPr>
      <w:r w:rsidRPr="005C29F8">
        <w:rPr>
          <w:b/>
          <w:color w:val="000000" w:themeColor="text1"/>
        </w:rPr>
        <w:t>Response to actions required in FFY 2018 SPP/APR</w:t>
      </w:r>
    </w:p>
    <w:p w14:paraId="31BF0B33" w14:textId="77777777" w:rsidR="009F69E7" w:rsidRPr="005C29F8" w:rsidRDefault="009F69E7" w:rsidP="000A2C83">
      <w:pPr>
        <w:rPr>
          <w:rFonts w:cs="Arial"/>
          <w:color w:val="000000" w:themeColor="text1"/>
          <w:szCs w:val="16"/>
        </w:rPr>
      </w:pPr>
    </w:p>
    <w:p w14:paraId="5408D9B6" w14:textId="3CB80FFF" w:rsidR="000A2C83" w:rsidRPr="005C29F8" w:rsidRDefault="000A2C83" w:rsidP="000A2C83">
      <w:pPr>
        <w:rPr>
          <w:rFonts w:cs="Arial"/>
          <w:color w:val="000000" w:themeColor="text1"/>
          <w:szCs w:val="16"/>
        </w:rPr>
      </w:pPr>
      <w:r w:rsidRPr="005C29F8">
        <w:rPr>
          <w:rFonts w:cs="Arial"/>
          <w:color w:val="000000" w:themeColor="text1"/>
          <w:szCs w:val="16"/>
        </w:rPr>
        <w:t xml:space="preserve"> </w:t>
      </w:r>
    </w:p>
    <w:p w14:paraId="59CF3C2B" w14:textId="15BA3B7F" w:rsidR="00644AC8" w:rsidRPr="0033429D" w:rsidRDefault="00172058" w:rsidP="00123D76">
      <w:pPr>
        <w:pStyle w:val="Heading2"/>
      </w:pPr>
      <w:r w:rsidRPr="0033429D">
        <w:t>14 - OSEP Response</w:t>
      </w:r>
    </w:p>
    <w:p w14:paraId="29D70E23" w14:textId="165DA616" w:rsidR="00293C7E" w:rsidRPr="005C29F8" w:rsidRDefault="00293C7E" w:rsidP="001F692C">
      <w:pPr>
        <w:rPr>
          <w:rFonts w:cs="Arial"/>
          <w:color w:val="000000" w:themeColor="text1"/>
          <w:szCs w:val="16"/>
        </w:rPr>
      </w:pPr>
    </w:p>
    <w:p w14:paraId="18F151E0" w14:textId="24893002" w:rsidR="00644AC8" w:rsidRPr="0033429D" w:rsidRDefault="00172058" w:rsidP="00123D76">
      <w:pPr>
        <w:pStyle w:val="Heading2"/>
      </w:pPr>
      <w:r w:rsidRPr="0033429D">
        <w:t>14 - Required Actions</w:t>
      </w:r>
    </w:p>
    <w:p w14:paraId="623F356B" w14:textId="668EB2DD" w:rsidR="00293C7E" w:rsidRPr="005C29F8" w:rsidRDefault="002B7490" w:rsidP="001F692C">
      <w:pPr>
        <w:rPr>
          <w:rFonts w:cs="Arial"/>
          <w:color w:val="000000" w:themeColor="text1"/>
          <w:szCs w:val="16"/>
        </w:rPr>
      </w:pPr>
      <w:r w:rsidRPr="005C29F8">
        <w:rPr>
          <w:rFonts w:cs="Arial"/>
          <w:color w:val="000000" w:themeColor="text1"/>
          <w:szCs w:val="16"/>
        </w:rPr>
        <w:t xml:space="preserve">In the FFY 2020 SPP/APR, the State must report whether the FFY 2020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1ADD288B" w14:textId="77777777" w:rsidR="00102FA3" w:rsidRPr="005C29F8" w:rsidRDefault="00102FA3">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7E15DEAF" w14:textId="72984127" w:rsidR="00B3462E" w:rsidRPr="005C29F8" w:rsidRDefault="00B3462E" w:rsidP="000444E2">
      <w:pPr>
        <w:pStyle w:val="Heading1"/>
        <w:rPr>
          <w:color w:val="000000" w:themeColor="text1"/>
          <w:sz w:val="22"/>
        </w:rPr>
      </w:pPr>
      <w:r w:rsidRPr="005C29F8">
        <w:rPr>
          <w:color w:val="000000" w:themeColor="text1"/>
          <w:sz w:val="22"/>
        </w:rPr>
        <w:lastRenderedPageBreak/>
        <w:t>Indicator 15: Resolution Sessions</w:t>
      </w:r>
      <w:bookmarkEnd w:id="79"/>
      <w:bookmarkEnd w:id="80"/>
    </w:p>
    <w:p w14:paraId="7EA31497" w14:textId="77777777" w:rsidR="005B0B58" w:rsidRPr="005C29F8" w:rsidRDefault="005B0B58" w:rsidP="00A018D4">
      <w:pPr>
        <w:rPr>
          <w:color w:val="000000" w:themeColor="text1"/>
          <w:szCs w:val="20"/>
        </w:rPr>
      </w:pPr>
      <w:bookmarkStart w:id="81" w:name="_Toc381786822"/>
      <w:bookmarkStart w:id="82" w:name="_Toc382731911"/>
      <w:bookmarkStart w:id="83" w:name="_Toc382731912"/>
      <w:bookmarkStart w:id="84" w:name="_Toc392159340"/>
      <w:bookmarkEnd w:id="81"/>
      <w:bookmarkEnd w:id="82"/>
      <w:r w:rsidRPr="005C29F8">
        <w:rPr>
          <w:b/>
          <w:color w:val="000000" w:themeColor="text1"/>
          <w:sz w:val="20"/>
          <w:szCs w:val="20"/>
        </w:rPr>
        <w:t>Instructions and Measurement</w:t>
      </w:r>
    </w:p>
    <w:p w14:paraId="280CD956" w14:textId="60A4C66A" w:rsidR="009B6586" w:rsidRPr="005C29F8" w:rsidRDefault="009B6586" w:rsidP="00206890">
      <w:pPr>
        <w:rPr>
          <w:rFonts w:cs="Arial"/>
          <w:color w:val="000000" w:themeColor="text1"/>
          <w:szCs w:val="16"/>
        </w:rPr>
      </w:pPr>
      <w:r w:rsidRPr="005C29F8">
        <w:rPr>
          <w:rFonts w:cs="Arial"/>
          <w:b/>
          <w:color w:val="000000" w:themeColor="text1"/>
          <w:szCs w:val="16"/>
        </w:rPr>
        <w:t>Monitoring Priority</w:t>
      </w:r>
      <w:r w:rsidRPr="005C29F8">
        <w:rPr>
          <w:rFonts w:cs="Arial"/>
          <w:color w:val="000000" w:themeColor="text1"/>
          <w:szCs w:val="16"/>
        </w:rPr>
        <w:t>: Effective General Supervision Part B / General Supervision</w:t>
      </w:r>
    </w:p>
    <w:p w14:paraId="676E98EE" w14:textId="77777777" w:rsidR="00692B95" w:rsidRPr="005C29F8" w:rsidRDefault="009B6586" w:rsidP="00206890">
      <w:pPr>
        <w:rPr>
          <w:rFonts w:cs="Arial"/>
          <w:color w:val="000000" w:themeColor="text1"/>
          <w:szCs w:val="16"/>
        </w:rPr>
      </w:pPr>
      <w:r w:rsidRPr="005C29F8">
        <w:rPr>
          <w:rFonts w:cs="Arial"/>
          <w:b/>
          <w:color w:val="000000" w:themeColor="text1"/>
          <w:szCs w:val="16"/>
        </w:rPr>
        <w:t>Results Indicator:</w:t>
      </w:r>
      <w:r w:rsidRPr="005C29F8">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5C29F8" w:rsidRDefault="009B6586" w:rsidP="00206890">
      <w:pPr>
        <w:rPr>
          <w:rFonts w:cs="Arial"/>
          <w:color w:val="000000" w:themeColor="text1"/>
          <w:szCs w:val="16"/>
        </w:rPr>
      </w:pPr>
      <w:r w:rsidRPr="005C29F8">
        <w:rPr>
          <w:rFonts w:cs="Arial"/>
          <w:color w:val="000000" w:themeColor="text1"/>
          <w:szCs w:val="16"/>
        </w:rPr>
        <w:t xml:space="preserve"> (20 U.S.C. 1416(a)(3)(B))</w:t>
      </w:r>
    </w:p>
    <w:p w14:paraId="40DC2407" w14:textId="77777777" w:rsidR="00B14746" w:rsidRPr="005C29F8" w:rsidRDefault="00B14746" w:rsidP="004369B2">
      <w:pPr>
        <w:rPr>
          <w:color w:val="000000" w:themeColor="text1"/>
        </w:rPr>
      </w:pPr>
      <w:r w:rsidRPr="005C29F8">
        <w:rPr>
          <w:b/>
          <w:color w:val="000000" w:themeColor="text1"/>
        </w:rPr>
        <w:t>Data Source</w:t>
      </w:r>
    </w:p>
    <w:p w14:paraId="585EF86F" w14:textId="2E239104" w:rsidR="00B14746" w:rsidRPr="005C29F8" w:rsidRDefault="00B14746" w:rsidP="00206890">
      <w:pPr>
        <w:rPr>
          <w:rFonts w:cs="Arial"/>
          <w:color w:val="000000" w:themeColor="text1"/>
          <w:szCs w:val="16"/>
        </w:rPr>
      </w:pPr>
      <w:r w:rsidRPr="005C29F8">
        <w:rPr>
          <w:rFonts w:cs="Arial"/>
          <w:color w:val="000000" w:themeColor="text1"/>
          <w:szCs w:val="16"/>
        </w:rPr>
        <w:t>Data collected under section 618 of the IDEA (IDEA Part B Dispute Resolution Survey in the EDFacts Metadata and Process System (E</w:t>
      </w:r>
      <w:r w:rsidR="00E65E32" w:rsidRPr="005C29F8">
        <w:rPr>
          <w:rFonts w:cs="Arial"/>
          <w:i/>
          <w:color w:val="000000" w:themeColor="text1"/>
          <w:szCs w:val="16"/>
        </w:rPr>
        <w:t>MAPS</w:t>
      </w:r>
      <w:r w:rsidRPr="005C29F8">
        <w:rPr>
          <w:rFonts w:cs="Arial"/>
          <w:color w:val="000000" w:themeColor="text1"/>
          <w:szCs w:val="16"/>
        </w:rPr>
        <w:t>)).</w:t>
      </w:r>
    </w:p>
    <w:p w14:paraId="4E6D96A3" w14:textId="77777777" w:rsidR="00B14746" w:rsidRPr="005C29F8" w:rsidRDefault="00B14746" w:rsidP="004369B2">
      <w:pPr>
        <w:rPr>
          <w:color w:val="000000" w:themeColor="text1"/>
        </w:rPr>
      </w:pPr>
      <w:r w:rsidRPr="005C29F8">
        <w:rPr>
          <w:b/>
          <w:color w:val="000000" w:themeColor="text1"/>
        </w:rPr>
        <w:t>Measurement</w:t>
      </w:r>
    </w:p>
    <w:p w14:paraId="64AA8A3E" w14:textId="743F9348" w:rsidR="00B14746" w:rsidRPr="005C29F8" w:rsidRDefault="00B14746" w:rsidP="00206890">
      <w:pPr>
        <w:rPr>
          <w:rFonts w:cs="Arial"/>
          <w:color w:val="000000" w:themeColor="text1"/>
          <w:szCs w:val="16"/>
        </w:rPr>
      </w:pPr>
      <w:r w:rsidRPr="005C29F8">
        <w:rPr>
          <w:rFonts w:cs="Arial"/>
          <w:color w:val="000000" w:themeColor="text1"/>
          <w:szCs w:val="16"/>
        </w:rPr>
        <w:t>Percent = (3.1(a) divided by 3.1) times 100.</w:t>
      </w:r>
    </w:p>
    <w:p w14:paraId="7D86471C" w14:textId="77777777" w:rsidR="00B14746" w:rsidRPr="005C29F8" w:rsidRDefault="00B14746" w:rsidP="004369B2">
      <w:pPr>
        <w:rPr>
          <w:color w:val="000000" w:themeColor="text1"/>
        </w:rPr>
      </w:pPr>
      <w:r w:rsidRPr="005C29F8">
        <w:rPr>
          <w:b/>
          <w:color w:val="000000" w:themeColor="text1"/>
        </w:rPr>
        <w:t>Instructions</w:t>
      </w:r>
    </w:p>
    <w:p w14:paraId="7F1341EF" w14:textId="77777777" w:rsidR="00B14746" w:rsidRPr="005C29F8" w:rsidRDefault="00B14746" w:rsidP="00286BDF">
      <w:pPr>
        <w:rPr>
          <w:rFonts w:cs="Arial"/>
          <w:color w:val="000000" w:themeColor="text1"/>
          <w:szCs w:val="16"/>
        </w:rPr>
      </w:pPr>
      <w:r w:rsidRPr="005C29F8">
        <w:rPr>
          <w:rFonts w:cs="Arial"/>
          <w:color w:val="000000" w:themeColor="text1"/>
          <w:szCs w:val="16"/>
        </w:rPr>
        <w:t>Sampling is not allowed.</w:t>
      </w:r>
    </w:p>
    <w:p w14:paraId="20D56B7B" w14:textId="77777777" w:rsidR="00B14746" w:rsidRPr="005C29F8" w:rsidRDefault="00B14746" w:rsidP="00286BDF">
      <w:pPr>
        <w:rPr>
          <w:rFonts w:cs="Arial"/>
          <w:color w:val="000000" w:themeColor="text1"/>
          <w:szCs w:val="16"/>
        </w:rPr>
      </w:pPr>
      <w:r w:rsidRPr="005C29F8">
        <w:rPr>
          <w:rFonts w:cs="Arial"/>
          <w:color w:val="000000" w:themeColor="text1"/>
          <w:szCs w:val="16"/>
        </w:rPr>
        <w:t>Describe the results of the calculations and compare the results to the target.</w:t>
      </w:r>
    </w:p>
    <w:p w14:paraId="368918B0" w14:textId="77777777" w:rsidR="00B14746" w:rsidRPr="005C29F8" w:rsidRDefault="00B14746" w:rsidP="00286BDF">
      <w:pPr>
        <w:rPr>
          <w:rFonts w:cs="Arial"/>
          <w:color w:val="000000" w:themeColor="text1"/>
          <w:szCs w:val="16"/>
        </w:rPr>
      </w:pPr>
      <w:r w:rsidRPr="005C29F8">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targets and improvement activities, and report on them in the corresponding SPP/APR.</w:t>
      </w:r>
    </w:p>
    <w:p w14:paraId="4484EAF5" w14:textId="77777777" w:rsidR="00B14746" w:rsidRPr="005C29F8" w:rsidRDefault="00B14746" w:rsidP="00286BDF">
      <w:pPr>
        <w:rPr>
          <w:rFonts w:cs="Arial"/>
          <w:color w:val="000000" w:themeColor="text1"/>
          <w:szCs w:val="16"/>
        </w:rPr>
      </w:pPr>
      <w:r w:rsidRPr="005C29F8">
        <w:rPr>
          <w:rFonts w:cs="Arial"/>
          <w:color w:val="000000" w:themeColor="text1"/>
          <w:szCs w:val="16"/>
        </w:rPr>
        <w:t>States may express their targets in a range (e.g., 75-85%).</w:t>
      </w:r>
    </w:p>
    <w:p w14:paraId="3A369CBC" w14:textId="77777777" w:rsidR="00B14746" w:rsidRPr="005C29F8" w:rsidRDefault="00B14746" w:rsidP="00286BDF">
      <w:pPr>
        <w:rPr>
          <w:rFonts w:cs="Arial"/>
          <w:color w:val="000000" w:themeColor="text1"/>
          <w:szCs w:val="16"/>
        </w:rPr>
      </w:pPr>
      <w:r w:rsidRPr="005C29F8">
        <w:rPr>
          <w:rFonts w:cs="Arial"/>
          <w:color w:val="000000" w:themeColor="text1"/>
          <w:szCs w:val="16"/>
        </w:rPr>
        <w:t>If the data reported in this indicator are not the same as the State’s data under IDEA section 618, explain.</w:t>
      </w:r>
    </w:p>
    <w:p w14:paraId="5C27A911" w14:textId="0F93F55A" w:rsidR="00B14746" w:rsidRPr="005C29F8" w:rsidRDefault="00B14746" w:rsidP="00286BDF">
      <w:pPr>
        <w:rPr>
          <w:rFonts w:cs="Arial"/>
          <w:color w:val="000000" w:themeColor="text1"/>
          <w:szCs w:val="16"/>
        </w:rPr>
      </w:pPr>
      <w:r w:rsidRPr="005C29F8">
        <w:rPr>
          <w:rFonts w:cs="Arial"/>
          <w:color w:val="000000" w:themeColor="text1"/>
          <w:szCs w:val="16"/>
        </w:rPr>
        <w:t>States are not required to report data at the LEA level.</w:t>
      </w:r>
    </w:p>
    <w:p w14:paraId="64F7E7AF" w14:textId="3E039165" w:rsidR="00575F02" w:rsidRPr="0033429D" w:rsidRDefault="00DF2D3A" w:rsidP="00123D76">
      <w:pPr>
        <w:pStyle w:val="Heading2"/>
      </w:pPr>
      <w:r w:rsidRPr="0033429D">
        <w:t>15</w:t>
      </w:r>
      <w:r w:rsidR="001D508D" w:rsidRPr="0033429D">
        <w:t xml:space="preserve"> </w:t>
      </w:r>
      <w:r w:rsidRPr="0033429D">
        <w:t xml:space="preserve">- </w:t>
      </w:r>
      <w:r w:rsidR="00575F02" w:rsidRPr="0033429D">
        <w:t>Indicator Data</w:t>
      </w:r>
    </w:p>
    <w:p w14:paraId="787F4BF1" w14:textId="4407EA15" w:rsidR="004A33CD" w:rsidRPr="005C29F8" w:rsidRDefault="00E31E29" w:rsidP="004A33CD">
      <w:pPr>
        <w:rPr>
          <w:rFonts w:cs="Arial"/>
          <w:color w:val="000000" w:themeColor="text1"/>
          <w:szCs w:val="16"/>
        </w:rPr>
      </w:pPr>
      <w:r w:rsidRPr="005C29F8">
        <w:rPr>
          <w:rFonts w:cs="Arial"/>
          <w:color w:val="000000" w:themeColor="text1"/>
          <w:szCs w:val="16"/>
        </w:rPr>
        <w:t>Select yes to use target ranges</w:t>
      </w:r>
    </w:p>
    <w:p w14:paraId="28345E9C" w14:textId="1A461958" w:rsidR="004A33CD" w:rsidRPr="005C29F8" w:rsidRDefault="004A33CD" w:rsidP="004369B2">
      <w:pPr>
        <w:rPr>
          <w:color w:val="000000" w:themeColor="text1"/>
        </w:rPr>
      </w:pPr>
      <w:r w:rsidRPr="005C29F8">
        <w:rPr>
          <w:rFonts w:cs="Arial"/>
          <w:color w:val="000000" w:themeColor="text1"/>
          <w:szCs w:val="16"/>
        </w:rPr>
        <w:t>Target Range is used</w:t>
      </w:r>
    </w:p>
    <w:bookmarkEnd w:id="83"/>
    <w:bookmarkEnd w:id="84"/>
    <w:p w14:paraId="2C183615" w14:textId="77777777" w:rsidR="00CE0C68" w:rsidRPr="005C29F8" w:rsidRDefault="00CE0C68" w:rsidP="004369B2">
      <w:pPr>
        <w:rPr>
          <w:color w:val="000000" w:themeColor="text1"/>
        </w:rPr>
      </w:pPr>
    </w:p>
    <w:p w14:paraId="23EC0320" w14:textId="2C5AA27C" w:rsidR="00372DF8" w:rsidRPr="005C29F8" w:rsidRDefault="00372DF8" w:rsidP="004369B2">
      <w:pPr>
        <w:rPr>
          <w:color w:val="000000" w:themeColor="text1"/>
        </w:rPr>
      </w:pPr>
      <w:r w:rsidRPr="005C29F8">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5C29F8" w14:paraId="6639EAF6" w14:textId="77777777" w:rsidTr="00AB0D6A">
        <w:trPr>
          <w:trHeight w:val="372"/>
          <w:tblHeader/>
        </w:trPr>
        <w:tc>
          <w:tcPr>
            <w:tcW w:w="1207" w:type="pct"/>
            <w:shd w:val="clear" w:color="auto" w:fill="auto"/>
          </w:tcPr>
          <w:p w14:paraId="3040A217" w14:textId="77777777" w:rsidR="00372DF8" w:rsidRPr="005C29F8" w:rsidRDefault="00372DF8" w:rsidP="008E31C4">
            <w:pPr>
              <w:spacing w:after="0"/>
              <w:jc w:val="center"/>
              <w:rPr>
                <w:rFonts w:cs="Arial"/>
                <w:b/>
                <w:color w:val="000000" w:themeColor="text1"/>
                <w:szCs w:val="16"/>
              </w:rPr>
            </w:pPr>
            <w:r w:rsidRPr="005C29F8">
              <w:rPr>
                <w:rFonts w:cs="Arial"/>
                <w:b/>
                <w:color w:val="000000" w:themeColor="text1"/>
                <w:szCs w:val="16"/>
              </w:rPr>
              <w:t>Source</w:t>
            </w:r>
          </w:p>
        </w:tc>
        <w:tc>
          <w:tcPr>
            <w:tcW w:w="1251" w:type="pct"/>
            <w:shd w:val="clear" w:color="auto" w:fill="auto"/>
          </w:tcPr>
          <w:p w14:paraId="3A97206D" w14:textId="77777777" w:rsidR="00372DF8" w:rsidRPr="005C29F8" w:rsidRDefault="00372DF8" w:rsidP="008E31C4">
            <w:pPr>
              <w:spacing w:after="0"/>
              <w:jc w:val="center"/>
              <w:rPr>
                <w:rFonts w:cs="Arial"/>
                <w:b/>
                <w:color w:val="000000" w:themeColor="text1"/>
                <w:szCs w:val="16"/>
              </w:rPr>
            </w:pPr>
            <w:r w:rsidRPr="005C29F8">
              <w:rPr>
                <w:rFonts w:cs="Arial"/>
                <w:b/>
                <w:color w:val="000000" w:themeColor="text1"/>
                <w:szCs w:val="16"/>
              </w:rPr>
              <w:t>Date</w:t>
            </w:r>
          </w:p>
        </w:tc>
        <w:tc>
          <w:tcPr>
            <w:tcW w:w="1655" w:type="pct"/>
            <w:shd w:val="clear" w:color="auto" w:fill="auto"/>
          </w:tcPr>
          <w:p w14:paraId="52C3C7CB" w14:textId="77777777" w:rsidR="00372DF8" w:rsidRPr="005C29F8" w:rsidRDefault="00372DF8" w:rsidP="008E31C4">
            <w:pPr>
              <w:spacing w:after="0"/>
              <w:jc w:val="center"/>
              <w:rPr>
                <w:rFonts w:cs="Arial"/>
                <w:b/>
                <w:color w:val="000000" w:themeColor="text1"/>
                <w:szCs w:val="16"/>
              </w:rPr>
            </w:pPr>
            <w:r w:rsidRPr="005C29F8">
              <w:rPr>
                <w:rFonts w:cs="Arial"/>
                <w:b/>
                <w:color w:val="000000" w:themeColor="text1"/>
                <w:szCs w:val="16"/>
              </w:rPr>
              <w:t>Description</w:t>
            </w:r>
          </w:p>
        </w:tc>
        <w:tc>
          <w:tcPr>
            <w:tcW w:w="887" w:type="pct"/>
            <w:shd w:val="clear" w:color="auto" w:fill="auto"/>
          </w:tcPr>
          <w:p w14:paraId="3BD49A8D" w14:textId="77777777" w:rsidR="00372DF8" w:rsidRPr="005C29F8" w:rsidRDefault="00372DF8" w:rsidP="008E31C4">
            <w:pPr>
              <w:spacing w:after="0"/>
              <w:jc w:val="center"/>
              <w:rPr>
                <w:rFonts w:cs="Arial"/>
                <w:b/>
                <w:color w:val="000000" w:themeColor="text1"/>
                <w:szCs w:val="16"/>
              </w:rPr>
            </w:pPr>
            <w:r w:rsidRPr="005C29F8">
              <w:rPr>
                <w:rFonts w:cs="Arial"/>
                <w:b/>
                <w:color w:val="000000" w:themeColor="text1"/>
                <w:szCs w:val="16"/>
              </w:rPr>
              <w:t>Data</w:t>
            </w:r>
          </w:p>
        </w:tc>
      </w:tr>
      <w:tr w:rsidR="005C29F8" w:rsidRPr="005C29F8" w14:paraId="50C4DB70" w14:textId="77777777" w:rsidTr="00AB0D6A">
        <w:trPr>
          <w:trHeight w:val="380"/>
        </w:trPr>
        <w:tc>
          <w:tcPr>
            <w:tcW w:w="1207" w:type="pct"/>
            <w:shd w:val="clear" w:color="auto" w:fill="auto"/>
          </w:tcPr>
          <w:p w14:paraId="56F7D41B" w14:textId="55A36B40" w:rsidR="001126C3" w:rsidRPr="005C29F8" w:rsidRDefault="002B7490" w:rsidP="001126C3">
            <w:pPr>
              <w:jc w:val="center"/>
              <w:rPr>
                <w:rFonts w:cs="Arial"/>
                <w:color w:val="000000" w:themeColor="text1"/>
                <w:szCs w:val="16"/>
              </w:rPr>
            </w:pPr>
            <w:r w:rsidRPr="005C29F8">
              <w:rPr>
                <w:rFonts w:cs="Arial"/>
                <w:color w:val="000000" w:themeColor="text1"/>
                <w:szCs w:val="16"/>
              </w:rPr>
              <w:t>SY 2019-20 EMAPS IDEA Part B Dispute Resolution Survey; Section C: Due Process Complaints</w:t>
            </w:r>
          </w:p>
        </w:tc>
        <w:tc>
          <w:tcPr>
            <w:tcW w:w="1251" w:type="pct"/>
            <w:shd w:val="clear" w:color="auto" w:fill="auto"/>
          </w:tcPr>
          <w:p w14:paraId="7C90E97F" w14:textId="79564898" w:rsidR="001126C3" w:rsidRPr="005C29F8" w:rsidRDefault="008174C3" w:rsidP="001126C3">
            <w:pPr>
              <w:jc w:val="center"/>
              <w:rPr>
                <w:rFonts w:cs="Arial"/>
                <w:color w:val="000000" w:themeColor="text1"/>
                <w:szCs w:val="16"/>
              </w:rPr>
            </w:pPr>
            <w:r w:rsidRPr="005C29F8">
              <w:rPr>
                <w:rFonts w:cs="Arial"/>
                <w:color w:val="000000" w:themeColor="text1"/>
                <w:szCs w:val="16"/>
              </w:rPr>
              <w:t>11/04/2020</w:t>
            </w:r>
          </w:p>
        </w:tc>
        <w:tc>
          <w:tcPr>
            <w:tcW w:w="1655" w:type="pct"/>
            <w:shd w:val="clear" w:color="auto" w:fill="auto"/>
          </w:tcPr>
          <w:p w14:paraId="5E5A973C" w14:textId="77777777" w:rsidR="001126C3" w:rsidRPr="005C29F8" w:rsidRDefault="001126C3" w:rsidP="001126C3">
            <w:pPr>
              <w:rPr>
                <w:rFonts w:cs="Arial"/>
                <w:color w:val="000000" w:themeColor="text1"/>
                <w:szCs w:val="16"/>
              </w:rPr>
            </w:pPr>
            <w:r w:rsidRPr="005C29F8">
              <w:rPr>
                <w:rFonts w:cs="Arial"/>
                <w:color w:val="000000" w:themeColor="text1"/>
                <w:szCs w:val="16"/>
              </w:rPr>
              <w:t>3.1 Number of resolution sessions</w:t>
            </w:r>
          </w:p>
        </w:tc>
        <w:tc>
          <w:tcPr>
            <w:tcW w:w="887" w:type="pct"/>
            <w:shd w:val="clear" w:color="auto" w:fill="auto"/>
          </w:tcPr>
          <w:p w14:paraId="5468BA6D" w14:textId="1A6A859B" w:rsidR="001126C3" w:rsidRPr="005C29F8" w:rsidRDefault="002B7490" w:rsidP="00A018D4">
            <w:pPr>
              <w:jc w:val="center"/>
              <w:rPr>
                <w:rFonts w:cs="Arial"/>
                <w:color w:val="000000" w:themeColor="text1"/>
                <w:szCs w:val="16"/>
              </w:rPr>
            </w:pPr>
            <w:r w:rsidRPr="005C29F8">
              <w:rPr>
                <w:rFonts w:cs="Arial"/>
                <w:color w:val="000000" w:themeColor="text1"/>
                <w:szCs w:val="16"/>
              </w:rPr>
              <w:t>4</w:t>
            </w:r>
          </w:p>
        </w:tc>
      </w:tr>
      <w:tr w:rsidR="005C29F8" w:rsidRPr="005C29F8" w14:paraId="2E50DA19" w14:textId="77777777" w:rsidTr="00AB0D6A">
        <w:trPr>
          <w:trHeight w:val="380"/>
        </w:trPr>
        <w:tc>
          <w:tcPr>
            <w:tcW w:w="1207" w:type="pct"/>
            <w:shd w:val="clear" w:color="auto" w:fill="auto"/>
          </w:tcPr>
          <w:p w14:paraId="2B232A7C" w14:textId="7E2BE0F5" w:rsidR="001126C3" w:rsidRPr="005C29F8" w:rsidRDefault="008174C3" w:rsidP="001126C3">
            <w:pPr>
              <w:jc w:val="center"/>
              <w:rPr>
                <w:rFonts w:cs="Arial"/>
                <w:color w:val="000000" w:themeColor="text1"/>
                <w:szCs w:val="16"/>
              </w:rPr>
            </w:pPr>
            <w:r w:rsidRPr="005C29F8">
              <w:rPr>
                <w:rFonts w:cs="Arial"/>
                <w:color w:val="000000" w:themeColor="text1"/>
                <w:szCs w:val="16"/>
              </w:rPr>
              <w:t>SY 2019-20 EMAPS IDEA Part B Dispute Resolution Survey; Section C: Due Process Complaints</w:t>
            </w:r>
          </w:p>
        </w:tc>
        <w:tc>
          <w:tcPr>
            <w:tcW w:w="1251" w:type="pct"/>
            <w:shd w:val="clear" w:color="auto" w:fill="auto"/>
          </w:tcPr>
          <w:p w14:paraId="7F21A5DE" w14:textId="74620D03" w:rsidR="001126C3" w:rsidRPr="005C29F8" w:rsidRDefault="008174C3" w:rsidP="001126C3">
            <w:pPr>
              <w:jc w:val="center"/>
              <w:rPr>
                <w:rFonts w:cs="Arial"/>
                <w:color w:val="000000" w:themeColor="text1"/>
                <w:szCs w:val="16"/>
              </w:rPr>
            </w:pPr>
            <w:r w:rsidRPr="005C29F8">
              <w:rPr>
                <w:rFonts w:cs="Arial"/>
                <w:color w:val="000000" w:themeColor="text1"/>
                <w:szCs w:val="16"/>
              </w:rPr>
              <w:t>11/04/2020</w:t>
            </w:r>
          </w:p>
        </w:tc>
        <w:tc>
          <w:tcPr>
            <w:tcW w:w="1655" w:type="pct"/>
            <w:shd w:val="clear" w:color="auto" w:fill="auto"/>
          </w:tcPr>
          <w:p w14:paraId="48E53926" w14:textId="77777777" w:rsidR="001126C3" w:rsidRPr="005C29F8" w:rsidRDefault="001126C3" w:rsidP="001126C3">
            <w:pPr>
              <w:rPr>
                <w:rFonts w:cs="Arial"/>
                <w:color w:val="000000" w:themeColor="text1"/>
                <w:szCs w:val="16"/>
              </w:rPr>
            </w:pPr>
            <w:r w:rsidRPr="005C29F8">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5C29F8" w:rsidRDefault="002B7490" w:rsidP="00A018D4">
            <w:pPr>
              <w:jc w:val="center"/>
              <w:rPr>
                <w:rFonts w:cs="Arial"/>
                <w:color w:val="000000" w:themeColor="text1"/>
                <w:szCs w:val="16"/>
              </w:rPr>
            </w:pPr>
            <w:r w:rsidRPr="005C29F8">
              <w:rPr>
                <w:rFonts w:cs="Arial"/>
                <w:color w:val="000000" w:themeColor="text1"/>
                <w:szCs w:val="16"/>
              </w:rPr>
              <w:t>1</w:t>
            </w:r>
          </w:p>
        </w:tc>
      </w:tr>
    </w:tbl>
    <w:p w14:paraId="162CEFB3" w14:textId="55A4ED3A" w:rsidR="004A33CD" w:rsidRPr="005C29F8" w:rsidRDefault="00E31E29">
      <w:pPr>
        <w:rPr>
          <w:b/>
          <w:color w:val="000000" w:themeColor="text1"/>
        </w:rPr>
      </w:pPr>
      <w:bookmarkStart w:id="85" w:name="_Toc382731913"/>
      <w:bookmarkStart w:id="86" w:name="_Toc392159341"/>
      <w:r w:rsidRPr="005C29F8">
        <w:rPr>
          <w:b/>
          <w:color w:val="000000" w:themeColor="text1"/>
        </w:rPr>
        <w:t>Select yes if the data reported in this indicator are not the same as the State’s data reported under section 618 of the IDEA.</w:t>
      </w:r>
    </w:p>
    <w:p w14:paraId="619A5AA7" w14:textId="55E9BEAB" w:rsidR="004A33CD" w:rsidRDefault="004A33CD">
      <w:pPr>
        <w:rPr>
          <w:color w:val="000000" w:themeColor="text1"/>
        </w:rPr>
      </w:pPr>
      <w:r w:rsidRPr="005C29F8">
        <w:rPr>
          <w:color w:val="000000" w:themeColor="text1"/>
        </w:rPr>
        <w:t>NO</w:t>
      </w:r>
    </w:p>
    <w:p w14:paraId="25CD6A7B" w14:textId="77777777" w:rsidR="000657A8" w:rsidRPr="005C29F8" w:rsidRDefault="000657A8" w:rsidP="004369B2">
      <w:pPr>
        <w:rPr>
          <w:color w:val="000000" w:themeColor="text1"/>
        </w:rPr>
      </w:pPr>
    </w:p>
    <w:p w14:paraId="2AFA559A" w14:textId="46CC9076" w:rsidR="000A2C83" w:rsidRDefault="000A2C83" w:rsidP="004369B2">
      <w:pPr>
        <w:rPr>
          <w:b/>
          <w:color w:val="000000" w:themeColor="text1"/>
        </w:rPr>
      </w:pPr>
      <w:r w:rsidRPr="005C29F8">
        <w:rPr>
          <w:b/>
          <w:color w:val="000000" w:themeColor="text1"/>
        </w:rPr>
        <w:t xml:space="preserve">Targets: Description of Stakeholder Input </w:t>
      </w:r>
    </w:p>
    <w:p w14:paraId="60B2BAB4" w14:textId="6EAE1CD9" w:rsidR="000A2C83" w:rsidRDefault="002B7490" w:rsidP="000A2C83">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43B1695A" w14:textId="2970A905" w:rsidR="000A2C83" w:rsidRPr="005C29F8" w:rsidRDefault="002B7490" w:rsidP="000A2C83">
      <w:pPr>
        <w:rPr>
          <w:rFonts w:cs="Arial"/>
          <w:color w:val="000000" w:themeColor="text1"/>
          <w:szCs w:val="16"/>
        </w:rPr>
      </w:pPr>
      <w:r w:rsidRPr="005C29F8">
        <w:rPr>
          <w:rFonts w:cs="Arial"/>
          <w:color w:val="000000" w:themeColor="text1"/>
          <w:szCs w:val="16"/>
        </w:rPr>
        <w:t>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schools, and educational collaboratives; representatives of higher education; and health care and related service providers.</w:t>
      </w:r>
      <w:r w:rsidRPr="005C29F8">
        <w:rPr>
          <w:rFonts w:cs="Arial"/>
          <w:color w:val="000000" w:themeColor="text1"/>
          <w:szCs w:val="16"/>
        </w:rPr>
        <w:br/>
      </w:r>
      <w:r w:rsidRPr="005C29F8">
        <w:rPr>
          <w:rFonts w:cs="Arial"/>
          <w:color w:val="000000" w:themeColor="text1"/>
          <w:szCs w:val="16"/>
        </w:rPr>
        <w:br/>
        <w:t>The SEAP met most recently in January 2021 to review current data and discuss future actions to improve the State’s performance. As needed, MA DESE also convenes stakeholder working groups throughout the year to provide focused input on specific projects and policy priorities. MA DESE also consults with educators, parents, advocates, and other stakeholders on an ad hoc basis to inform policy and practice. Stakeholder engagement is an essential component of MA DESE’s special education agenda.</w:t>
      </w:r>
    </w:p>
    <w:bookmarkEnd w:id="85"/>
    <w:bookmarkEnd w:id="86"/>
    <w:p w14:paraId="3A708A87" w14:textId="77777777" w:rsidR="00CE0C68" w:rsidRPr="005C29F8" w:rsidRDefault="00CE0C68" w:rsidP="00127006">
      <w:pPr>
        <w:pStyle w:val="Bold"/>
        <w:rPr>
          <w:color w:val="000000" w:themeColor="text1"/>
        </w:rPr>
      </w:pPr>
    </w:p>
    <w:p w14:paraId="4E8407A2" w14:textId="6977F9EE" w:rsidR="00EC46E4" w:rsidRDefault="00EC46E4" w:rsidP="004369B2">
      <w:pPr>
        <w:rPr>
          <w:b/>
          <w:color w:val="000000" w:themeColor="text1"/>
        </w:rPr>
      </w:pPr>
      <w:r w:rsidRPr="005C29F8">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14:paraId="4BC2AEC0" w14:textId="77777777" w:rsidTr="00123D76">
        <w:trPr>
          <w:trHeight w:val="311"/>
          <w:tblHeader/>
        </w:trPr>
        <w:tc>
          <w:tcPr>
            <w:tcW w:w="1797" w:type="dxa"/>
          </w:tcPr>
          <w:p w14:paraId="5C965FC2" w14:textId="77777777" w:rsidR="00956DFE" w:rsidRDefault="00956DFE" w:rsidP="00123D76">
            <w:pPr>
              <w:jc w:val="center"/>
              <w:rPr>
                <w:b/>
                <w:color w:val="000000" w:themeColor="text1"/>
              </w:rPr>
            </w:pPr>
            <w:r w:rsidRPr="005C29F8">
              <w:rPr>
                <w:rFonts w:cs="Arial"/>
                <w:b/>
                <w:color w:val="000000" w:themeColor="text1"/>
                <w:szCs w:val="16"/>
              </w:rPr>
              <w:lastRenderedPageBreak/>
              <w:t>Baseline Year</w:t>
            </w:r>
          </w:p>
        </w:tc>
        <w:tc>
          <w:tcPr>
            <w:tcW w:w="1798" w:type="dxa"/>
          </w:tcPr>
          <w:p w14:paraId="0FE47E01" w14:textId="77777777" w:rsidR="00956DFE" w:rsidRDefault="00956DFE" w:rsidP="00123D76">
            <w:pPr>
              <w:jc w:val="center"/>
              <w:rPr>
                <w:b/>
                <w:color w:val="000000" w:themeColor="text1"/>
              </w:rPr>
            </w:pPr>
            <w:r>
              <w:rPr>
                <w:b/>
                <w:color w:val="000000" w:themeColor="text1"/>
              </w:rPr>
              <w:t>Baseline Data</w:t>
            </w:r>
          </w:p>
        </w:tc>
      </w:tr>
      <w:tr w:rsidR="00956DFE" w14:paraId="4061AB26" w14:textId="77777777" w:rsidTr="00123D76">
        <w:trPr>
          <w:trHeight w:val="311"/>
        </w:trPr>
        <w:tc>
          <w:tcPr>
            <w:tcW w:w="1797" w:type="dxa"/>
            <w:vAlign w:val="center"/>
          </w:tcPr>
          <w:p w14:paraId="06B6D30C" w14:textId="2AF9B55C" w:rsidR="00956DFE" w:rsidRPr="00227D4B" w:rsidRDefault="00956DFE" w:rsidP="00123D76">
            <w:pPr>
              <w:jc w:val="center"/>
              <w:rPr>
                <w:bCs/>
                <w:color w:val="000000" w:themeColor="text1"/>
              </w:rPr>
            </w:pPr>
            <w:r w:rsidRPr="00227D4B">
              <w:rPr>
                <w:bCs/>
                <w:color w:val="000000" w:themeColor="text1"/>
              </w:rPr>
              <w:t>2005</w:t>
            </w:r>
          </w:p>
        </w:tc>
        <w:tc>
          <w:tcPr>
            <w:tcW w:w="1798" w:type="dxa"/>
            <w:vAlign w:val="center"/>
          </w:tcPr>
          <w:p w14:paraId="2ECB17ED" w14:textId="53ECEEAF" w:rsidR="00956DFE" w:rsidRPr="00227D4B" w:rsidRDefault="00956DFE" w:rsidP="00123D76">
            <w:pPr>
              <w:jc w:val="center"/>
              <w:rPr>
                <w:bCs/>
                <w:color w:val="000000" w:themeColor="text1"/>
              </w:rPr>
            </w:pPr>
            <w:r w:rsidRPr="00227D4B">
              <w:rPr>
                <w:bCs/>
                <w:color w:val="000000" w:themeColor="text1"/>
              </w:rPr>
              <w:t>48.00%</w:t>
            </w:r>
          </w:p>
        </w:tc>
      </w:tr>
    </w:tbl>
    <w:p w14:paraId="3ABC15A0" w14:textId="77777777" w:rsidR="00956DFE" w:rsidRPr="005C29F8"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5C29F8" w14:paraId="4E412341" w14:textId="77777777" w:rsidTr="0033429D">
        <w:trPr>
          <w:trHeight w:val="350"/>
        </w:trPr>
        <w:tc>
          <w:tcPr>
            <w:tcW w:w="833" w:type="pct"/>
            <w:tcBorders>
              <w:bottom w:val="single" w:sz="4" w:space="0" w:color="auto"/>
            </w:tcBorders>
            <w:shd w:val="clear" w:color="auto" w:fill="auto"/>
          </w:tcPr>
          <w:p w14:paraId="3BCF53D4" w14:textId="77777777" w:rsidR="00206890" w:rsidRPr="005C29F8" w:rsidRDefault="00206890" w:rsidP="004369B2">
            <w:pPr>
              <w:jc w:val="center"/>
              <w:rPr>
                <w:rFonts w:cs="Arial"/>
                <w:b/>
                <w:color w:val="000000" w:themeColor="text1"/>
                <w:szCs w:val="16"/>
              </w:rPr>
            </w:pPr>
            <w:r w:rsidRPr="005C29F8">
              <w:rPr>
                <w:rFonts w:cs="Arial"/>
                <w:b/>
                <w:color w:val="000000" w:themeColor="text1"/>
                <w:szCs w:val="16"/>
              </w:rPr>
              <w:t>FFY</w:t>
            </w:r>
          </w:p>
        </w:tc>
        <w:tc>
          <w:tcPr>
            <w:tcW w:w="833" w:type="pct"/>
            <w:shd w:val="clear" w:color="auto" w:fill="auto"/>
          </w:tcPr>
          <w:p w14:paraId="1BCFC70E" w14:textId="1BB5B5A8" w:rsidR="00206890" w:rsidRPr="005C29F8" w:rsidRDefault="002B7490" w:rsidP="008E31C4">
            <w:pPr>
              <w:jc w:val="center"/>
              <w:rPr>
                <w:rFonts w:cs="Arial"/>
                <w:b/>
                <w:color w:val="000000" w:themeColor="text1"/>
                <w:szCs w:val="16"/>
              </w:rPr>
            </w:pPr>
            <w:r w:rsidRPr="005C29F8">
              <w:rPr>
                <w:rFonts w:cs="Arial"/>
                <w:b/>
                <w:color w:val="000000" w:themeColor="text1"/>
                <w:szCs w:val="16"/>
              </w:rPr>
              <w:t>2014</w:t>
            </w:r>
          </w:p>
        </w:tc>
        <w:tc>
          <w:tcPr>
            <w:tcW w:w="833" w:type="pct"/>
            <w:shd w:val="clear" w:color="auto" w:fill="auto"/>
          </w:tcPr>
          <w:p w14:paraId="0D14322A" w14:textId="6BD4D2D0" w:rsidR="00206890" w:rsidRPr="005C29F8" w:rsidRDefault="002B7490" w:rsidP="008E31C4">
            <w:pPr>
              <w:jc w:val="center"/>
              <w:rPr>
                <w:rFonts w:cs="Arial"/>
                <w:b/>
                <w:color w:val="000000" w:themeColor="text1"/>
                <w:szCs w:val="16"/>
              </w:rPr>
            </w:pPr>
            <w:r w:rsidRPr="005C29F8">
              <w:rPr>
                <w:rFonts w:cs="Arial"/>
                <w:b/>
                <w:color w:val="000000" w:themeColor="text1"/>
                <w:szCs w:val="16"/>
              </w:rPr>
              <w:t>2015</w:t>
            </w:r>
          </w:p>
        </w:tc>
        <w:tc>
          <w:tcPr>
            <w:tcW w:w="833" w:type="pct"/>
            <w:shd w:val="clear" w:color="auto" w:fill="auto"/>
          </w:tcPr>
          <w:p w14:paraId="5AD53313" w14:textId="5FC8C632" w:rsidR="00206890" w:rsidRPr="005C29F8" w:rsidRDefault="002B7490" w:rsidP="008E31C4">
            <w:pPr>
              <w:jc w:val="center"/>
              <w:rPr>
                <w:rFonts w:cs="Arial"/>
                <w:b/>
                <w:color w:val="000000" w:themeColor="text1"/>
                <w:szCs w:val="16"/>
              </w:rPr>
            </w:pPr>
            <w:r w:rsidRPr="005C29F8">
              <w:rPr>
                <w:rFonts w:cs="Arial"/>
                <w:b/>
                <w:color w:val="000000" w:themeColor="text1"/>
                <w:szCs w:val="16"/>
              </w:rPr>
              <w:t>2016</w:t>
            </w:r>
          </w:p>
        </w:tc>
        <w:tc>
          <w:tcPr>
            <w:tcW w:w="833" w:type="pct"/>
            <w:shd w:val="clear" w:color="auto" w:fill="auto"/>
          </w:tcPr>
          <w:p w14:paraId="4015341F" w14:textId="703AE838" w:rsidR="00206890" w:rsidRPr="005C29F8" w:rsidRDefault="002B7490" w:rsidP="008E31C4">
            <w:pPr>
              <w:jc w:val="center"/>
              <w:rPr>
                <w:rFonts w:cs="Arial"/>
                <w:b/>
                <w:color w:val="000000" w:themeColor="text1"/>
                <w:szCs w:val="16"/>
              </w:rPr>
            </w:pPr>
            <w:r w:rsidRPr="005C29F8">
              <w:rPr>
                <w:rFonts w:cs="Arial"/>
                <w:b/>
                <w:color w:val="000000" w:themeColor="text1"/>
                <w:szCs w:val="16"/>
              </w:rPr>
              <w:t>2017</w:t>
            </w:r>
          </w:p>
        </w:tc>
        <w:tc>
          <w:tcPr>
            <w:tcW w:w="834" w:type="pct"/>
            <w:shd w:val="clear" w:color="auto" w:fill="auto"/>
          </w:tcPr>
          <w:p w14:paraId="087D6966" w14:textId="6C948B8E" w:rsidR="00206890" w:rsidRPr="005C29F8" w:rsidRDefault="002B7490" w:rsidP="008E31C4">
            <w:pPr>
              <w:jc w:val="center"/>
              <w:rPr>
                <w:rFonts w:cs="Arial"/>
                <w:b/>
                <w:color w:val="000000" w:themeColor="text1"/>
                <w:szCs w:val="16"/>
              </w:rPr>
            </w:pPr>
            <w:r w:rsidRPr="005C29F8">
              <w:rPr>
                <w:rFonts w:cs="Arial"/>
                <w:b/>
                <w:color w:val="000000" w:themeColor="text1"/>
                <w:szCs w:val="16"/>
              </w:rPr>
              <w:t>2018</w:t>
            </w:r>
          </w:p>
        </w:tc>
      </w:tr>
      <w:tr w:rsidR="005C29F8" w:rsidRPr="005C29F8" w14:paraId="2C55BF13" w14:textId="77777777" w:rsidTr="0033429D">
        <w:trPr>
          <w:trHeight w:val="357"/>
        </w:trPr>
        <w:tc>
          <w:tcPr>
            <w:tcW w:w="833" w:type="pct"/>
            <w:shd w:val="clear" w:color="auto" w:fill="auto"/>
          </w:tcPr>
          <w:p w14:paraId="33F24D1B" w14:textId="209B7194" w:rsidR="00206890" w:rsidRPr="005C29F8" w:rsidRDefault="00206890" w:rsidP="008E31C4">
            <w:pPr>
              <w:rPr>
                <w:rFonts w:cs="Arial"/>
                <w:color w:val="000000" w:themeColor="text1"/>
                <w:szCs w:val="16"/>
              </w:rPr>
            </w:pPr>
            <w:r w:rsidRPr="005C29F8">
              <w:rPr>
                <w:rFonts w:cs="Arial"/>
                <w:color w:val="000000" w:themeColor="text1"/>
                <w:szCs w:val="16"/>
              </w:rPr>
              <w:t>Target &gt;=</w:t>
            </w:r>
          </w:p>
        </w:tc>
        <w:tc>
          <w:tcPr>
            <w:tcW w:w="833" w:type="pct"/>
            <w:shd w:val="clear" w:color="auto" w:fill="auto"/>
          </w:tcPr>
          <w:p w14:paraId="7184CC23" w14:textId="0660F716" w:rsidR="00206890" w:rsidRPr="005C29F8" w:rsidRDefault="002B7490" w:rsidP="00A018D4">
            <w:pPr>
              <w:jc w:val="center"/>
              <w:rPr>
                <w:rFonts w:cs="Arial"/>
                <w:color w:val="000000" w:themeColor="text1"/>
                <w:szCs w:val="16"/>
              </w:rPr>
            </w:pPr>
            <w:r w:rsidRPr="005C29F8">
              <w:rPr>
                <w:rFonts w:cs="Arial"/>
                <w:color w:val="000000" w:themeColor="text1"/>
                <w:szCs w:val="16"/>
              </w:rPr>
              <w:t>48.00% - 58.00%</w:t>
            </w:r>
          </w:p>
        </w:tc>
        <w:tc>
          <w:tcPr>
            <w:tcW w:w="833" w:type="pct"/>
            <w:shd w:val="clear" w:color="auto" w:fill="auto"/>
          </w:tcPr>
          <w:p w14:paraId="0E9857EC" w14:textId="50F3C2EF" w:rsidR="00206890" w:rsidRPr="005C29F8" w:rsidRDefault="002B7490" w:rsidP="00A018D4">
            <w:pPr>
              <w:jc w:val="center"/>
              <w:rPr>
                <w:rFonts w:cs="Arial"/>
                <w:color w:val="000000" w:themeColor="text1"/>
                <w:szCs w:val="16"/>
              </w:rPr>
            </w:pPr>
            <w:r w:rsidRPr="005C29F8">
              <w:rPr>
                <w:rFonts w:cs="Arial"/>
                <w:color w:val="000000" w:themeColor="text1"/>
                <w:szCs w:val="16"/>
              </w:rPr>
              <w:t>48.00% - 58.00%</w:t>
            </w:r>
          </w:p>
        </w:tc>
        <w:tc>
          <w:tcPr>
            <w:tcW w:w="833" w:type="pct"/>
            <w:shd w:val="clear" w:color="auto" w:fill="auto"/>
            <w:vAlign w:val="center"/>
          </w:tcPr>
          <w:p w14:paraId="0571C04B" w14:textId="328A30A7" w:rsidR="00206890" w:rsidRPr="005C29F8" w:rsidRDefault="002B7490" w:rsidP="00A018D4">
            <w:pPr>
              <w:jc w:val="center"/>
              <w:rPr>
                <w:rFonts w:cs="Arial"/>
                <w:color w:val="000000" w:themeColor="text1"/>
                <w:szCs w:val="16"/>
              </w:rPr>
            </w:pPr>
            <w:r w:rsidRPr="005C29F8">
              <w:rPr>
                <w:rFonts w:cs="Arial"/>
                <w:color w:val="000000" w:themeColor="text1"/>
                <w:szCs w:val="16"/>
              </w:rPr>
              <w:t>48.00% - 58.00%</w:t>
            </w:r>
          </w:p>
        </w:tc>
        <w:tc>
          <w:tcPr>
            <w:tcW w:w="833" w:type="pct"/>
            <w:shd w:val="clear" w:color="auto" w:fill="auto"/>
            <w:vAlign w:val="center"/>
          </w:tcPr>
          <w:p w14:paraId="77EAC2A0" w14:textId="7A794ABC" w:rsidR="00206890" w:rsidRPr="005C29F8" w:rsidRDefault="002B7490" w:rsidP="00A018D4">
            <w:pPr>
              <w:jc w:val="center"/>
              <w:rPr>
                <w:rFonts w:cs="Arial"/>
                <w:color w:val="000000" w:themeColor="text1"/>
                <w:szCs w:val="16"/>
              </w:rPr>
            </w:pPr>
            <w:r w:rsidRPr="005C29F8">
              <w:rPr>
                <w:rFonts w:cs="Arial"/>
                <w:color w:val="000000" w:themeColor="text1"/>
                <w:szCs w:val="16"/>
              </w:rPr>
              <w:t>48.00% - 58.00%</w:t>
            </w:r>
          </w:p>
        </w:tc>
        <w:tc>
          <w:tcPr>
            <w:tcW w:w="834" w:type="pct"/>
            <w:shd w:val="clear" w:color="auto" w:fill="auto"/>
            <w:vAlign w:val="center"/>
          </w:tcPr>
          <w:p w14:paraId="04397BF9" w14:textId="1A3506DC" w:rsidR="00206890" w:rsidRPr="005C29F8" w:rsidRDefault="002B7490" w:rsidP="00A018D4">
            <w:pPr>
              <w:jc w:val="center"/>
              <w:rPr>
                <w:rFonts w:cs="Arial"/>
                <w:color w:val="000000" w:themeColor="text1"/>
                <w:szCs w:val="16"/>
              </w:rPr>
            </w:pPr>
            <w:r w:rsidRPr="005C29F8">
              <w:rPr>
                <w:rFonts w:cs="Arial"/>
                <w:color w:val="000000" w:themeColor="text1"/>
                <w:szCs w:val="16"/>
              </w:rPr>
              <w:t>48.00% - 75.00%</w:t>
            </w:r>
          </w:p>
        </w:tc>
      </w:tr>
      <w:tr w:rsidR="005C29F8" w:rsidRPr="005C29F8" w14:paraId="10C8B4B5" w14:textId="77777777" w:rsidTr="0033429D">
        <w:trPr>
          <w:trHeight w:val="85"/>
        </w:trPr>
        <w:tc>
          <w:tcPr>
            <w:tcW w:w="833" w:type="pct"/>
            <w:shd w:val="clear" w:color="auto" w:fill="auto"/>
          </w:tcPr>
          <w:p w14:paraId="708FF78B" w14:textId="77777777" w:rsidR="00206890" w:rsidRPr="005C29F8" w:rsidRDefault="00206890" w:rsidP="008E31C4">
            <w:pPr>
              <w:rPr>
                <w:rFonts w:cs="Arial"/>
                <w:color w:val="000000" w:themeColor="text1"/>
                <w:szCs w:val="16"/>
              </w:rPr>
            </w:pPr>
            <w:r w:rsidRPr="005C29F8">
              <w:rPr>
                <w:rFonts w:cs="Arial"/>
                <w:color w:val="000000" w:themeColor="text1"/>
                <w:szCs w:val="16"/>
              </w:rPr>
              <w:t>Data</w:t>
            </w:r>
          </w:p>
        </w:tc>
        <w:tc>
          <w:tcPr>
            <w:tcW w:w="833" w:type="pct"/>
            <w:shd w:val="clear" w:color="auto" w:fill="auto"/>
          </w:tcPr>
          <w:p w14:paraId="5E187FD0" w14:textId="3237A264" w:rsidR="00206890" w:rsidRPr="005C29F8" w:rsidRDefault="002B7490" w:rsidP="00A018D4">
            <w:pPr>
              <w:jc w:val="center"/>
              <w:rPr>
                <w:rFonts w:cs="Arial"/>
                <w:color w:val="000000" w:themeColor="text1"/>
                <w:szCs w:val="16"/>
              </w:rPr>
            </w:pPr>
            <w:r w:rsidRPr="005C29F8">
              <w:rPr>
                <w:rFonts w:cs="Arial"/>
                <w:color w:val="000000" w:themeColor="text1"/>
                <w:szCs w:val="16"/>
              </w:rPr>
              <w:t>42.11%</w:t>
            </w:r>
          </w:p>
        </w:tc>
        <w:tc>
          <w:tcPr>
            <w:tcW w:w="833" w:type="pct"/>
            <w:shd w:val="clear" w:color="auto" w:fill="auto"/>
          </w:tcPr>
          <w:p w14:paraId="6CEC3330" w14:textId="5E8A3E06" w:rsidR="00206890" w:rsidRPr="005C29F8" w:rsidRDefault="002B7490" w:rsidP="00A018D4">
            <w:pPr>
              <w:jc w:val="center"/>
              <w:rPr>
                <w:rFonts w:cs="Arial"/>
                <w:color w:val="000000" w:themeColor="text1"/>
                <w:szCs w:val="16"/>
              </w:rPr>
            </w:pPr>
            <w:r w:rsidRPr="005C29F8">
              <w:rPr>
                <w:rFonts w:cs="Arial"/>
                <w:color w:val="000000" w:themeColor="text1"/>
                <w:szCs w:val="16"/>
              </w:rPr>
              <w:t>41.67%</w:t>
            </w:r>
          </w:p>
        </w:tc>
        <w:tc>
          <w:tcPr>
            <w:tcW w:w="833" w:type="pct"/>
            <w:tcBorders>
              <w:bottom w:val="single" w:sz="4" w:space="0" w:color="auto"/>
            </w:tcBorders>
            <w:shd w:val="clear" w:color="auto" w:fill="auto"/>
            <w:vAlign w:val="center"/>
          </w:tcPr>
          <w:p w14:paraId="3C74B678" w14:textId="22746FF8" w:rsidR="00206890" w:rsidRPr="005C29F8" w:rsidRDefault="002B7490" w:rsidP="00A018D4">
            <w:pPr>
              <w:jc w:val="center"/>
              <w:rPr>
                <w:rFonts w:cs="Arial"/>
                <w:color w:val="000000" w:themeColor="text1"/>
                <w:szCs w:val="16"/>
              </w:rPr>
            </w:pPr>
            <w:r w:rsidRPr="005C29F8">
              <w:rPr>
                <w:rFonts w:cs="Arial"/>
                <w:color w:val="000000" w:themeColor="text1"/>
                <w:szCs w:val="16"/>
              </w:rPr>
              <w:t>57.14%</w:t>
            </w:r>
          </w:p>
        </w:tc>
        <w:tc>
          <w:tcPr>
            <w:tcW w:w="833" w:type="pct"/>
            <w:tcBorders>
              <w:bottom w:val="single" w:sz="4" w:space="0" w:color="auto"/>
            </w:tcBorders>
            <w:shd w:val="clear" w:color="auto" w:fill="auto"/>
            <w:vAlign w:val="center"/>
          </w:tcPr>
          <w:p w14:paraId="6488E126" w14:textId="74B63322" w:rsidR="00206890" w:rsidRPr="005C29F8" w:rsidRDefault="002B7490" w:rsidP="00A018D4">
            <w:pPr>
              <w:jc w:val="center"/>
              <w:rPr>
                <w:rFonts w:cs="Arial"/>
                <w:color w:val="000000" w:themeColor="text1"/>
                <w:szCs w:val="16"/>
              </w:rPr>
            </w:pPr>
            <w:r w:rsidRPr="005C29F8">
              <w:rPr>
                <w:rFonts w:cs="Arial"/>
                <w:color w:val="000000" w:themeColor="text1"/>
                <w:szCs w:val="16"/>
              </w:rPr>
              <w:t>53.85%</w:t>
            </w:r>
          </w:p>
        </w:tc>
        <w:tc>
          <w:tcPr>
            <w:tcW w:w="834" w:type="pct"/>
            <w:tcBorders>
              <w:bottom w:val="single" w:sz="4" w:space="0" w:color="auto"/>
            </w:tcBorders>
            <w:shd w:val="clear" w:color="auto" w:fill="auto"/>
            <w:vAlign w:val="center"/>
          </w:tcPr>
          <w:p w14:paraId="72325A8D" w14:textId="79CE876D" w:rsidR="00206890" w:rsidRPr="005C29F8" w:rsidRDefault="002B7490" w:rsidP="00A018D4">
            <w:pPr>
              <w:jc w:val="center"/>
              <w:rPr>
                <w:rFonts w:cs="Arial"/>
                <w:color w:val="000000" w:themeColor="text1"/>
                <w:szCs w:val="16"/>
              </w:rPr>
            </w:pPr>
            <w:r w:rsidRPr="005C29F8">
              <w:rPr>
                <w:rFonts w:cs="Arial"/>
                <w:color w:val="000000" w:themeColor="text1"/>
                <w:szCs w:val="16"/>
              </w:rPr>
              <w:t>70.83%</w:t>
            </w:r>
          </w:p>
        </w:tc>
      </w:tr>
    </w:tbl>
    <w:p w14:paraId="49D45707" w14:textId="4136C190" w:rsidR="00CE0C68" w:rsidRPr="005C29F8" w:rsidRDefault="00CE0C68">
      <w:pPr>
        <w:rPr>
          <w:color w:val="000000" w:themeColor="text1"/>
        </w:rPr>
      </w:pPr>
    </w:p>
    <w:p w14:paraId="161341C1" w14:textId="77777777" w:rsidR="00CE0C68" w:rsidRPr="005C29F8" w:rsidRDefault="00CE0C68" w:rsidP="004369B2">
      <w:pPr>
        <w:rPr>
          <w:color w:val="000000" w:themeColor="text1"/>
        </w:rPr>
      </w:pPr>
    </w:p>
    <w:p w14:paraId="3D302901" w14:textId="39ABFCEF" w:rsidR="008E31C4" w:rsidRPr="005C29F8" w:rsidRDefault="008E31C4" w:rsidP="004369B2">
      <w:pPr>
        <w:rPr>
          <w:color w:val="000000" w:themeColor="text1"/>
        </w:rPr>
      </w:pPr>
      <w:r w:rsidRPr="005C29F8">
        <w:rPr>
          <w:b/>
          <w:color w:val="000000" w:themeColor="text1"/>
        </w:rPr>
        <w:t>Targets</w:t>
      </w:r>
    </w:p>
    <w:tbl>
      <w:tblPr>
        <w:tblW w:w="1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TARGETSOPT2"/>
      </w:tblPr>
      <w:tblGrid>
        <w:gridCol w:w="895"/>
        <w:gridCol w:w="1507"/>
        <w:gridCol w:w="1508"/>
      </w:tblGrid>
      <w:tr w:rsidR="00441578" w:rsidRPr="005C29F8" w14:paraId="644B64CC" w14:textId="5A3F6A09" w:rsidTr="0033429D">
        <w:trPr>
          <w:trHeight w:val="350"/>
          <w:tblHeader/>
        </w:trPr>
        <w:tc>
          <w:tcPr>
            <w:tcW w:w="1145" w:type="pct"/>
            <w:tcBorders>
              <w:bottom w:val="single" w:sz="4" w:space="0" w:color="auto"/>
            </w:tcBorders>
            <w:shd w:val="clear" w:color="auto" w:fill="auto"/>
          </w:tcPr>
          <w:p w14:paraId="7BA1EAE5" w14:textId="77777777" w:rsidR="00441578" w:rsidRPr="00D1596B" w:rsidRDefault="00441578" w:rsidP="004369B2">
            <w:pPr>
              <w:jc w:val="center"/>
              <w:rPr>
                <w:b/>
                <w:color w:val="000000" w:themeColor="text1"/>
              </w:rPr>
            </w:pPr>
            <w:r w:rsidRPr="00D56EC4">
              <w:rPr>
                <w:b/>
                <w:color w:val="000000" w:themeColor="text1"/>
              </w:rPr>
              <w:t>FFY</w:t>
            </w:r>
          </w:p>
        </w:tc>
        <w:tc>
          <w:tcPr>
            <w:tcW w:w="1927" w:type="pct"/>
            <w:shd w:val="clear" w:color="auto" w:fill="auto"/>
            <w:vAlign w:val="center"/>
          </w:tcPr>
          <w:p w14:paraId="23DAA64E" w14:textId="191590DB" w:rsidR="00441578" w:rsidRPr="0033429D" w:rsidRDefault="00441578" w:rsidP="004369B2">
            <w:pPr>
              <w:jc w:val="center"/>
              <w:rPr>
                <w:b/>
                <w:color w:val="000000" w:themeColor="text1"/>
              </w:rPr>
            </w:pPr>
            <w:r w:rsidRPr="0033429D">
              <w:rPr>
                <w:b/>
                <w:color w:val="000000" w:themeColor="text1"/>
              </w:rPr>
              <w:t>2019 (low)</w:t>
            </w:r>
          </w:p>
        </w:tc>
        <w:tc>
          <w:tcPr>
            <w:tcW w:w="1928" w:type="pct"/>
            <w:shd w:val="clear" w:color="auto" w:fill="auto"/>
            <w:vAlign w:val="center"/>
          </w:tcPr>
          <w:p w14:paraId="0DBD43BD" w14:textId="6B62D568" w:rsidR="00441578" w:rsidRPr="0033429D" w:rsidRDefault="00441578" w:rsidP="004369B2">
            <w:pPr>
              <w:jc w:val="center"/>
              <w:rPr>
                <w:b/>
                <w:color w:val="000000" w:themeColor="text1"/>
              </w:rPr>
            </w:pPr>
            <w:r w:rsidRPr="0033429D">
              <w:rPr>
                <w:b/>
                <w:color w:val="000000" w:themeColor="text1"/>
              </w:rPr>
              <w:t>2019 (high)</w:t>
            </w:r>
          </w:p>
        </w:tc>
      </w:tr>
      <w:tr w:rsidR="00441578" w:rsidRPr="005C29F8" w14:paraId="6C97BE7D" w14:textId="4FF42C88" w:rsidTr="00441578">
        <w:trPr>
          <w:trHeight w:val="357"/>
        </w:trPr>
        <w:tc>
          <w:tcPr>
            <w:tcW w:w="1145" w:type="pct"/>
            <w:shd w:val="clear" w:color="auto" w:fill="auto"/>
          </w:tcPr>
          <w:p w14:paraId="3B66E2A4" w14:textId="76B00C51" w:rsidR="00441578" w:rsidRPr="005C29F8" w:rsidRDefault="00441578" w:rsidP="00676431">
            <w:pPr>
              <w:rPr>
                <w:rFonts w:cs="Arial"/>
                <w:color w:val="000000" w:themeColor="text1"/>
                <w:szCs w:val="16"/>
              </w:rPr>
            </w:pPr>
            <w:r w:rsidRPr="005C29F8">
              <w:rPr>
                <w:rFonts w:cs="Arial"/>
                <w:color w:val="000000" w:themeColor="text1"/>
                <w:szCs w:val="16"/>
              </w:rPr>
              <w:t>Target</w:t>
            </w:r>
          </w:p>
        </w:tc>
        <w:tc>
          <w:tcPr>
            <w:tcW w:w="1927" w:type="pct"/>
            <w:shd w:val="clear" w:color="auto" w:fill="auto"/>
            <w:vAlign w:val="center"/>
          </w:tcPr>
          <w:p w14:paraId="079136BB" w14:textId="5FB572C1" w:rsidR="00441578" w:rsidRPr="005C29F8" w:rsidRDefault="00441578" w:rsidP="00A018D4">
            <w:pPr>
              <w:jc w:val="center"/>
              <w:rPr>
                <w:rFonts w:cs="Arial"/>
                <w:color w:val="000000" w:themeColor="text1"/>
                <w:szCs w:val="16"/>
              </w:rPr>
            </w:pPr>
            <w:r w:rsidRPr="005C29F8">
              <w:rPr>
                <w:rFonts w:cs="Arial"/>
                <w:color w:val="000000" w:themeColor="text1"/>
                <w:szCs w:val="16"/>
              </w:rPr>
              <w:t>48.00%</w:t>
            </w:r>
          </w:p>
        </w:tc>
        <w:tc>
          <w:tcPr>
            <w:tcW w:w="1928" w:type="pct"/>
            <w:shd w:val="clear" w:color="auto" w:fill="auto"/>
            <w:vAlign w:val="center"/>
          </w:tcPr>
          <w:p w14:paraId="75118312" w14:textId="5B296FF3" w:rsidR="00441578" w:rsidRPr="005C29F8" w:rsidRDefault="00441578" w:rsidP="00A018D4">
            <w:pPr>
              <w:jc w:val="center"/>
              <w:rPr>
                <w:rFonts w:cs="Arial"/>
                <w:color w:val="000000" w:themeColor="text1"/>
                <w:szCs w:val="16"/>
              </w:rPr>
            </w:pPr>
            <w:r w:rsidRPr="005C29F8">
              <w:rPr>
                <w:rFonts w:cs="Arial"/>
                <w:color w:val="000000" w:themeColor="text1"/>
                <w:szCs w:val="16"/>
              </w:rPr>
              <w:t>75.00%</w:t>
            </w:r>
          </w:p>
        </w:tc>
      </w:tr>
    </w:tbl>
    <w:p w14:paraId="35D1322B" w14:textId="77777777" w:rsidR="00CE0C68" w:rsidRPr="005C29F8" w:rsidRDefault="00CE0C68" w:rsidP="004369B2">
      <w:pPr>
        <w:rPr>
          <w:color w:val="000000" w:themeColor="text1"/>
        </w:rPr>
      </w:pPr>
    </w:p>
    <w:p w14:paraId="666D91C8" w14:textId="49A1EB4B" w:rsidR="008E31C4" w:rsidRPr="005C29F8" w:rsidRDefault="008E31C4">
      <w:pPr>
        <w:rPr>
          <w:b/>
          <w:color w:val="000000" w:themeColor="text1"/>
        </w:rPr>
      </w:pPr>
      <w:r w:rsidRPr="005C29F8">
        <w:rPr>
          <w:b/>
          <w:color w:val="000000" w:themeColor="text1"/>
        </w:rPr>
        <w:t>FFY 2019 SPP/APR Data</w:t>
      </w:r>
    </w:p>
    <w:p w14:paraId="0A1461A8" w14:textId="4DAA3A5B" w:rsidR="00127006" w:rsidRPr="005C29F8" w:rsidRDefault="00127006" w:rsidP="00127006">
      <w:pPr>
        <w:pStyle w:val="Bold"/>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2"/>
      </w:tblPr>
      <w:tblGrid>
        <w:gridCol w:w="1383"/>
        <w:gridCol w:w="1379"/>
        <w:gridCol w:w="1088"/>
        <w:gridCol w:w="1610"/>
        <w:gridCol w:w="1631"/>
        <w:gridCol w:w="1269"/>
        <w:gridCol w:w="1234"/>
        <w:gridCol w:w="1196"/>
      </w:tblGrid>
      <w:tr w:rsidR="005C29F8" w:rsidRPr="005C29F8" w14:paraId="7C632FC4" w14:textId="77777777" w:rsidTr="00877012">
        <w:trPr>
          <w:trHeight w:val="354"/>
          <w:tblHeader/>
        </w:trPr>
        <w:tc>
          <w:tcPr>
            <w:tcW w:w="641" w:type="pct"/>
            <w:shd w:val="clear" w:color="auto" w:fill="auto"/>
            <w:vAlign w:val="bottom"/>
          </w:tcPr>
          <w:p w14:paraId="147E9035" w14:textId="77777777" w:rsidR="0087456C" w:rsidRPr="005C29F8" w:rsidRDefault="0087456C" w:rsidP="008E31C4">
            <w:pPr>
              <w:jc w:val="center"/>
              <w:rPr>
                <w:rFonts w:cs="Arial"/>
                <w:b/>
                <w:color w:val="000000" w:themeColor="text1"/>
                <w:szCs w:val="16"/>
              </w:rPr>
            </w:pPr>
            <w:r w:rsidRPr="005C29F8">
              <w:rPr>
                <w:rFonts w:cs="Arial"/>
                <w:b/>
                <w:color w:val="000000" w:themeColor="text1"/>
                <w:szCs w:val="16"/>
              </w:rPr>
              <w:t>3.1(a) Number resolutions sessions resolved through settlement agreements</w:t>
            </w:r>
          </w:p>
        </w:tc>
        <w:tc>
          <w:tcPr>
            <w:tcW w:w="639" w:type="pct"/>
            <w:shd w:val="clear" w:color="auto" w:fill="auto"/>
            <w:vAlign w:val="bottom"/>
          </w:tcPr>
          <w:p w14:paraId="566EFFF8" w14:textId="77777777" w:rsidR="0087456C" w:rsidRPr="005C29F8" w:rsidRDefault="0087456C" w:rsidP="008E31C4">
            <w:pPr>
              <w:jc w:val="center"/>
              <w:rPr>
                <w:rFonts w:cs="Arial"/>
                <w:b/>
                <w:color w:val="000000" w:themeColor="text1"/>
                <w:szCs w:val="16"/>
              </w:rPr>
            </w:pPr>
            <w:r w:rsidRPr="005C29F8">
              <w:rPr>
                <w:rFonts w:cs="Arial"/>
                <w:b/>
                <w:color w:val="000000" w:themeColor="text1"/>
                <w:szCs w:val="16"/>
              </w:rPr>
              <w:t>3.1 Number of resolutions sessions</w:t>
            </w:r>
          </w:p>
        </w:tc>
        <w:tc>
          <w:tcPr>
            <w:tcW w:w="504" w:type="pct"/>
            <w:shd w:val="clear" w:color="auto" w:fill="auto"/>
            <w:vAlign w:val="bottom"/>
          </w:tcPr>
          <w:p w14:paraId="7B5EA834" w14:textId="63CC8777" w:rsidR="0087456C" w:rsidRPr="005C29F8" w:rsidRDefault="0087456C" w:rsidP="008E31C4">
            <w:pPr>
              <w:jc w:val="center"/>
              <w:rPr>
                <w:rFonts w:cs="Arial"/>
                <w:b/>
                <w:color w:val="000000" w:themeColor="text1"/>
                <w:szCs w:val="16"/>
              </w:rPr>
            </w:pPr>
            <w:r w:rsidRPr="005C29F8">
              <w:rPr>
                <w:rFonts w:cs="Arial"/>
                <w:b/>
                <w:color w:val="000000" w:themeColor="text1"/>
                <w:szCs w:val="16"/>
              </w:rPr>
              <w:t>FFY 2018 Data</w:t>
            </w:r>
          </w:p>
        </w:tc>
        <w:tc>
          <w:tcPr>
            <w:tcW w:w="746" w:type="pct"/>
            <w:shd w:val="clear" w:color="auto" w:fill="auto"/>
            <w:vAlign w:val="bottom"/>
          </w:tcPr>
          <w:p w14:paraId="01013E6D" w14:textId="3875DDA9" w:rsidR="0087456C" w:rsidRPr="005C29F8" w:rsidRDefault="0087456C" w:rsidP="008E31C4">
            <w:pPr>
              <w:jc w:val="center"/>
              <w:rPr>
                <w:rFonts w:cs="Arial"/>
                <w:b/>
                <w:color w:val="000000" w:themeColor="text1"/>
                <w:szCs w:val="16"/>
              </w:rPr>
            </w:pPr>
            <w:r w:rsidRPr="005C29F8">
              <w:rPr>
                <w:rFonts w:cs="Arial"/>
                <w:b/>
                <w:color w:val="000000" w:themeColor="text1"/>
                <w:szCs w:val="16"/>
              </w:rPr>
              <w:t>FFY 2019 Target (low)</w:t>
            </w:r>
          </w:p>
        </w:tc>
        <w:tc>
          <w:tcPr>
            <w:tcW w:w="756" w:type="pct"/>
            <w:shd w:val="clear" w:color="auto" w:fill="auto"/>
            <w:vAlign w:val="bottom"/>
          </w:tcPr>
          <w:p w14:paraId="7967CE4B" w14:textId="1CC578C9" w:rsidR="0087456C" w:rsidRPr="005C29F8" w:rsidRDefault="0087456C" w:rsidP="008E31C4">
            <w:pPr>
              <w:jc w:val="center"/>
              <w:rPr>
                <w:rFonts w:cs="Arial"/>
                <w:b/>
                <w:color w:val="000000" w:themeColor="text1"/>
                <w:szCs w:val="16"/>
              </w:rPr>
            </w:pPr>
            <w:r w:rsidRPr="005C29F8">
              <w:rPr>
                <w:rFonts w:cs="Arial"/>
                <w:b/>
                <w:color w:val="000000" w:themeColor="text1"/>
                <w:szCs w:val="16"/>
              </w:rPr>
              <w:t>FFY 2019 Target (high)</w:t>
            </w:r>
          </w:p>
        </w:tc>
        <w:tc>
          <w:tcPr>
            <w:tcW w:w="588" w:type="pct"/>
            <w:shd w:val="clear" w:color="auto" w:fill="auto"/>
            <w:vAlign w:val="bottom"/>
          </w:tcPr>
          <w:p w14:paraId="1E6219BF" w14:textId="5EB76912" w:rsidR="0087456C" w:rsidRPr="005C29F8" w:rsidRDefault="0087456C" w:rsidP="008E31C4">
            <w:pPr>
              <w:jc w:val="center"/>
              <w:rPr>
                <w:rFonts w:cs="Arial"/>
                <w:b/>
                <w:color w:val="000000" w:themeColor="text1"/>
                <w:szCs w:val="16"/>
              </w:rPr>
            </w:pPr>
            <w:r w:rsidRPr="005C29F8">
              <w:rPr>
                <w:rFonts w:cs="Arial"/>
                <w:b/>
                <w:color w:val="000000" w:themeColor="text1"/>
                <w:szCs w:val="16"/>
              </w:rPr>
              <w:t>FFY 2019 Data</w:t>
            </w:r>
          </w:p>
        </w:tc>
        <w:tc>
          <w:tcPr>
            <w:tcW w:w="572" w:type="pct"/>
            <w:shd w:val="clear" w:color="auto" w:fill="auto"/>
            <w:vAlign w:val="bottom"/>
          </w:tcPr>
          <w:p w14:paraId="348269A9" w14:textId="77777777" w:rsidR="0087456C" w:rsidRPr="005C29F8" w:rsidRDefault="0087456C" w:rsidP="008E31C4">
            <w:pPr>
              <w:jc w:val="center"/>
              <w:rPr>
                <w:rFonts w:cs="Arial"/>
                <w:b/>
                <w:color w:val="000000" w:themeColor="text1"/>
                <w:szCs w:val="16"/>
              </w:rPr>
            </w:pPr>
            <w:r w:rsidRPr="005C29F8">
              <w:rPr>
                <w:rFonts w:cs="Arial"/>
                <w:b/>
                <w:color w:val="000000" w:themeColor="text1"/>
                <w:szCs w:val="16"/>
              </w:rPr>
              <w:t>Status</w:t>
            </w:r>
          </w:p>
        </w:tc>
        <w:tc>
          <w:tcPr>
            <w:tcW w:w="555" w:type="pct"/>
            <w:shd w:val="clear" w:color="auto" w:fill="auto"/>
            <w:vAlign w:val="bottom"/>
          </w:tcPr>
          <w:p w14:paraId="0A1C57DB" w14:textId="77777777" w:rsidR="0087456C" w:rsidRPr="005C29F8" w:rsidRDefault="0087456C" w:rsidP="008E31C4">
            <w:pPr>
              <w:jc w:val="center"/>
              <w:rPr>
                <w:rFonts w:cs="Arial"/>
                <w:b/>
                <w:color w:val="000000" w:themeColor="text1"/>
                <w:szCs w:val="16"/>
              </w:rPr>
            </w:pPr>
            <w:r w:rsidRPr="005C29F8">
              <w:rPr>
                <w:rFonts w:cs="Arial"/>
                <w:b/>
                <w:color w:val="000000" w:themeColor="text1"/>
                <w:szCs w:val="16"/>
              </w:rPr>
              <w:t>Slippage</w:t>
            </w:r>
          </w:p>
        </w:tc>
      </w:tr>
      <w:tr w:rsidR="005C29F8" w:rsidRPr="005C29F8" w14:paraId="01BF03A2" w14:textId="77777777" w:rsidTr="00877012">
        <w:trPr>
          <w:trHeight w:val="361"/>
        </w:trPr>
        <w:tc>
          <w:tcPr>
            <w:tcW w:w="641" w:type="pct"/>
            <w:shd w:val="clear" w:color="auto" w:fill="auto"/>
            <w:vAlign w:val="center"/>
          </w:tcPr>
          <w:p w14:paraId="042C6FC9" w14:textId="30986772" w:rsidR="008E31C4" w:rsidRPr="005C29F8" w:rsidRDefault="002B7490" w:rsidP="00A018D4">
            <w:pPr>
              <w:jc w:val="center"/>
              <w:rPr>
                <w:rFonts w:cs="Arial"/>
                <w:color w:val="000000" w:themeColor="text1"/>
                <w:szCs w:val="16"/>
              </w:rPr>
            </w:pPr>
            <w:r w:rsidRPr="005C29F8">
              <w:rPr>
                <w:rFonts w:cs="Arial"/>
                <w:color w:val="000000" w:themeColor="text1"/>
                <w:szCs w:val="16"/>
              </w:rPr>
              <w:t>1</w:t>
            </w:r>
          </w:p>
        </w:tc>
        <w:tc>
          <w:tcPr>
            <w:tcW w:w="639" w:type="pct"/>
            <w:shd w:val="clear" w:color="auto" w:fill="auto"/>
          </w:tcPr>
          <w:p w14:paraId="37C935FB" w14:textId="6AA57901" w:rsidR="008E31C4" w:rsidRPr="005C29F8" w:rsidRDefault="002B7490" w:rsidP="00A018D4">
            <w:pPr>
              <w:jc w:val="center"/>
              <w:rPr>
                <w:rFonts w:cs="Arial"/>
                <w:color w:val="000000" w:themeColor="text1"/>
                <w:szCs w:val="16"/>
              </w:rPr>
            </w:pPr>
            <w:r w:rsidRPr="005C29F8">
              <w:rPr>
                <w:rFonts w:cs="Arial"/>
                <w:color w:val="000000" w:themeColor="text1"/>
                <w:szCs w:val="16"/>
              </w:rPr>
              <w:t>4</w:t>
            </w:r>
          </w:p>
        </w:tc>
        <w:tc>
          <w:tcPr>
            <w:tcW w:w="504" w:type="pct"/>
            <w:shd w:val="clear" w:color="auto" w:fill="auto"/>
          </w:tcPr>
          <w:p w14:paraId="3D28AE5B" w14:textId="4019A491" w:rsidR="008E31C4" w:rsidRPr="005C29F8" w:rsidRDefault="002B7490" w:rsidP="00A018D4">
            <w:pPr>
              <w:jc w:val="center"/>
              <w:rPr>
                <w:rFonts w:cs="Arial"/>
                <w:color w:val="000000" w:themeColor="text1"/>
                <w:szCs w:val="16"/>
              </w:rPr>
            </w:pPr>
            <w:r w:rsidRPr="005C29F8">
              <w:rPr>
                <w:rFonts w:cs="Arial"/>
                <w:color w:val="000000" w:themeColor="text1"/>
                <w:szCs w:val="16"/>
              </w:rPr>
              <w:t>70.83%</w:t>
            </w:r>
          </w:p>
        </w:tc>
        <w:tc>
          <w:tcPr>
            <w:tcW w:w="746" w:type="pct"/>
            <w:shd w:val="clear" w:color="auto" w:fill="auto"/>
          </w:tcPr>
          <w:p w14:paraId="1CF4FBE5" w14:textId="7792CBB8" w:rsidR="008E31C4" w:rsidRPr="005C29F8" w:rsidRDefault="002B7490" w:rsidP="00A018D4">
            <w:pPr>
              <w:jc w:val="center"/>
              <w:rPr>
                <w:rFonts w:cs="Arial"/>
                <w:color w:val="000000" w:themeColor="text1"/>
                <w:szCs w:val="16"/>
              </w:rPr>
            </w:pPr>
            <w:r w:rsidRPr="005C29F8">
              <w:rPr>
                <w:rFonts w:cs="Arial"/>
                <w:color w:val="000000" w:themeColor="text1"/>
                <w:szCs w:val="16"/>
              </w:rPr>
              <w:t>48.00%</w:t>
            </w:r>
          </w:p>
        </w:tc>
        <w:tc>
          <w:tcPr>
            <w:tcW w:w="756" w:type="pct"/>
            <w:shd w:val="clear" w:color="auto" w:fill="auto"/>
          </w:tcPr>
          <w:p w14:paraId="5CB5C088" w14:textId="342A9F8C" w:rsidR="008E31C4" w:rsidRPr="005C29F8" w:rsidRDefault="002B7490" w:rsidP="00A018D4">
            <w:pPr>
              <w:jc w:val="center"/>
              <w:rPr>
                <w:rFonts w:cs="Arial"/>
                <w:color w:val="000000" w:themeColor="text1"/>
                <w:szCs w:val="16"/>
              </w:rPr>
            </w:pPr>
            <w:r w:rsidRPr="005C29F8">
              <w:rPr>
                <w:rFonts w:cs="Arial"/>
                <w:color w:val="000000" w:themeColor="text1"/>
                <w:szCs w:val="16"/>
              </w:rPr>
              <w:t>75.00%</w:t>
            </w:r>
          </w:p>
        </w:tc>
        <w:tc>
          <w:tcPr>
            <w:tcW w:w="588" w:type="pct"/>
            <w:shd w:val="clear" w:color="auto" w:fill="auto"/>
          </w:tcPr>
          <w:p w14:paraId="43A81BB0" w14:textId="762C21AF" w:rsidR="008E31C4" w:rsidRPr="005C29F8" w:rsidRDefault="002B7490" w:rsidP="00A018D4">
            <w:pPr>
              <w:jc w:val="center"/>
              <w:rPr>
                <w:rFonts w:cs="Arial"/>
                <w:color w:val="000000" w:themeColor="text1"/>
                <w:szCs w:val="16"/>
              </w:rPr>
            </w:pPr>
            <w:r w:rsidRPr="005C29F8">
              <w:rPr>
                <w:rFonts w:cs="Arial"/>
                <w:color w:val="000000" w:themeColor="text1"/>
                <w:szCs w:val="16"/>
              </w:rPr>
              <w:t>25.00%</w:t>
            </w:r>
          </w:p>
        </w:tc>
        <w:tc>
          <w:tcPr>
            <w:tcW w:w="572" w:type="pct"/>
            <w:shd w:val="clear" w:color="auto" w:fill="auto"/>
          </w:tcPr>
          <w:p w14:paraId="233B1990" w14:textId="453F94EC" w:rsidR="008E31C4" w:rsidRPr="005C29F8" w:rsidRDefault="002B7490" w:rsidP="00A018D4">
            <w:pPr>
              <w:jc w:val="center"/>
              <w:rPr>
                <w:rFonts w:cs="Arial"/>
                <w:color w:val="000000" w:themeColor="text1"/>
                <w:szCs w:val="16"/>
              </w:rPr>
            </w:pPr>
            <w:r w:rsidRPr="005C29F8">
              <w:rPr>
                <w:rFonts w:cs="Arial"/>
                <w:color w:val="000000" w:themeColor="text1"/>
                <w:szCs w:val="16"/>
              </w:rPr>
              <w:t>Did Not Meet Target</w:t>
            </w:r>
          </w:p>
        </w:tc>
        <w:tc>
          <w:tcPr>
            <w:tcW w:w="555" w:type="pct"/>
            <w:shd w:val="clear" w:color="auto" w:fill="auto"/>
          </w:tcPr>
          <w:p w14:paraId="2D506EFF" w14:textId="5E2871C6" w:rsidR="008E31C4" w:rsidRPr="005C29F8" w:rsidRDefault="002B7490" w:rsidP="00A018D4">
            <w:pPr>
              <w:jc w:val="center"/>
              <w:rPr>
                <w:rFonts w:cs="Arial"/>
                <w:color w:val="000000" w:themeColor="text1"/>
                <w:szCs w:val="16"/>
              </w:rPr>
            </w:pPr>
            <w:r w:rsidRPr="005C29F8">
              <w:rPr>
                <w:rFonts w:cs="Arial"/>
                <w:color w:val="000000" w:themeColor="text1"/>
                <w:szCs w:val="16"/>
              </w:rPr>
              <w:t>Slippage</w:t>
            </w:r>
          </w:p>
        </w:tc>
      </w:tr>
    </w:tbl>
    <w:p w14:paraId="17FB0CE9" w14:textId="4D22C9D8" w:rsidR="008E31C4" w:rsidRPr="005C29F8" w:rsidRDefault="00293C7E" w:rsidP="008E31C4">
      <w:pPr>
        <w:rPr>
          <w:rFonts w:cs="Arial"/>
          <w:b/>
          <w:i/>
          <w:color w:val="000000" w:themeColor="text1"/>
          <w:szCs w:val="16"/>
        </w:rPr>
      </w:pPr>
      <w:r w:rsidRPr="005C29F8">
        <w:rPr>
          <w:rFonts w:cs="Arial"/>
          <w:b/>
          <w:color w:val="000000" w:themeColor="text1"/>
          <w:szCs w:val="16"/>
        </w:rPr>
        <w:t>Provide reasons for slippage, if applicable</w:t>
      </w:r>
    </w:p>
    <w:p w14:paraId="6F380FC4" w14:textId="5A67135B" w:rsidR="00293C7E" w:rsidRDefault="002B7490" w:rsidP="008E31C4">
      <w:pPr>
        <w:rPr>
          <w:rFonts w:cs="Arial"/>
          <w:color w:val="000000" w:themeColor="text1"/>
          <w:szCs w:val="16"/>
        </w:rPr>
      </w:pPr>
      <w:r w:rsidRPr="005C29F8">
        <w:rPr>
          <w:rFonts w:cs="Arial"/>
          <w:color w:val="000000" w:themeColor="text1"/>
          <w:szCs w:val="16"/>
        </w:rPr>
        <w:t>It seems reasonable to infer that adjustments due to COVID-19 during the latter part of the 2018-19 school year, along with State-mandated LEA and school closures had an impact, at least initially, on the number of requests for mediation sessions and the ability for the BSEA to conduct resolution sessions.</w:t>
      </w:r>
    </w:p>
    <w:p w14:paraId="41C1290A" w14:textId="0F368A1B" w:rsidR="00913A33" w:rsidRPr="005C29F8" w:rsidRDefault="00913A33" w:rsidP="00913A33">
      <w:pPr>
        <w:rPr>
          <w:rFonts w:cs="Arial"/>
          <w:b/>
          <w:color w:val="000000" w:themeColor="text1"/>
          <w:szCs w:val="16"/>
        </w:rPr>
      </w:pPr>
      <w:r w:rsidRPr="005C29F8">
        <w:rPr>
          <w:rFonts w:cs="Arial"/>
          <w:b/>
          <w:color w:val="000000" w:themeColor="text1"/>
          <w:szCs w:val="16"/>
        </w:rPr>
        <w:t>Provide additional information about this indicator (optional)</w:t>
      </w:r>
    </w:p>
    <w:p w14:paraId="225AF7B0" w14:textId="0953EFAC" w:rsidR="00293C7E" w:rsidRPr="005C29F8" w:rsidRDefault="00293C7E" w:rsidP="007D435F">
      <w:pPr>
        <w:rPr>
          <w:rFonts w:cs="Arial"/>
          <w:color w:val="000000" w:themeColor="text1"/>
          <w:szCs w:val="16"/>
        </w:rPr>
      </w:pPr>
    </w:p>
    <w:p w14:paraId="69486921" w14:textId="29EDB346" w:rsidR="00293C7E" w:rsidRPr="0033429D" w:rsidRDefault="00DF2D3A" w:rsidP="00123D76">
      <w:pPr>
        <w:pStyle w:val="Heading2"/>
      </w:pPr>
      <w:r w:rsidRPr="0033429D">
        <w:t>15</w:t>
      </w:r>
      <w:r w:rsidR="001D508D" w:rsidRPr="0033429D">
        <w:t xml:space="preserve"> </w:t>
      </w:r>
      <w:r w:rsidRPr="0033429D">
        <w:t xml:space="preserve">- </w:t>
      </w:r>
      <w:r w:rsidR="00293C7E" w:rsidRPr="0033429D">
        <w:t>Prior FFY Required Actions</w:t>
      </w:r>
    </w:p>
    <w:p w14:paraId="19F5FEB1" w14:textId="2905DE18" w:rsidR="00293C7E" w:rsidRPr="005C29F8" w:rsidRDefault="002B7490" w:rsidP="00293C7E">
      <w:pPr>
        <w:rPr>
          <w:rFonts w:cs="Arial"/>
          <w:color w:val="000000" w:themeColor="text1"/>
          <w:szCs w:val="16"/>
        </w:rPr>
      </w:pPr>
      <w:r w:rsidRPr="005C29F8">
        <w:rPr>
          <w:rFonts w:cs="Arial"/>
          <w:color w:val="000000" w:themeColor="text1"/>
          <w:szCs w:val="16"/>
        </w:rPr>
        <w:t>None</w:t>
      </w:r>
    </w:p>
    <w:p w14:paraId="6506D351" w14:textId="1F034745" w:rsidR="00913A33" w:rsidRPr="0033429D" w:rsidRDefault="00DF2D3A" w:rsidP="00123D76">
      <w:pPr>
        <w:pStyle w:val="Heading2"/>
      </w:pPr>
      <w:r w:rsidRPr="0033429D">
        <w:t>15 - OSEP Response</w:t>
      </w:r>
    </w:p>
    <w:p w14:paraId="639FEA08" w14:textId="30C19155" w:rsidR="00293C7E" w:rsidRPr="005C29F8" w:rsidRDefault="002B7490" w:rsidP="001F692C">
      <w:pPr>
        <w:rPr>
          <w:rFonts w:cs="Arial"/>
          <w:color w:val="000000" w:themeColor="text1"/>
          <w:szCs w:val="16"/>
        </w:rPr>
      </w:pPr>
      <w:r w:rsidRPr="005C29F8">
        <w:rPr>
          <w:rFonts w:cs="Arial"/>
          <w:color w:val="000000" w:themeColor="text1"/>
          <w:szCs w:val="16"/>
        </w:rPr>
        <w:t>The State reported fewer than ten resolution sessions held in FFY 2019. The State is not required to meet its targets until any fiscal year in which ten or more resolution sessions were held.</w:t>
      </w:r>
    </w:p>
    <w:p w14:paraId="7634025D" w14:textId="5BD1D671" w:rsidR="00913A33" w:rsidRPr="0033429D" w:rsidRDefault="00DF2D3A" w:rsidP="00123D76">
      <w:pPr>
        <w:pStyle w:val="Heading2"/>
      </w:pPr>
      <w:r w:rsidRPr="0033429D">
        <w:t>15 - Required Actions</w:t>
      </w:r>
    </w:p>
    <w:p w14:paraId="06C735B1" w14:textId="277EA689" w:rsidR="00293C7E" w:rsidRPr="005C29F8" w:rsidRDefault="00293C7E" w:rsidP="001F692C">
      <w:pPr>
        <w:rPr>
          <w:rFonts w:cs="Arial"/>
          <w:color w:val="000000" w:themeColor="text1"/>
          <w:szCs w:val="16"/>
        </w:rPr>
      </w:pPr>
    </w:p>
    <w:p w14:paraId="259DEDCC" w14:textId="77777777" w:rsidR="000C60E1" w:rsidRPr="005C29F8" w:rsidRDefault="000C60E1">
      <w:pPr>
        <w:spacing w:before="0" w:after="200" w:line="276" w:lineRule="auto"/>
        <w:rPr>
          <w:rFonts w:eastAsiaTheme="majorEastAsia" w:cs="Arial"/>
          <w:b/>
          <w:bCs/>
          <w:color w:val="000000" w:themeColor="text1"/>
          <w:szCs w:val="16"/>
        </w:rPr>
      </w:pPr>
      <w:r w:rsidRPr="005C29F8">
        <w:rPr>
          <w:rFonts w:cs="Arial"/>
          <w:color w:val="000000" w:themeColor="text1"/>
          <w:szCs w:val="16"/>
        </w:rPr>
        <w:br w:type="page"/>
      </w:r>
    </w:p>
    <w:p w14:paraId="53B0D4FE" w14:textId="34B4FBB0" w:rsidR="007F0CEC" w:rsidRPr="005C29F8" w:rsidRDefault="007F0CEC" w:rsidP="000444E2">
      <w:pPr>
        <w:pStyle w:val="Heading1"/>
        <w:rPr>
          <w:color w:val="000000" w:themeColor="text1"/>
          <w:sz w:val="22"/>
        </w:rPr>
      </w:pPr>
      <w:r w:rsidRPr="005C29F8">
        <w:rPr>
          <w:color w:val="000000" w:themeColor="text1"/>
          <w:sz w:val="22"/>
        </w:rPr>
        <w:lastRenderedPageBreak/>
        <w:t>Indicator 16: Mediation</w:t>
      </w:r>
    </w:p>
    <w:p w14:paraId="589E185D" w14:textId="77777777" w:rsidR="00BF232E" w:rsidRPr="005C29F8" w:rsidRDefault="00BF232E" w:rsidP="00A018D4">
      <w:pPr>
        <w:rPr>
          <w:color w:val="000000" w:themeColor="text1"/>
          <w:szCs w:val="20"/>
        </w:rPr>
      </w:pPr>
      <w:bookmarkStart w:id="87" w:name="_Toc382731916"/>
      <w:bookmarkStart w:id="88" w:name="_Toc392159344"/>
      <w:r w:rsidRPr="005C29F8">
        <w:rPr>
          <w:b/>
          <w:color w:val="000000" w:themeColor="text1"/>
          <w:sz w:val="20"/>
          <w:szCs w:val="20"/>
        </w:rPr>
        <w:t>Instructions and Measurement</w:t>
      </w:r>
    </w:p>
    <w:p w14:paraId="41E7E4F9" w14:textId="500BC36F" w:rsidR="009B6586" w:rsidRPr="005C29F8" w:rsidRDefault="009B6586" w:rsidP="008E31C4">
      <w:pPr>
        <w:rPr>
          <w:rFonts w:cs="Arial"/>
          <w:color w:val="000000" w:themeColor="text1"/>
          <w:szCs w:val="16"/>
        </w:rPr>
      </w:pPr>
      <w:r w:rsidRPr="005C29F8">
        <w:rPr>
          <w:rFonts w:cs="Arial"/>
          <w:b/>
          <w:color w:val="000000" w:themeColor="text1"/>
          <w:szCs w:val="16"/>
        </w:rPr>
        <w:t>Monitoring Priority</w:t>
      </w:r>
      <w:r w:rsidRPr="005C29F8">
        <w:rPr>
          <w:rFonts w:cs="Arial"/>
          <w:color w:val="000000" w:themeColor="text1"/>
          <w:szCs w:val="16"/>
        </w:rPr>
        <w:t>: Effective General Supervision Part B / General Supervision</w:t>
      </w:r>
    </w:p>
    <w:p w14:paraId="573A26D5" w14:textId="77777777" w:rsidR="00692B95" w:rsidRPr="005C29F8" w:rsidRDefault="009B6586" w:rsidP="008E31C4">
      <w:pPr>
        <w:rPr>
          <w:rFonts w:cs="Arial"/>
          <w:color w:val="000000" w:themeColor="text1"/>
          <w:szCs w:val="16"/>
        </w:rPr>
      </w:pPr>
      <w:r w:rsidRPr="005C29F8">
        <w:rPr>
          <w:rFonts w:cs="Arial"/>
          <w:b/>
          <w:color w:val="000000" w:themeColor="text1"/>
          <w:szCs w:val="16"/>
        </w:rPr>
        <w:t>Results indicator:</w:t>
      </w:r>
      <w:r w:rsidRPr="005C29F8">
        <w:rPr>
          <w:rFonts w:cs="Arial"/>
          <w:color w:val="000000" w:themeColor="text1"/>
          <w:szCs w:val="16"/>
        </w:rPr>
        <w:t xml:space="preserve"> Percent of mediations held that resulted in mediation agreements.</w:t>
      </w:r>
      <w:r w:rsidR="00131842" w:rsidRPr="005C29F8">
        <w:rPr>
          <w:rFonts w:cs="Arial"/>
          <w:color w:val="000000" w:themeColor="text1"/>
          <w:szCs w:val="16"/>
        </w:rPr>
        <w:t xml:space="preserve"> </w:t>
      </w:r>
    </w:p>
    <w:p w14:paraId="7847EFFB" w14:textId="03A11F4B" w:rsidR="009B6586" w:rsidRPr="005C29F8" w:rsidRDefault="009B6586" w:rsidP="008E31C4">
      <w:pPr>
        <w:rPr>
          <w:rFonts w:cs="Arial"/>
          <w:color w:val="000000" w:themeColor="text1"/>
          <w:szCs w:val="16"/>
        </w:rPr>
      </w:pPr>
      <w:r w:rsidRPr="005C29F8">
        <w:rPr>
          <w:rFonts w:cs="Arial"/>
          <w:color w:val="000000" w:themeColor="text1"/>
          <w:szCs w:val="16"/>
        </w:rPr>
        <w:t>(20 U.S.C. 1416(a)(3(B))</w:t>
      </w:r>
    </w:p>
    <w:p w14:paraId="0F859DBB" w14:textId="77777777" w:rsidR="00692B95" w:rsidRPr="005C29F8" w:rsidRDefault="00692B95" w:rsidP="004369B2">
      <w:pPr>
        <w:rPr>
          <w:color w:val="000000" w:themeColor="text1"/>
        </w:rPr>
      </w:pPr>
      <w:r w:rsidRPr="005C29F8">
        <w:rPr>
          <w:b/>
          <w:color w:val="000000" w:themeColor="text1"/>
        </w:rPr>
        <w:t>Data Source</w:t>
      </w:r>
    </w:p>
    <w:p w14:paraId="1400D43F" w14:textId="253D0B1A" w:rsidR="00692B95" w:rsidRPr="005C29F8" w:rsidRDefault="00692B95" w:rsidP="008E31C4">
      <w:pPr>
        <w:rPr>
          <w:rFonts w:cs="Arial"/>
          <w:color w:val="000000" w:themeColor="text1"/>
          <w:szCs w:val="16"/>
        </w:rPr>
      </w:pPr>
      <w:r w:rsidRPr="005C29F8">
        <w:rPr>
          <w:rFonts w:cs="Arial"/>
          <w:color w:val="000000" w:themeColor="text1"/>
          <w:szCs w:val="16"/>
        </w:rPr>
        <w:t>Data collected under section 618 of the IDEA (IDEA Part B Dispute Resolution Survey in the EDFacts Metadata and Process System (E</w:t>
      </w:r>
      <w:r w:rsidR="00E65E32" w:rsidRPr="005C29F8">
        <w:rPr>
          <w:rFonts w:cs="Arial"/>
          <w:i/>
          <w:color w:val="000000" w:themeColor="text1"/>
          <w:szCs w:val="16"/>
        </w:rPr>
        <w:t>MAPS</w:t>
      </w:r>
      <w:r w:rsidRPr="005C29F8">
        <w:rPr>
          <w:rFonts w:cs="Arial"/>
          <w:color w:val="000000" w:themeColor="text1"/>
          <w:szCs w:val="16"/>
        </w:rPr>
        <w:t>)).</w:t>
      </w:r>
    </w:p>
    <w:p w14:paraId="7EDB2909" w14:textId="77777777" w:rsidR="00692B95" w:rsidRPr="005C29F8" w:rsidRDefault="00692B95" w:rsidP="004369B2">
      <w:pPr>
        <w:rPr>
          <w:color w:val="000000" w:themeColor="text1"/>
        </w:rPr>
      </w:pPr>
      <w:r w:rsidRPr="005C29F8">
        <w:rPr>
          <w:b/>
          <w:color w:val="000000" w:themeColor="text1"/>
        </w:rPr>
        <w:t>Measurement</w:t>
      </w:r>
    </w:p>
    <w:p w14:paraId="38C2284B" w14:textId="1E75D304" w:rsidR="00692B95" w:rsidRPr="005C29F8" w:rsidRDefault="00692B95" w:rsidP="008E31C4">
      <w:pPr>
        <w:rPr>
          <w:rFonts w:cs="Arial"/>
          <w:color w:val="000000" w:themeColor="text1"/>
          <w:szCs w:val="16"/>
        </w:rPr>
      </w:pPr>
      <w:r w:rsidRPr="005C29F8">
        <w:rPr>
          <w:rFonts w:cs="Arial"/>
          <w:color w:val="000000" w:themeColor="text1"/>
          <w:szCs w:val="16"/>
        </w:rPr>
        <w:t>Percent = (2.1(a)(i) + 2.1(b)(i)) divided by 2.1) times 100.</w:t>
      </w:r>
    </w:p>
    <w:p w14:paraId="0B909FFD" w14:textId="77777777" w:rsidR="00692B95" w:rsidRPr="005C29F8" w:rsidRDefault="00692B95" w:rsidP="004369B2">
      <w:pPr>
        <w:rPr>
          <w:color w:val="000000" w:themeColor="text1"/>
        </w:rPr>
      </w:pPr>
      <w:r w:rsidRPr="005C29F8">
        <w:rPr>
          <w:b/>
          <w:color w:val="000000" w:themeColor="text1"/>
        </w:rPr>
        <w:t>Instructions</w:t>
      </w:r>
    </w:p>
    <w:p w14:paraId="46565F1D" w14:textId="77777777" w:rsidR="00692B95" w:rsidRPr="005C29F8" w:rsidRDefault="00692B95" w:rsidP="00286BDF">
      <w:pPr>
        <w:rPr>
          <w:rFonts w:cs="Arial"/>
          <w:color w:val="000000" w:themeColor="text1"/>
          <w:szCs w:val="16"/>
        </w:rPr>
      </w:pPr>
      <w:r w:rsidRPr="005C29F8">
        <w:rPr>
          <w:rFonts w:cs="Arial"/>
          <w:color w:val="000000" w:themeColor="text1"/>
          <w:szCs w:val="16"/>
        </w:rPr>
        <w:t>Sampling is not allowed.</w:t>
      </w:r>
    </w:p>
    <w:p w14:paraId="7A8BA9D5" w14:textId="77777777" w:rsidR="00692B95" w:rsidRPr="005C29F8" w:rsidRDefault="00692B95" w:rsidP="00286BDF">
      <w:pPr>
        <w:rPr>
          <w:rFonts w:cs="Arial"/>
          <w:color w:val="000000" w:themeColor="text1"/>
          <w:szCs w:val="16"/>
        </w:rPr>
      </w:pPr>
      <w:r w:rsidRPr="005C29F8">
        <w:rPr>
          <w:rFonts w:cs="Arial"/>
          <w:color w:val="000000" w:themeColor="text1"/>
          <w:szCs w:val="16"/>
        </w:rPr>
        <w:t>Describe the results of the calculations and compare the results to the target.</w:t>
      </w:r>
    </w:p>
    <w:p w14:paraId="5AFF4976" w14:textId="77777777" w:rsidR="00692B95" w:rsidRPr="005C29F8" w:rsidRDefault="00692B95" w:rsidP="00286BDF">
      <w:pPr>
        <w:rPr>
          <w:rFonts w:cs="Arial"/>
          <w:color w:val="000000" w:themeColor="text1"/>
          <w:szCs w:val="16"/>
        </w:rPr>
      </w:pPr>
      <w:r w:rsidRPr="005C29F8">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targets and improvement activities, and report on them in the corresponding SPP/APR.</w:t>
      </w:r>
    </w:p>
    <w:p w14:paraId="0EB22217" w14:textId="77777777" w:rsidR="00692B95" w:rsidRPr="005C29F8" w:rsidRDefault="00692B95" w:rsidP="00286BDF">
      <w:pPr>
        <w:rPr>
          <w:rFonts w:cs="Arial"/>
          <w:color w:val="000000" w:themeColor="text1"/>
          <w:szCs w:val="16"/>
        </w:rPr>
      </w:pPr>
      <w:r w:rsidRPr="005C29F8">
        <w:rPr>
          <w:rFonts w:cs="Arial"/>
          <w:color w:val="000000" w:themeColor="text1"/>
          <w:szCs w:val="16"/>
        </w:rPr>
        <w:t>States may express their targets in a range (e.g., 75-85%).</w:t>
      </w:r>
    </w:p>
    <w:p w14:paraId="62D2873F" w14:textId="77777777" w:rsidR="00692B95" w:rsidRPr="005C29F8" w:rsidRDefault="00692B95" w:rsidP="00286BDF">
      <w:pPr>
        <w:rPr>
          <w:rFonts w:cs="Arial"/>
          <w:color w:val="000000" w:themeColor="text1"/>
          <w:szCs w:val="16"/>
        </w:rPr>
      </w:pPr>
      <w:r w:rsidRPr="005C29F8">
        <w:rPr>
          <w:rFonts w:cs="Arial"/>
          <w:color w:val="000000" w:themeColor="text1"/>
          <w:szCs w:val="16"/>
        </w:rPr>
        <w:t>If the data reported in this indicator are not the same as the State’s data under IDEA section 618, explain.</w:t>
      </w:r>
    </w:p>
    <w:p w14:paraId="419B733F" w14:textId="44198020" w:rsidR="00692B95" w:rsidRPr="005C29F8" w:rsidRDefault="00692B95" w:rsidP="00286BDF">
      <w:pPr>
        <w:rPr>
          <w:rFonts w:cs="Arial"/>
          <w:color w:val="000000" w:themeColor="text1"/>
          <w:szCs w:val="16"/>
        </w:rPr>
      </w:pPr>
      <w:r w:rsidRPr="005C29F8">
        <w:rPr>
          <w:rFonts w:cs="Arial"/>
          <w:color w:val="000000" w:themeColor="text1"/>
          <w:szCs w:val="16"/>
        </w:rPr>
        <w:t>States are not required to report data at the LEA level.</w:t>
      </w:r>
    </w:p>
    <w:p w14:paraId="32179671" w14:textId="1C1C859E" w:rsidR="00B37C74" w:rsidRPr="0033429D" w:rsidRDefault="001C46DC" w:rsidP="00123D76">
      <w:pPr>
        <w:pStyle w:val="Heading2"/>
      </w:pPr>
      <w:r w:rsidRPr="0033429D">
        <w:t>16</w:t>
      </w:r>
      <w:r w:rsidR="001D508D" w:rsidRPr="0033429D">
        <w:t xml:space="preserve"> </w:t>
      </w:r>
      <w:r w:rsidRPr="0033429D">
        <w:t xml:space="preserve">- </w:t>
      </w:r>
      <w:r w:rsidR="00BF232E" w:rsidRPr="0033429D">
        <w:t>Indicator Data</w:t>
      </w:r>
    </w:p>
    <w:p w14:paraId="6A39385A" w14:textId="49DFE75B" w:rsidR="00F31AD8" w:rsidRPr="005C29F8" w:rsidRDefault="007D219D" w:rsidP="00F31AD8">
      <w:pPr>
        <w:rPr>
          <w:rFonts w:cs="Arial"/>
          <w:b/>
          <w:color w:val="000000" w:themeColor="text1"/>
          <w:szCs w:val="16"/>
        </w:rPr>
      </w:pPr>
      <w:r w:rsidRPr="005C29F8">
        <w:rPr>
          <w:rFonts w:cs="Arial"/>
          <w:b/>
          <w:color w:val="000000" w:themeColor="text1"/>
          <w:szCs w:val="16"/>
        </w:rPr>
        <w:t>Select yes to use target ranges</w:t>
      </w:r>
    </w:p>
    <w:p w14:paraId="6CBE99A1" w14:textId="4EA49071" w:rsidR="00F31AD8" w:rsidRPr="005C29F8" w:rsidRDefault="00F31AD8" w:rsidP="004369B2">
      <w:pPr>
        <w:rPr>
          <w:color w:val="000000" w:themeColor="text1"/>
        </w:rPr>
      </w:pPr>
      <w:r w:rsidRPr="005C29F8">
        <w:rPr>
          <w:rFonts w:cs="Arial"/>
          <w:color w:val="000000" w:themeColor="text1"/>
          <w:szCs w:val="16"/>
        </w:rPr>
        <w:t>Target Range is used</w:t>
      </w:r>
    </w:p>
    <w:bookmarkEnd w:id="87"/>
    <w:bookmarkEnd w:id="88"/>
    <w:p w14:paraId="3951D0E9" w14:textId="77777777" w:rsidR="00DA3157" w:rsidRPr="005C29F8" w:rsidRDefault="00DA3157" w:rsidP="004369B2">
      <w:pPr>
        <w:rPr>
          <w:color w:val="000000" w:themeColor="text1"/>
        </w:rPr>
      </w:pPr>
    </w:p>
    <w:p w14:paraId="118840D3" w14:textId="0C4E77AD" w:rsidR="008E31C4" w:rsidRPr="005C29F8" w:rsidRDefault="008E31C4" w:rsidP="004369B2">
      <w:pPr>
        <w:rPr>
          <w:color w:val="000000" w:themeColor="text1"/>
        </w:rPr>
      </w:pPr>
      <w:r w:rsidRPr="005C29F8">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5C29F8" w14:paraId="61A5E3A0" w14:textId="77777777" w:rsidTr="0064117D">
        <w:trPr>
          <w:trHeight w:val="372"/>
          <w:tblHeader/>
        </w:trPr>
        <w:tc>
          <w:tcPr>
            <w:tcW w:w="1249" w:type="pct"/>
            <w:shd w:val="clear" w:color="auto" w:fill="auto"/>
          </w:tcPr>
          <w:p w14:paraId="332BA503" w14:textId="77777777" w:rsidR="008E31C4" w:rsidRPr="005C29F8" w:rsidRDefault="008E31C4" w:rsidP="008E31C4">
            <w:pPr>
              <w:spacing w:after="0"/>
              <w:jc w:val="center"/>
              <w:rPr>
                <w:rFonts w:cs="Arial"/>
                <w:b/>
                <w:color w:val="000000" w:themeColor="text1"/>
                <w:szCs w:val="16"/>
              </w:rPr>
            </w:pPr>
            <w:r w:rsidRPr="005C29F8">
              <w:rPr>
                <w:rFonts w:cs="Arial"/>
                <w:b/>
                <w:color w:val="000000" w:themeColor="text1"/>
                <w:szCs w:val="16"/>
              </w:rPr>
              <w:t>Source</w:t>
            </w:r>
          </w:p>
        </w:tc>
        <w:tc>
          <w:tcPr>
            <w:tcW w:w="1293" w:type="pct"/>
            <w:shd w:val="clear" w:color="auto" w:fill="auto"/>
          </w:tcPr>
          <w:p w14:paraId="2C662D12" w14:textId="77777777" w:rsidR="008E31C4" w:rsidRPr="005C29F8" w:rsidRDefault="008E31C4" w:rsidP="008E31C4">
            <w:pPr>
              <w:spacing w:after="0"/>
              <w:jc w:val="center"/>
              <w:rPr>
                <w:rFonts w:cs="Arial"/>
                <w:b/>
                <w:color w:val="000000" w:themeColor="text1"/>
                <w:szCs w:val="16"/>
              </w:rPr>
            </w:pPr>
            <w:r w:rsidRPr="005C29F8">
              <w:rPr>
                <w:rFonts w:cs="Arial"/>
                <w:b/>
                <w:color w:val="000000" w:themeColor="text1"/>
                <w:szCs w:val="16"/>
              </w:rPr>
              <w:t>Date</w:t>
            </w:r>
          </w:p>
        </w:tc>
        <w:tc>
          <w:tcPr>
            <w:tcW w:w="1632" w:type="pct"/>
            <w:shd w:val="clear" w:color="auto" w:fill="auto"/>
          </w:tcPr>
          <w:p w14:paraId="66DBE23B" w14:textId="77777777" w:rsidR="008E31C4" w:rsidRPr="005C29F8" w:rsidRDefault="008E31C4" w:rsidP="008E31C4">
            <w:pPr>
              <w:spacing w:after="0"/>
              <w:jc w:val="center"/>
              <w:rPr>
                <w:rFonts w:cs="Arial"/>
                <w:b/>
                <w:color w:val="000000" w:themeColor="text1"/>
                <w:szCs w:val="16"/>
              </w:rPr>
            </w:pPr>
            <w:r w:rsidRPr="005C29F8">
              <w:rPr>
                <w:rFonts w:cs="Arial"/>
                <w:b/>
                <w:color w:val="000000" w:themeColor="text1"/>
                <w:szCs w:val="16"/>
              </w:rPr>
              <w:t>Description</w:t>
            </w:r>
          </w:p>
        </w:tc>
        <w:tc>
          <w:tcPr>
            <w:tcW w:w="826" w:type="pct"/>
            <w:shd w:val="clear" w:color="auto" w:fill="auto"/>
          </w:tcPr>
          <w:p w14:paraId="1C82D158" w14:textId="77777777" w:rsidR="008E31C4" w:rsidRPr="005C29F8" w:rsidRDefault="008E31C4" w:rsidP="008E31C4">
            <w:pPr>
              <w:spacing w:after="0"/>
              <w:jc w:val="center"/>
              <w:rPr>
                <w:rFonts w:cs="Arial"/>
                <w:b/>
                <w:color w:val="000000" w:themeColor="text1"/>
                <w:szCs w:val="16"/>
              </w:rPr>
            </w:pPr>
            <w:r w:rsidRPr="005C29F8">
              <w:rPr>
                <w:rFonts w:cs="Arial"/>
                <w:b/>
                <w:color w:val="000000" w:themeColor="text1"/>
                <w:szCs w:val="16"/>
              </w:rPr>
              <w:t>Data</w:t>
            </w:r>
          </w:p>
        </w:tc>
      </w:tr>
      <w:tr w:rsidR="005C29F8" w:rsidRPr="005C29F8" w14:paraId="0EB08E99" w14:textId="77777777" w:rsidTr="0064117D">
        <w:trPr>
          <w:trHeight w:val="380"/>
        </w:trPr>
        <w:tc>
          <w:tcPr>
            <w:tcW w:w="1249" w:type="pct"/>
            <w:shd w:val="clear" w:color="auto" w:fill="auto"/>
          </w:tcPr>
          <w:p w14:paraId="341A55FB" w14:textId="389190B6" w:rsidR="001126C3" w:rsidRPr="005C29F8" w:rsidRDefault="002B7490" w:rsidP="001126C3">
            <w:pPr>
              <w:jc w:val="center"/>
              <w:rPr>
                <w:rFonts w:cs="Arial"/>
                <w:color w:val="000000" w:themeColor="text1"/>
                <w:szCs w:val="16"/>
              </w:rPr>
            </w:pPr>
            <w:r w:rsidRPr="005C29F8">
              <w:rPr>
                <w:rFonts w:cs="Arial"/>
                <w:color w:val="000000" w:themeColor="text1"/>
                <w:szCs w:val="16"/>
              </w:rPr>
              <w:t>SY 2019-20 EMAPS IDEA Part B Dispute Resolution Survey; Section B: Mediation Requests</w:t>
            </w:r>
          </w:p>
        </w:tc>
        <w:tc>
          <w:tcPr>
            <w:tcW w:w="1293" w:type="pct"/>
            <w:shd w:val="clear" w:color="auto" w:fill="auto"/>
          </w:tcPr>
          <w:p w14:paraId="71614464" w14:textId="4369755A" w:rsidR="001126C3" w:rsidRPr="005C29F8" w:rsidRDefault="008174C3" w:rsidP="001126C3">
            <w:pPr>
              <w:jc w:val="center"/>
              <w:rPr>
                <w:rFonts w:cs="Arial"/>
                <w:color w:val="000000" w:themeColor="text1"/>
                <w:szCs w:val="16"/>
              </w:rPr>
            </w:pPr>
            <w:r w:rsidRPr="005C29F8">
              <w:rPr>
                <w:rFonts w:cs="Arial"/>
                <w:color w:val="000000" w:themeColor="text1"/>
                <w:szCs w:val="16"/>
              </w:rPr>
              <w:t>11/04/2020</w:t>
            </w:r>
          </w:p>
        </w:tc>
        <w:tc>
          <w:tcPr>
            <w:tcW w:w="1632" w:type="pct"/>
            <w:shd w:val="clear" w:color="auto" w:fill="auto"/>
          </w:tcPr>
          <w:p w14:paraId="3B8991BC" w14:textId="35D24A7C" w:rsidR="001126C3" w:rsidRPr="005C29F8" w:rsidRDefault="001126C3" w:rsidP="001126C3">
            <w:pPr>
              <w:rPr>
                <w:rFonts w:cs="Arial"/>
                <w:color w:val="000000" w:themeColor="text1"/>
                <w:szCs w:val="16"/>
              </w:rPr>
            </w:pPr>
            <w:r w:rsidRPr="005C29F8">
              <w:rPr>
                <w:rFonts w:cs="Arial"/>
                <w:color w:val="000000" w:themeColor="text1"/>
                <w:szCs w:val="16"/>
              </w:rPr>
              <w:t>2.1 Mediations held</w:t>
            </w:r>
          </w:p>
        </w:tc>
        <w:tc>
          <w:tcPr>
            <w:tcW w:w="826" w:type="pct"/>
            <w:shd w:val="clear" w:color="auto" w:fill="auto"/>
          </w:tcPr>
          <w:p w14:paraId="27A8B83C" w14:textId="708549A5" w:rsidR="001126C3" w:rsidRPr="005C29F8" w:rsidRDefault="002B7490" w:rsidP="00A018D4">
            <w:pPr>
              <w:jc w:val="center"/>
              <w:rPr>
                <w:rFonts w:cs="Arial"/>
                <w:color w:val="000000" w:themeColor="text1"/>
                <w:szCs w:val="16"/>
              </w:rPr>
            </w:pPr>
            <w:r w:rsidRPr="005C29F8">
              <w:rPr>
                <w:rFonts w:cs="Arial"/>
                <w:color w:val="000000" w:themeColor="text1"/>
                <w:szCs w:val="16"/>
              </w:rPr>
              <w:t>495</w:t>
            </w:r>
          </w:p>
        </w:tc>
      </w:tr>
      <w:tr w:rsidR="005C29F8" w:rsidRPr="005C29F8" w14:paraId="438B012B" w14:textId="77777777" w:rsidTr="0064117D">
        <w:trPr>
          <w:trHeight w:val="380"/>
        </w:trPr>
        <w:tc>
          <w:tcPr>
            <w:tcW w:w="1249" w:type="pct"/>
            <w:shd w:val="clear" w:color="auto" w:fill="auto"/>
          </w:tcPr>
          <w:p w14:paraId="265B2AEC" w14:textId="3FC7D25D" w:rsidR="001126C3" w:rsidRPr="005C29F8" w:rsidRDefault="008174C3" w:rsidP="001126C3">
            <w:pPr>
              <w:jc w:val="center"/>
              <w:rPr>
                <w:rFonts w:cs="Arial"/>
                <w:color w:val="000000" w:themeColor="text1"/>
                <w:szCs w:val="16"/>
              </w:rPr>
            </w:pPr>
            <w:r w:rsidRPr="005C29F8">
              <w:rPr>
                <w:rFonts w:cs="Arial"/>
                <w:color w:val="000000" w:themeColor="text1"/>
                <w:szCs w:val="16"/>
              </w:rPr>
              <w:t>SY 2019-20 EMAPS IDEA Part B Dispute Resolution Survey; Section B: Mediation Requests</w:t>
            </w:r>
          </w:p>
        </w:tc>
        <w:tc>
          <w:tcPr>
            <w:tcW w:w="1293" w:type="pct"/>
            <w:shd w:val="clear" w:color="auto" w:fill="auto"/>
          </w:tcPr>
          <w:p w14:paraId="128A6113" w14:textId="6FDE1D5D" w:rsidR="001126C3" w:rsidRPr="005C29F8" w:rsidRDefault="008174C3" w:rsidP="001126C3">
            <w:pPr>
              <w:jc w:val="center"/>
              <w:rPr>
                <w:rFonts w:cs="Arial"/>
                <w:color w:val="000000" w:themeColor="text1"/>
                <w:szCs w:val="16"/>
              </w:rPr>
            </w:pPr>
            <w:r w:rsidRPr="005C29F8">
              <w:rPr>
                <w:rFonts w:cs="Arial"/>
                <w:color w:val="000000" w:themeColor="text1"/>
                <w:szCs w:val="16"/>
              </w:rPr>
              <w:t>11/04/2020</w:t>
            </w:r>
          </w:p>
        </w:tc>
        <w:tc>
          <w:tcPr>
            <w:tcW w:w="1632" w:type="pct"/>
            <w:shd w:val="clear" w:color="auto" w:fill="auto"/>
          </w:tcPr>
          <w:p w14:paraId="61BAD85D" w14:textId="300FEE8B" w:rsidR="001126C3" w:rsidRPr="005C29F8" w:rsidRDefault="001126C3" w:rsidP="001126C3">
            <w:pPr>
              <w:rPr>
                <w:rFonts w:cs="Arial"/>
                <w:color w:val="000000" w:themeColor="text1"/>
                <w:szCs w:val="16"/>
              </w:rPr>
            </w:pPr>
            <w:r w:rsidRPr="005C29F8">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5C29F8" w:rsidRDefault="002B7490" w:rsidP="00A018D4">
            <w:pPr>
              <w:jc w:val="center"/>
              <w:rPr>
                <w:rFonts w:cs="Arial"/>
                <w:color w:val="000000" w:themeColor="text1"/>
                <w:szCs w:val="16"/>
              </w:rPr>
            </w:pPr>
            <w:r w:rsidRPr="005C29F8">
              <w:rPr>
                <w:rFonts w:cs="Arial"/>
                <w:color w:val="000000" w:themeColor="text1"/>
                <w:szCs w:val="16"/>
              </w:rPr>
              <w:t>8</w:t>
            </w:r>
          </w:p>
        </w:tc>
      </w:tr>
      <w:tr w:rsidR="005C29F8" w:rsidRPr="005C29F8" w14:paraId="53310D0D" w14:textId="77777777" w:rsidTr="0064117D">
        <w:trPr>
          <w:trHeight w:val="380"/>
        </w:trPr>
        <w:tc>
          <w:tcPr>
            <w:tcW w:w="1249" w:type="pct"/>
            <w:shd w:val="clear" w:color="auto" w:fill="auto"/>
          </w:tcPr>
          <w:p w14:paraId="295563AC" w14:textId="371961FC" w:rsidR="001126C3" w:rsidRPr="005C29F8" w:rsidRDefault="008174C3" w:rsidP="001126C3">
            <w:pPr>
              <w:jc w:val="center"/>
              <w:rPr>
                <w:rFonts w:cs="Arial"/>
                <w:color w:val="000000" w:themeColor="text1"/>
                <w:szCs w:val="16"/>
              </w:rPr>
            </w:pPr>
            <w:r w:rsidRPr="005C29F8">
              <w:rPr>
                <w:rFonts w:cs="Arial"/>
                <w:color w:val="000000" w:themeColor="text1"/>
                <w:szCs w:val="16"/>
              </w:rPr>
              <w:t>SY 2019-20 EMAPS IDEA Part B Dispute Resolution Survey; Section B: Mediation Requests</w:t>
            </w:r>
          </w:p>
        </w:tc>
        <w:tc>
          <w:tcPr>
            <w:tcW w:w="1293" w:type="pct"/>
            <w:shd w:val="clear" w:color="auto" w:fill="auto"/>
          </w:tcPr>
          <w:p w14:paraId="4BDD8D48" w14:textId="63D0DB48" w:rsidR="001126C3" w:rsidRPr="005C29F8" w:rsidRDefault="008174C3" w:rsidP="001126C3">
            <w:pPr>
              <w:jc w:val="center"/>
              <w:rPr>
                <w:rFonts w:cs="Arial"/>
                <w:color w:val="000000" w:themeColor="text1"/>
                <w:szCs w:val="16"/>
              </w:rPr>
            </w:pPr>
            <w:r w:rsidRPr="005C29F8">
              <w:rPr>
                <w:rFonts w:cs="Arial"/>
                <w:color w:val="000000" w:themeColor="text1"/>
                <w:szCs w:val="16"/>
              </w:rPr>
              <w:t>11/04/2020</w:t>
            </w:r>
          </w:p>
        </w:tc>
        <w:tc>
          <w:tcPr>
            <w:tcW w:w="1632" w:type="pct"/>
            <w:shd w:val="clear" w:color="auto" w:fill="auto"/>
          </w:tcPr>
          <w:p w14:paraId="0D81EE28" w14:textId="0901AFA3" w:rsidR="001126C3" w:rsidRPr="005C29F8" w:rsidRDefault="001126C3" w:rsidP="001126C3">
            <w:pPr>
              <w:rPr>
                <w:rFonts w:cs="Arial"/>
                <w:color w:val="000000" w:themeColor="text1"/>
                <w:szCs w:val="16"/>
              </w:rPr>
            </w:pPr>
            <w:r w:rsidRPr="005C29F8">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5C29F8" w:rsidRDefault="002B7490" w:rsidP="00A018D4">
            <w:pPr>
              <w:jc w:val="center"/>
              <w:rPr>
                <w:rFonts w:cs="Arial"/>
                <w:color w:val="000000" w:themeColor="text1"/>
                <w:szCs w:val="16"/>
              </w:rPr>
            </w:pPr>
            <w:r w:rsidRPr="005C29F8">
              <w:rPr>
                <w:rFonts w:cs="Arial"/>
                <w:color w:val="000000" w:themeColor="text1"/>
                <w:szCs w:val="16"/>
              </w:rPr>
              <w:t>404</w:t>
            </w:r>
          </w:p>
        </w:tc>
      </w:tr>
    </w:tbl>
    <w:p w14:paraId="2C4CE14C" w14:textId="5AC27D72" w:rsidR="00E8514E" w:rsidRPr="005C29F8" w:rsidRDefault="007D219D">
      <w:pPr>
        <w:rPr>
          <w:b/>
          <w:color w:val="000000" w:themeColor="text1"/>
        </w:rPr>
      </w:pPr>
      <w:r w:rsidRPr="005C29F8">
        <w:rPr>
          <w:b/>
          <w:color w:val="000000" w:themeColor="text1"/>
        </w:rPr>
        <w:t>Select yes if the data reported in this indicator are not the same as the State’s data reported under section 618 of the IDEA.</w:t>
      </w:r>
    </w:p>
    <w:p w14:paraId="69D1C140" w14:textId="4BF355D3" w:rsidR="00E8514E" w:rsidRDefault="00E8514E">
      <w:pPr>
        <w:rPr>
          <w:color w:val="000000" w:themeColor="text1"/>
        </w:rPr>
      </w:pPr>
      <w:r w:rsidRPr="005C29F8">
        <w:rPr>
          <w:color w:val="000000" w:themeColor="text1"/>
        </w:rPr>
        <w:t>NO</w:t>
      </w:r>
    </w:p>
    <w:p w14:paraId="1451EE58" w14:textId="77777777" w:rsidR="00945274" w:rsidRPr="005C29F8" w:rsidRDefault="00945274" w:rsidP="004369B2">
      <w:pPr>
        <w:rPr>
          <w:color w:val="000000" w:themeColor="text1"/>
        </w:rPr>
      </w:pPr>
    </w:p>
    <w:p w14:paraId="58C79350" w14:textId="310C06FF" w:rsidR="000A2C83" w:rsidRDefault="000A2C83" w:rsidP="004369B2">
      <w:pPr>
        <w:rPr>
          <w:b/>
          <w:color w:val="000000" w:themeColor="text1"/>
        </w:rPr>
      </w:pPr>
      <w:r w:rsidRPr="005C29F8">
        <w:rPr>
          <w:b/>
          <w:color w:val="000000" w:themeColor="text1"/>
        </w:rPr>
        <w:t xml:space="preserve">Targets: Description of Stakeholder Input </w:t>
      </w:r>
    </w:p>
    <w:p w14:paraId="7B6B5101" w14:textId="2C5569CC" w:rsidR="000A2C83" w:rsidRDefault="002B7490" w:rsidP="000A2C83">
      <w:pPr>
        <w:rPr>
          <w:rFonts w:cs="Arial"/>
          <w:color w:val="000000" w:themeColor="text1"/>
          <w:szCs w:val="16"/>
        </w:rPr>
      </w:pPr>
      <w:r w:rsidRPr="005C29F8">
        <w:rPr>
          <w:rFonts w:cs="Arial"/>
          <w:color w:val="000000" w:themeColor="text1"/>
          <w:szCs w:val="16"/>
        </w:rPr>
        <w:t xml:space="preserve">MA DESE works closely with stakeholders on developing SPP targets and setting priorities for improvement in each of the substantive areas reported in the SPP. The Special Education Advisory Panel, comprised of parents, educators, and advocates across the state, meets up to five times each school year to review data, discuss policy priorities, and identify unmet needs in the area of special education consistent with state law and IDEA Part B. At each meeting the group addresses various aspects of the SPP/APR and the State’s general supervision systems, as well as relevant policy matters.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The Panel met most recently in January 2021  to review current data and targets and provide feedback on activities related to the APR indicators. </w:t>
      </w:r>
      <w:r w:rsidRPr="005C29F8">
        <w:rPr>
          <w:rFonts w:cs="Arial"/>
          <w:color w:val="000000" w:themeColor="text1"/>
          <w:szCs w:val="16"/>
        </w:rPr>
        <w:br/>
      </w:r>
      <w:r w:rsidRPr="005C29F8">
        <w:rPr>
          <w:rFonts w:cs="Arial"/>
          <w:color w:val="000000" w:themeColor="text1"/>
          <w:szCs w:val="16"/>
        </w:rPr>
        <w:br/>
        <w:t>As needed, MA DESE also convenes stakeholder working groups throughout the year to provide focused input on specific projects and policy priorities. Examples of these focused groups include a Statewide Systemic Improvement Plan (SSIP) leadership team and working group, a family engagement workgroup, and a secondary transition stakeholder group. MA DESE also consults with educators, parents, advocates, and others on an ad hoc basis to inform policy and practice. Stakeholder engagement is an essential component of MA DESE’s special education agenda.</w:t>
      </w:r>
    </w:p>
    <w:p w14:paraId="5F0F979C" w14:textId="2A86F023" w:rsidR="000A2C83" w:rsidRPr="005C29F8" w:rsidRDefault="002B7490" w:rsidP="000A2C83">
      <w:pPr>
        <w:rPr>
          <w:rFonts w:cs="Arial"/>
          <w:color w:val="000000" w:themeColor="text1"/>
          <w:szCs w:val="16"/>
        </w:rPr>
      </w:pPr>
      <w:r w:rsidRPr="005C29F8">
        <w:rPr>
          <w:rFonts w:cs="Arial"/>
          <w:color w:val="000000" w:themeColor="text1"/>
          <w:szCs w:val="16"/>
        </w:rPr>
        <w:t>MA DESE works closely with stakeholders on developing SPP targets and setting priorities for improvement in each of the substantive areas reported in the SPP/APR. The Special Education Advisory Panel (SEAP) meets up to five times each school year to review data, discuss policy priorities, and identify unmet needs in special education consistent with state law and IDEA Part B. SEAP members comprise state agencies with which the SEA and LEAs work to support children and families (e.g., the Departments of Early Education and Care, Public Health, Developmental Disabilities, Mental Health, Children &amp; Families, Youth Services, Transitional Assistance, and the Massachusetts Rehabilitation Commission); parents of students with disabilities and representatives of parent serving agencies including the federally funded Parent Training and Information Center; individuals with disabilities; special and general educators and service providers from public school districts, charter schools, approved private special education schools, and educational collaboratives; representatives of higher education; and health care and related service providers.</w:t>
      </w:r>
      <w:r w:rsidRPr="005C29F8">
        <w:rPr>
          <w:rFonts w:cs="Arial"/>
          <w:color w:val="000000" w:themeColor="text1"/>
          <w:szCs w:val="16"/>
        </w:rPr>
        <w:br/>
      </w:r>
      <w:r w:rsidRPr="005C29F8">
        <w:rPr>
          <w:rFonts w:cs="Arial"/>
          <w:color w:val="000000" w:themeColor="text1"/>
          <w:szCs w:val="16"/>
        </w:rPr>
        <w:br/>
        <w:t>The SEAP met most recently in January 2021 to review current data and discuss future actions to improve the State’s performance. As needed, MA DESE also convenes stakeholder working groups throughout the year to provide focused input on specific projects and policy priorities. MA DESE also consults with educators, parents, advocates, and other stakeholders on an ad hoc basis to inform policy and practice. Stakeholder engagement is an essential component of MA DESE’s special education agenda.</w:t>
      </w:r>
    </w:p>
    <w:p w14:paraId="2C7ACE11" w14:textId="77777777" w:rsidR="00E8514E" w:rsidRPr="005C29F8" w:rsidRDefault="00E8514E" w:rsidP="000A2C83">
      <w:pPr>
        <w:rPr>
          <w:rFonts w:cs="Arial"/>
          <w:color w:val="000000" w:themeColor="text1"/>
          <w:szCs w:val="16"/>
        </w:rPr>
      </w:pPr>
    </w:p>
    <w:p w14:paraId="48B9C9FE" w14:textId="3C4BDA67" w:rsidR="008E31C4" w:rsidRDefault="008E31C4" w:rsidP="004369B2">
      <w:pPr>
        <w:rPr>
          <w:b/>
          <w:color w:val="000000" w:themeColor="text1"/>
        </w:rPr>
      </w:pPr>
      <w:r w:rsidRPr="005C29F8">
        <w:rPr>
          <w:b/>
          <w:color w:val="000000" w:themeColor="text1"/>
        </w:rPr>
        <w:lastRenderedPageBreak/>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14:paraId="57AEABC0" w14:textId="77777777" w:rsidTr="00123D76">
        <w:trPr>
          <w:trHeight w:val="311"/>
          <w:tblHeader/>
        </w:trPr>
        <w:tc>
          <w:tcPr>
            <w:tcW w:w="1797" w:type="dxa"/>
          </w:tcPr>
          <w:p w14:paraId="38CE882B" w14:textId="77777777" w:rsidR="00D75351" w:rsidRDefault="00D75351" w:rsidP="00123D76">
            <w:pPr>
              <w:jc w:val="center"/>
              <w:rPr>
                <w:b/>
                <w:color w:val="000000" w:themeColor="text1"/>
              </w:rPr>
            </w:pPr>
            <w:r w:rsidRPr="005C29F8">
              <w:rPr>
                <w:rFonts w:cs="Arial"/>
                <w:b/>
                <w:color w:val="000000" w:themeColor="text1"/>
                <w:szCs w:val="16"/>
              </w:rPr>
              <w:t>Baseline Year</w:t>
            </w:r>
          </w:p>
        </w:tc>
        <w:tc>
          <w:tcPr>
            <w:tcW w:w="1798" w:type="dxa"/>
          </w:tcPr>
          <w:p w14:paraId="664A9E7A" w14:textId="77777777" w:rsidR="00D75351" w:rsidRDefault="00D75351" w:rsidP="00123D76">
            <w:pPr>
              <w:jc w:val="center"/>
              <w:rPr>
                <w:b/>
                <w:color w:val="000000" w:themeColor="text1"/>
              </w:rPr>
            </w:pPr>
            <w:r>
              <w:rPr>
                <w:b/>
                <w:color w:val="000000" w:themeColor="text1"/>
              </w:rPr>
              <w:t>Baseline Data</w:t>
            </w:r>
          </w:p>
        </w:tc>
      </w:tr>
      <w:tr w:rsidR="00D75351" w14:paraId="2B59BCB7" w14:textId="77777777" w:rsidTr="00123D76">
        <w:trPr>
          <w:trHeight w:val="311"/>
        </w:trPr>
        <w:tc>
          <w:tcPr>
            <w:tcW w:w="1797" w:type="dxa"/>
            <w:vAlign w:val="center"/>
          </w:tcPr>
          <w:p w14:paraId="62FFC123" w14:textId="008A4386" w:rsidR="00D75351" w:rsidRPr="00227D4B" w:rsidRDefault="00D75351" w:rsidP="00123D76">
            <w:pPr>
              <w:jc w:val="center"/>
              <w:rPr>
                <w:bCs/>
                <w:color w:val="000000" w:themeColor="text1"/>
              </w:rPr>
            </w:pPr>
            <w:r w:rsidRPr="00227D4B">
              <w:rPr>
                <w:bCs/>
                <w:color w:val="000000" w:themeColor="text1"/>
              </w:rPr>
              <w:t>2005</w:t>
            </w:r>
          </w:p>
        </w:tc>
        <w:tc>
          <w:tcPr>
            <w:tcW w:w="1798" w:type="dxa"/>
            <w:vAlign w:val="center"/>
          </w:tcPr>
          <w:p w14:paraId="08A13422" w14:textId="52DBDA3E" w:rsidR="00D75351" w:rsidRPr="00227D4B" w:rsidRDefault="00D75351" w:rsidP="00123D76">
            <w:pPr>
              <w:jc w:val="center"/>
              <w:rPr>
                <w:bCs/>
                <w:color w:val="000000" w:themeColor="text1"/>
              </w:rPr>
            </w:pPr>
            <w:r w:rsidRPr="00227D4B">
              <w:rPr>
                <w:bCs/>
                <w:color w:val="000000" w:themeColor="text1"/>
              </w:rPr>
              <w:t>83.40%</w:t>
            </w:r>
          </w:p>
        </w:tc>
      </w:tr>
    </w:tbl>
    <w:p w14:paraId="450682C0" w14:textId="77777777" w:rsidR="00D75351" w:rsidRPr="005C29F8"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5C29F8" w14:paraId="3061AAFC" w14:textId="77777777" w:rsidTr="0033429D">
        <w:trPr>
          <w:trHeight w:val="350"/>
        </w:trPr>
        <w:tc>
          <w:tcPr>
            <w:tcW w:w="748" w:type="pct"/>
            <w:tcBorders>
              <w:bottom w:val="single" w:sz="4" w:space="0" w:color="auto"/>
            </w:tcBorders>
            <w:shd w:val="clear" w:color="auto" w:fill="auto"/>
          </w:tcPr>
          <w:p w14:paraId="6D321354" w14:textId="77777777" w:rsidR="008E31C4" w:rsidRPr="005C29F8" w:rsidRDefault="008E31C4" w:rsidP="004369B2">
            <w:pPr>
              <w:jc w:val="center"/>
              <w:rPr>
                <w:rFonts w:cs="Arial"/>
                <w:b/>
                <w:color w:val="000000" w:themeColor="text1"/>
                <w:szCs w:val="16"/>
              </w:rPr>
            </w:pPr>
            <w:r w:rsidRPr="005C29F8">
              <w:rPr>
                <w:rFonts w:cs="Arial"/>
                <w:b/>
                <w:color w:val="000000" w:themeColor="text1"/>
                <w:szCs w:val="16"/>
              </w:rPr>
              <w:t>FFY</w:t>
            </w:r>
          </w:p>
        </w:tc>
        <w:tc>
          <w:tcPr>
            <w:tcW w:w="833" w:type="pct"/>
            <w:shd w:val="clear" w:color="auto" w:fill="auto"/>
          </w:tcPr>
          <w:p w14:paraId="351C61C5" w14:textId="1A27A18C" w:rsidR="008E31C4" w:rsidRPr="005C29F8" w:rsidRDefault="002B7490" w:rsidP="008E31C4">
            <w:pPr>
              <w:jc w:val="center"/>
              <w:rPr>
                <w:rFonts w:cs="Arial"/>
                <w:b/>
                <w:color w:val="000000" w:themeColor="text1"/>
                <w:szCs w:val="16"/>
              </w:rPr>
            </w:pPr>
            <w:r w:rsidRPr="005C29F8">
              <w:rPr>
                <w:rFonts w:cs="Arial"/>
                <w:b/>
                <w:color w:val="000000" w:themeColor="text1"/>
                <w:szCs w:val="16"/>
              </w:rPr>
              <w:t>2014</w:t>
            </w:r>
          </w:p>
        </w:tc>
        <w:tc>
          <w:tcPr>
            <w:tcW w:w="918" w:type="pct"/>
            <w:shd w:val="clear" w:color="auto" w:fill="auto"/>
          </w:tcPr>
          <w:p w14:paraId="1CDF9DE8" w14:textId="0FE9038E" w:rsidR="008E31C4" w:rsidRPr="005C29F8" w:rsidRDefault="002B7490" w:rsidP="008E31C4">
            <w:pPr>
              <w:jc w:val="center"/>
              <w:rPr>
                <w:rFonts w:cs="Arial"/>
                <w:b/>
                <w:color w:val="000000" w:themeColor="text1"/>
                <w:szCs w:val="16"/>
              </w:rPr>
            </w:pPr>
            <w:r w:rsidRPr="005C29F8">
              <w:rPr>
                <w:rFonts w:cs="Arial"/>
                <w:b/>
                <w:color w:val="000000" w:themeColor="text1"/>
                <w:szCs w:val="16"/>
              </w:rPr>
              <w:t>2015</w:t>
            </w:r>
          </w:p>
        </w:tc>
        <w:tc>
          <w:tcPr>
            <w:tcW w:w="833" w:type="pct"/>
            <w:shd w:val="clear" w:color="auto" w:fill="auto"/>
          </w:tcPr>
          <w:p w14:paraId="49B990DE" w14:textId="2B6E5021" w:rsidR="008E31C4" w:rsidRPr="005C29F8" w:rsidRDefault="002B7490" w:rsidP="008E31C4">
            <w:pPr>
              <w:jc w:val="center"/>
              <w:rPr>
                <w:rFonts w:cs="Arial"/>
                <w:b/>
                <w:color w:val="000000" w:themeColor="text1"/>
                <w:szCs w:val="16"/>
              </w:rPr>
            </w:pPr>
            <w:r w:rsidRPr="005C29F8">
              <w:rPr>
                <w:rFonts w:cs="Arial"/>
                <w:b/>
                <w:color w:val="000000" w:themeColor="text1"/>
                <w:szCs w:val="16"/>
              </w:rPr>
              <w:t>2016</w:t>
            </w:r>
          </w:p>
        </w:tc>
        <w:tc>
          <w:tcPr>
            <w:tcW w:w="792" w:type="pct"/>
            <w:shd w:val="clear" w:color="auto" w:fill="auto"/>
          </w:tcPr>
          <w:p w14:paraId="6EF76857" w14:textId="0F124C26" w:rsidR="008E31C4" w:rsidRPr="005C29F8" w:rsidRDefault="002B7490" w:rsidP="008E31C4">
            <w:pPr>
              <w:jc w:val="center"/>
              <w:rPr>
                <w:rFonts w:cs="Arial"/>
                <w:b/>
                <w:color w:val="000000" w:themeColor="text1"/>
                <w:szCs w:val="16"/>
              </w:rPr>
            </w:pPr>
            <w:r w:rsidRPr="005C29F8">
              <w:rPr>
                <w:rFonts w:cs="Arial"/>
                <w:b/>
                <w:color w:val="000000" w:themeColor="text1"/>
                <w:szCs w:val="16"/>
              </w:rPr>
              <w:t>2017</w:t>
            </w:r>
          </w:p>
        </w:tc>
        <w:tc>
          <w:tcPr>
            <w:tcW w:w="875" w:type="pct"/>
            <w:shd w:val="clear" w:color="auto" w:fill="auto"/>
          </w:tcPr>
          <w:p w14:paraId="246ACDB0" w14:textId="7F251A7E" w:rsidR="008E31C4" w:rsidRPr="005C29F8" w:rsidRDefault="002B7490" w:rsidP="008E31C4">
            <w:pPr>
              <w:jc w:val="center"/>
              <w:rPr>
                <w:rFonts w:cs="Arial"/>
                <w:b/>
                <w:color w:val="000000" w:themeColor="text1"/>
                <w:szCs w:val="16"/>
              </w:rPr>
            </w:pPr>
            <w:r w:rsidRPr="005C29F8">
              <w:rPr>
                <w:rFonts w:cs="Arial"/>
                <w:b/>
                <w:color w:val="000000" w:themeColor="text1"/>
                <w:szCs w:val="16"/>
              </w:rPr>
              <w:t>2018</w:t>
            </w:r>
          </w:p>
        </w:tc>
      </w:tr>
      <w:tr w:rsidR="005C29F8" w:rsidRPr="005C29F8" w14:paraId="2A876A9F" w14:textId="77777777" w:rsidTr="0064117D">
        <w:trPr>
          <w:trHeight w:val="357"/>
        </w:trPr>
        <w:tc>
          <w:tcPr>
            <w:tcW w:w="748" w:type="pct"/>
            <w:shd w:val="clear" w:color="auto" w:fill="auto"/>
          </w:tcPr>
          <w:p w14:paraId="2DE95B6B" w14:textId="04DB6250" w:rsidR="008E31C4" w:rsidRPr="005C29F8" w:rsidRDefault="008E31C4" w:rsidP="008E31C4">
            <w:pPr>
              <w:rPr>
                <w:rFonts w:cs="Arial"/>
                <w:color w:val="000000" w:themeColor="text1"/>
                <w:szCs w:val="16"/>
              </w:rPr>
            </w:pPr>
            <w:r w:rsidRPr="005C29F8">
              <w:rPr>
                <w:rFonts w:cs="Arial"/>
                <w:color w:val="000000" w:themeColor="text1"/>
                <w:szCs w:val="16"/>
              </w:rPr>
              <w:t>Target &gt;=</w:t>
            </w:r>
          </w:p>
        </w:tc>
        <w:tc>
          <w:tcPr>
            <w:tcW w:w="833" w:type="pct"/>
            <w:shd w:val="clear" w:color="auto" w:fill="auto"/>
          </w:tcPr>
          <w:p w14:paraId="6C64D17D" w14:textId="6F575CE5" w:rsidR="008E31C4" w:rsidRPr="005C29F8" w:rsidRDefault="002B7490">
            <w:pPr>
              <w:jc w:val="center"/>
              <w:rPr>
                <w:rFonts w:cs="Arial"/>
                <w:color w:val="000000" w:themeColor="text1"/>
                <w:szCs w:val="16"/>
              </w:rPr>
            </w:pPr>
            <w:r w:rsidRPr="005C29F8">
              <w:rPr>
                <w:rFonts w:cs="Arial"/>
                <w:color w:val="000000" w:themeColor="text1"/>
                <w:szCs w:val="16"/>
              </w:rPr>
              <w:t>77.00% - 87.00%</w:t>
            </w:r>
          </w:p>
        </w:tc>
        <w:tc>
          <w:tcPr>
            <w:tcW w:w="918" w:type="pct"/>
            <w:shd w:val="clear" w:color="auto" w:fill="auto"/>
          </w:tcPr>
          <w:p w14:paraId="72C59C65" w14:textId="44E721D8" w:rsidR="008E31C4" w:rsidRPr="005C29F8" w:rsidRDefault="002B7490">
            <w:pPr>
              <w:jc w:val="center"/>
              <w:rPr>
                <w:rFonts w:cs="Arial"/>
                <w:color w:val="000000" w:themeColor="text1"/>
                <w:szCs w:val="16"/>
              </w:rPr>
            </w:pPr>
            <w:r w:rsidRPr="005C29F8">
              <w:rPr>
                <w:rFonts w:cs="Arial"/>
                <w:color w:val="000000" w:themeColor="text1"/>
                <w:szCs w:val="16"/>
              </w:rPr>
              <w:t>77.00% - 87.00%</w:t>
            </w:r>
          </w:p>
        </w:tc>
        <w:tc>
          <w:tcPr>
            <w:tcW w:w="833" w:type="pct"/>
            <w:shd w:val="clear" w:color="auto" w:fill="auto"/>
            <w:vAlign w:val="center"/>
          </w:tcPr>
          <w:p w14:paraId="220DD5CA" w14:textId="720A36A7" w:rsidR="008E31C4" w:rsidRPr="005C29F8" w:rsidRDefault="002B7490">
            <w:pPr>
              <w:jc w:val="center"/>
              <w:rPr>
                <w:rFonts w:cs="Arial"/>
                <w:color w:val="000000" w:themeColor="text1"/>
                <w:szCs w:val="16"/>
              </w:rPr>
            </w:pPr>
            <w:r w:rsidRPr="005C29F8">
              <w:rPr>
                <w:rFonts w:cs="Arial"/>
                <w:color w:val="000000" w:themeColor="text1"/>
                <w:szCs w:val="16"/>
              </w:rPr>
              <w:t>77.00% - 87.00%</w:t>
            </w:r>
          </w:p>
        </w:tc>
        <w:tc>
          <w:tcPr>
            <w:tcW w:w="792" w:type="pct"/>
            <w:shd w:val="clear" w:color="auto" w:fill="auto"/>
            <w:vAlign w:val="center"/>
          </w:tcPr>
          <w:p w14:paraId="07CF6D0B" w14:textId="0CDFA70C" w:rsidR="008E31C4" w:rsidRPr="005C29F8" w:rsidRDefault="002B7490">
            <w:pPr>
              <w:jc w:val="center"/>
              <w:rPr>
                <w:rFonts w:cs="Arial"/>
                <w:color w:val="000000" w:themeColor="text1"/>
                <w:szCs w:val="16"/>
              </w:rPr>
            </w:pPr>
            <w:r w:rsidRPr="005C29F8">
              <w:rPr>
                <w:rFonts w:cs="Arial"/>
                <w:color w:val="000000" w:themeColor="text1"/>
                <w:szCs w:val="16"/>
              </w:rPr>
              <w:t>77.00% - 87.00%</w:t>
            </w:r>
          </w:p>
        </w:tc>
        <w:tc>
          <w:tcPr>
            <w:tcW w:w="875" w:type="pct"/>
            <w:shd w:val="clear" w:color="auto" w:fill="auto"/>
            <w:vAlign w:val="center"/>
          </w:tcPr>
          <w:p w14:paraId="3B96FD7D" w14:textId="7B182CEE" w:rsidR="008E31C4" w:rsidRPr="005C29F8" w:rsidRDefault="002B7490">
            <w:pPr>
              <w:jc w:val="center"/>
              <w:rPr>
                <w:rFonts w:cs="Arial"/>
                <w:color w:val="000000" w:themeColor="text1"/>
                <w:szCs w:val="16"/>
              </w:rPr>
            </w:pPr>
            <w:r w:rsidRPr="005C29F8">
              <w:rPr>
                <w:rFonts w:cs="Arial"/>
                <w:color w:val="000000" w:themeColor="text1"/>
                <w:szCs w:val="16"/>
              </w:rPr>
              <w:t>77.00% - 87.00%</w:t>
            </w:r>
          </w:p>
        </w:tc>
      </w:tr>
      <w:tr w:rsidR="005C29F8" w:rsidRPr="005C29F8" w14:paraId="34F84ECE" w14:textId="77777777" w:rsidTr="0064117D">
        <w:trPr>
          <w:trHeight w:val="85"/>
        </w:trPr>
        <w:tc>
          <w:tcPr>
            <w:tcW w:w="748" w:type="pct"/>
            <w:shd w:val="clear" w:color="auto" w:fill="auto"/>
          </w:tcPr>
          <w:p w14:paraId="281210CF" w14:textId="77777777" w:rsidR="008E31C4" w:rsidRPr="005C29F8" w:rsidRDefault="008E31C4" w:rsidP="008E31C4">
            <w:pPr>
              <w:rPr>
                <w:rFonts w:cs="Arial"/>
                <w:color w:val="000000" w:themeColor="text1"/>
                <w:szCs w:val="16"/>
              </w:rPr>
            </w:pPr>
            <w:r w:rsidRPr="005C29F8">
              <w:rPr>
                <w:rFonts w:cs="Arial"/>
                <w:color w:val="000000" w:themeColor="text1"/>
                <w:szCs w:val="16"/>
              </w:rPr>
              <w:t>Data</w:t>
            </w:r>
          </w:p>
        </w:tc>
        <w:tc>
          <w:tcPr>
            <w:tcW w:w="833" w:type="pct"/>
            <w:shd w:val="clear" w:color="auto" w:fill="auto"/>
          </w:tcPr>
          <w:p w14:paraId="581B8DC5" w14:textId="4F71DCFC" w:rsidR="008E31C4" w:rsidRPr="005C29F8" w:rsidRDefault="002B7490">
            <w:pPr>
              <w:jc w:val="center"/>
              <w:rPr>
                <w:rFonts w:cs="Arial"/>
                <w:color w:val="000000" w:themeColor="text1"/>
                <w:szCs w:val="16"/>
              </w:rPr>
            </w:pPr>
            <w:r w:rsidRPr="005C29F8">
              <w:rPr>
                <w:rFonts w:cs="Arial"/>
                <w:color w:val="000000" w:themeColor="text1"/>
                <w:szCs w:val="16"/>
              </w:rPr>
              <w:t>84.35%</w:t>
            </w:r>
          </w:p>
        </w:tc>
        <w:tc>
          <w:tcPr>
            <w:tcW w:w="918" w:type="pct"/>
            <w:shd w:val="clear" w:color="auto" w:fill="auto"/>
          </w:tcPr>
          <w:p w14:paraId="341A9DBA" w14:textId="51769052" w:rsidR="008E31C4" w:rsidRPr="005C29F8" w:rsidRDefault="002B7490">
            <w:pPr>
              <w:jc w:val="center"/>
              <w:rPr>
                <w:rFonts w:cs="Arial"/>
                <w:color w:val="000000" w:themeColor="text1"/>
                <w:szCs w:val="16"/>
              </w:rPr>
            </w:pPr>
            <w:r w:rsidRPr="005C29F8">
              <w:rPr>
                <w:rFonts w:cs="Arial"/>
                <w:color w:val="000000" w:themeColor="text1"/>
                <w:szCs w:val="16"/>
              </w:rPr>
              <w:t>86.49%</w:t>
            </w:r>
          </w:p>
        </w:tc>
        <w:tc>
          <w:tcPr>
            <w:tcW w:w="833" w:type="pct"/>
            <w:tcBorders>
              <w:bottom w:val="single" w:sz="4" w:space="0" w:color="auto"/>
            </w:tcBorders>
            <w:shd w:val="clear" w:color="auto" w:fill="auto"/>
            <w:vAlign w:val="center"/>
          </w:tcPr>
          <w:p w14:paraId="7C21B645" w14:textId="348DEE4D" w:rsidR="008E31C4" w:rsidRPr="005C29F8" w:rsidRDefault="002B7490">
            <w:pPr>
              <w:jc w:val="center"/>
              <w:rPr>
                <w:rFonts w:cs="Arial"/>
                <w:color w:val="000000" w:themeColor="text1"/>
                <w:szCs w:val="16"/>
              </w:rPr>
            </w:pPr>
            <w:r w:rsidRPr="005C29F8">
              <w:rPr>
                <w:rFonts w:cs="Arial"/>
                <w:color w:val="000000" w:themeColor="text1"/>
                <w:szCs w:val="16"/>
              </w:rPr>
              <w:t>82.85%</w:t>
            </w:r>
          </w:p>
        </w:tc>
        <w:tc>
          <w:tcPr>
            <w:tcW w:w="792" w:type="pct"/>
            <w:tcBorders>
              <w:bottom w:val="single" w:sz="4" w:space="0" w:color="auto"/>
            </w:tcBorders>
            <w:shd w:val="clear" w:color="auto" w:fill="auto"/>
            <w:vAlign w:val="center"/>
          </w:tcPr>
          <w:p w14:paraId="345A5CC5" w14:textId="67CE713B" w:rsidR="008E31C4" w:rsidRPr="005C29F8" w:rsidRDefault="002B7490">
            <w:pPr>
              <w:jc w:val="center"/>
              <w:rPr>
                <w:rFonts w:cs="Arial"/>
                <w:color w:val="000000" w:themeColor="text1"/>
                <w:szCs w:val="16"/>
              </w:rPr>
            </w:pPr>
            <w:r w:rsidRPr="005C29F8">
              <w:rPr>
                <w:rFonts w:cs="Arial"/>
                <w:color w:val="000000" w:themeColor="text1"/>
                <w:szCs w:val="16"/>
              </w:rPr>
              <w:t>85.29%</w:t>
            </w:r>
          </w:p>
        </w:tc>
        <w:tc>
          <w:tcPr>
            <w:tcW w:w="875" w:type="pct"/>
            <w:tcBorders>
              <w:bottom w:val="single" w:sz="4" w:space="0" w:color="auto"/>
            </w:tcBorders>
            <w:shd w:val="clear" w:color="auto" w:fill="auto"/>
            <w:vAlign w:val="center"/>
          </w:tcPr>
          <w:p w14:paraId="09A5B408" w14:textId="4B0EB3D1" w:rsidR="008E31C4" w:rsidRPr="005C29F8" w:rsidRDefault="002B7490">
            <w:pPr>
              <w:jc w:val="center"/>
              <w:rPr>
                <w:rFonts w:cs="Arial"/>
                <w:color w:val="000000" w:themeColor="text1"/>
                <w:szCs w:val="16"/>
              </w:rPr>
            </w:pPr>
            <w:r w:rsidRPr="005C29F8">
              <w:rPr>
                <w:rFonts w:cs="Arial"/>
                <w:color w:val="000000" w:themeColor="text1"/>
                <w:szCs w:val="16"/>
              </w:rPr>
              <w:t>82.87%</w:t>
            </w:r>
          </w:p>
        </w:tc>
      </w:tr>
    </w:tbl>
    <w:p w14:paraId="2B5B5701" w14:textId="2BB5836C" w:rsidR="00DA3157" w:rsidRPr="005C29F8" w:rsidRDefault="00DA3157">
      <w:pPr>
        <w:rPr>
          <w:color w:val="000000" w:themeColor="text1"/>
        </w:rPr>
      </w:pPr>
    </w:p>
    <w:p w14:paraId="03422290" w14:textId="77777777" w:rsidR="00BB79DA" w:rsidRPr="005C29F8" w:rsidRDefault="00BB79DA">
      <w:pPr>
        <w:rPr>
          <w:color w:val="000000" w:themeColor="text1"/>
        </w:rPr>
      </w:pPr>
    </w:p>
    <w:p w14:paraId="287DA72B" w14:textId="79A7F54E" w:rsidR="008E31C4" w:rsidRPr="005C29F8" w:rsidRDefault="008E31C4" w:rsidP="004369B2">
      <w:pPr>
        <w:rPr>
          <w:color w:val="000000" w:themeColor="text1"/>
        </w:rPr>
      </w:pPr>
      <w:r w:rsidRPr="005C29F8">
        <w:rPr>
          <w:b/>
          <w:color w:val="000000" w:themeColor="text1"/>
        </w:rPr>
        <w:t>Targets</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2"/>
      </w:tblPr>
      <w:tblGrid>
        <w:gridCol w:w="895"/>
        <w:gridCol w:w="1620"/>
        <w:gridCol w:w="1171"/>
      </w:tblGrid>
      <w:tr w:rsidR="00441578" w:rsidRPr="005C29F8" w14:paraId="7594DC8D" w14:textId="70CB40BC" w:rsidTr="0033429D">
        <w:trPr>
          <w:trHeight w:val="350"/>
          <w:tblHeader/>
        </w:trPr>
        <w:tc>
          <w:tcPr>
            <w:tcW w:w="1214" w:type="pct"/>
            <w:tcBorders>
              <w:bottom w:val="single" w:sz="4" w:space="0" w:color="auto"/>
            </w:tcBorders>
            <w:shd w:val="clear" w:color="auto" w:fill="auto"/>
          </w:tcPr>
          <w:p w14:paraId="7782F422" w14:textId="77777777" w:rsidR="00441578" w:rsidRPr="00D1596B" w:rsidRDefault="00441578" w:rsidP="004369B2">
            <w:pPr>
              <w:jc w:val="center"/>
              <w:rPr>
                <w:b/>
                <w:color w:val="000000" w:themeColor="text1"/>
              </w:rPr>
            </w:pPr>
            <w:r w:rsidRPr="00D56EC4">
              <w:rPr>
                <w:b/>
                <w:color w:val="000000" w:themeColor="text1"/>
              </w:rPr>
              <w:t>FFY</w:t>
            </w:r>
          </w:p>
        </w:tc>
        <w:tc>
          <w:tcPr>
            <w:tcW w:w="2198" w:type="pct"/>
            <w:shd w:val="clear" w:color="auto" w:fill="auto"/>
          </w:tcPr>
          <w:p w14:paraId="0940A41B" w14:textId="1CD12010" w:rsidR="00441578" w:rsidRPr="0033429D" w:rsidRDefault="00441578" w:rsidP="0087456C">
            <w:pPr>
              <w:jc w:val="center"/>
              <w:rPr>
                <w:b/>
                <w:color w:val="000000" w:themeColor="text1"/>
              </w:rPr>
            </w:pPr>
            <w:r w:rsidRPr="0033429D">
              <w:rPr>
                <w:b/>
                <w:color w:val="000000" w:themeColor="text1"/>
              </w:rPr>
              <w:t>2019 (low)</w:t>
            </w:r>
          </w:p>
        </w:tc>
        <w:tc>
          <w:tcPr>
            <w:tcW w:w="1588" w:type="pct"/>
            <w:shd w:val="clear" w:color="auto" w:fill="auto"/>
          </w:tcPr>
          <w:p w14:paraId="75DCC28C" w14:textId="1DC7CE7F" w:rsidR="00441578" w:rsidRPr="0033429D" w:rsidRDefault="00441578" w:rsidP="004369B2">
            <w:pPr>
              <w:jc w:val="center"/>
              <w:rPr>
                <w:b/>
                <w:color w:val="000000" w:themeColor="text1"/>
              </w:rPr>
            </w:pPr>
            <w:r w:rsidRPr="0033429D">
              <w:rPr>
                <w:b/>
                <w:color w:val="000000" w:themeColor="text1"/>
              </w:rPr>
              <w:t>2019 (high)</w:t>
            </w:r>
          </w:p>
        </w:tc>
      </w:tr>
      <w:tr w:rsidR="00441578" w:rsidRPr="005C29F8" w14:paraId="0CEA7EF8" w14:textId="7047A0B7" w:rsidTr="00441578">
        <w:trPr>
          <w:trHeight w:val="357"/>
        </w:trPr>
        <w:tc>
          <w:tcPr>
            <w:tcW w:w="1214" w:type="pct"/>
            <w:shd w:val="clear" w:color="auto" w:fill="auto"/>
          </w:tcPr>
          <w:p w14:paraId="6ADDF8BE" w14:textId="53A962ED" w:rsidR="00441578" w:rsidRPr="005C29F8" w:rsidRDefault="00441578" w:rsidP="0087456C">
            <w:pPr>
              <w:rPr>
                <w:rFonts w:cs="Arial"/>
                <w:color w:val="000000" w:themeColor="text1"/>
                <w:szCs w:val="16"/>
              </w:rPr>
            </w:pPr>
            <w:r w:rsidRPr="005C29F8">
              <w:rPr>
                <w:rFonts w:cs="Arial"/>
                <w:color w:val="000000" w:themeColor="text1"/>
                <w:szCs w:val="16"/>
              </w:rPr>
              <w:t>Target</w:t>
            </w:r>
          </w:p>
        </w:tc>
        <w:tc>
          <w:tcPr>
            <w:tcW w:w="2198" w:type="pct"/>
            <w:shd w:val="clear" w:color="auto" w:fill="auto"/>
            <w:vAlign w:val="center"/>
          </w:tcPr>
          <w:p w14:paraId="609C8409" w14:textId="492FAFE6" w:rsidR="00441578" w:rsidRPr="005C29F8" w:rsidRDefault="00441578" w:rsidP="00A018D4">
            <w:pPr>
              <w:jc w:val="center"/>
              <w:rPr>
                <w:rFonts w:cs="Arial"/>
                <w:color w:val="000000" w:themeColor="text1"/>
                <w:szCs w:val="16"/>
              </w:rPr>
            </w:pPr>
            <w:r w:rsidRPr="005C29F8">
              <w:rPr>
                <w:rFonts w:cs="Arial"/>
                <w:color w:val="000000" w:themeColor="text1"/>
                <w:szCs w:val="16"/>
              </w:rPr>
              <w:t>77.00%</w:t>
            </w:r>
          </w:p>
        </w:tc>
        <w:tc>
          <w:tcPr>
            <w:tcW w:w="1588" w:type="pct"/>
            <w:shd w:val="clear" w:color="auto" w:fill="auto"/>
            <w:vAlign w:val="center"/>
          </w:tcPr>
          <w:p w14:paraId="6F824693" w14:textId="4FFC86A6" w:rsidR="00441578" w:rsidRPr="005C29F8" w:rsidRDefault="00441578" w:rsidP="00A018D4">
            <w:pPr>
              <w:jc w:val="center"/>
              <w:rPr>
                <w:rFonts w:cs="Arial"/>
                <w:color w:val="000000" w:themeColor="text1"/>
                <w:szCs w:val="16"/>
              </w:rPr>
            </w:pPr>
            <w:r w:rsidRPr="005C29F8">
              <w:rPr>
                <w:rFonts w:cs="Arial"/>
                <w:color w:val="000000" w:themeColor="text1"/>
                <w:szCs w:val="16"/>
              </w:rPr>
              <w:t>87.00%</w:t>
            </w:r>
          </w:p>
        </w:tc>
      </w:tr>
    </w:tbl>
    <w:p w14:paraId="5643C07C" w14:textId="77777777" w:rsidR="00CD061F" w:rsidRPr="005C29F8" w:rsidRDefault="00CD061F" w:rsidP="004369B2">
      <w:pPr>
        <w:rPr>
          <w:color w:val="000000" w:themeColor="text1"/>
        </w:rPr>
      </w:pPr>
    </w:p>
    <w:p w14:paraId="0068FA77" w14:textId="5DFD6F89" w:rsidR="00BB79DA" w:rsidRPr="005C29F8" w:rsidRDefault="008E31C4" w:rsidP="00326814">
      <w:pPr>
        <w:rPr>
          <w:color w:val="000000" w:themeColor="text1"/>
        </w:rPr>
      </w:pPr>
      <w:r w:rsidRPr="005C29F8">
        <w:rPr>
          <w:b/>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2"/>
      </w:tblPr>
      <w:tblGrid>
        <w:gridCol w:w="1233"/>
        <w:gridCol w:w="1232"/>
        <w:gridCol w:w="1204"/>
        <w:gridCol w:w="956"/>
        <w:gridCol w:w="1401"/>
        <w:gridCol w:w="190"/>
        <w:gridCol w:w="1331"/>
        <w:gridCol w:w="1109"/>
        <w:gridCol w:w="1083"/>
        <w:gridCol w:w="1051"/>
      </w:tblGrid>
      <w:tr w:rsidR="005C29F8" w:rsidRPr="005C29F8" w14:paraId="5D1C0564" w14:textId="77777777" w:rsidTr="00326814">
        <w:trPr>
          <w:trHeight w:val="354"/>
          <w:tblHeader/>
        </w:trPr>
        <w:tc>
          <w:tcPr>
            <w:tcW w:w="571" w:type="pct"/>
            <w:shd w:val="clear" w:color="auto" w:fill="auto"/>
          </w:tcPr>
          <w:p w14:paraId="0EA7D355" w14:textId="554AED11" w:rsidR="0087456C" w:rsidRPr="005C29F8" w:rsidRDefault="0087456C" w:rsidP="00ED71A6">
            <w:pPr>
              <w:jc w:val="center"/>
              <w:rPr>
                <w:rFonts w:cs="Arial"/>
                <w:b/>
                <w:color w:val="000000" w:themeColor="text1"/>
                <w:szCs w:val="16"/>
              </w:rPr>
            </w:pPr>
            <w:r w:rsidRPr="005C29F8">
              <w:rPr>
                <w:rFonts w:cs="Arial"/>
                <w:b/>
                <w:color w:val="000000" w:themeColor="text1"/>
                <w:szCs w:val="16"/>
              </w:rPr>
              <w:t>2.1.a.i Mediation agreements related to due process complaints</w:t>
            </w:r>
          </w:p>
        </w:tc>
        <w:tc>
          <w:tcPr>
            <w:tcW w:w="571" w:type="pct"/>
            <w:shd w:val="clear" w:color="auto" w:fill="auto"/>
            <w:vAlign w:val="bottom"/>
          </w:tcPr>
          <w:p w14:paraId="2A61707E" w14:textId="546E4FEF" w:rsidR="0087456C" w:rsidRPr="005C29F8" w:rsidRDefault="0087456C" w:rsidP="00ED71A6">
            <w:pPr>
              <w:jc w:val="center"/>
              <w:rPr>
                <w:rFonts w:cs="Arial"/>
                <w:b/>
                <w:color w:val="000000" w:themeColor="text1"/>
                <w:szCs w:val="16"/>
              </w:rPr>
            </w:pPr>
            <w:r w:rsidRPr="005C29F8">
              <w:rPr>
                <w:rFonts w:cs="Arial"/>
                <w:b/>
                <w:color w:val="000000" w:themeColor="text1"/>
                <w:szCs w:val="16"/>
              </w:rPr>
              <w:t>2.1.b.i Mediation agreements not related to due process complaints</w:t>
            </w:r>
          </w:p>
        </w:tc>
        <w:tc>
          <w:tcPr>
            <w:tcW w:w="558" w:type="pct"/>
            <w:shd w:val="clear" w:color="auto" w:fill="auto"/>
            <w:vAlign w:val="bottom"/>
          </w:tcPr>
          <w:p w14:paraId="77256D2F" w14:textId="63D373D6" w:rsidR="0087456C" w:rsidRPr="005C29F8" w:rsidRDefault="0087456C" w:rsidP="00ED71A6">
            <w:pPr>
              <w:jc w:val="center"/>
              <w:rPr>
                <w:rFonts w:cs="Arial"/>
                <w:b/>
                <w:color w:val="000000" w:themeColor="text1"/>
                <w:szCs w:val="16"/>
              </w:rPr>
            </w:pPr>
            <w:r w:rsidRPr="005C29F8">
              <w:rPr>
                <w:rFonts w:cs="Arial"/>
                <w:b/>
                <w:color w:val="000000" w:themeColor="text1"/>
                <w:szCs w:val="16"/>
              </w:rPr>
              <w:t>2.1 Number of mediations held</w:t>
            </w:r>
          </w:p>
        </w:tc>
        <w:tc>
          <w:tcPr>
            <w:tcW w:w="443" w:type="pct"/>
            <w:shd w:val="clear" w:color="auto" w:fill="auto"/>
            <w:vAlign w:val="bottom"/>
          </w:tcPr>
          <w:p w14:paraId="71DA94FD" w14:textId="5EACCD09" w:rsidR="0087456C" w:rsidRPr="005C29F8" w:rsidRDefault="0087456C" w:rsidP="00ED71A6">
            <w:pPr>
              <w:jc w:val="center"/>
              <w:rPr>
                <w:rFonts w:cs="Arial"/>
                <w:b/>
                <w:color w:val="000000" w:themeColor="text1"/>
                <w:szCs w:val="16"/>
              </w:rPr>
            </w:pPr>
            <w:r w:rsidRPr="005C29F8">
              <w:rPr>
                <w:rFonts w:cs="Arial"/>
                <w:b/>
                <w:color w:val="000000" w:themeColor="text1"/>
                <w:szCs w:val="16"/>
              </w:rPr>
              <w:t>FFY 2018 Data</w:t>
            </w:r>
          </w:p>
        </w:tc>
        <w:tc>
          <w:tcPr>
            <w:tcW w:w="737" w:type="pct"/>
            <w:gridSpan w:val="2"/>
            <w:shd w:val="clear" w:color="auto" w:fill="auto"/>
            <w:vAlign w:val="bottom"/>
          </w:tcPr>
          <w:p w14:paraId="5E2122E9" w14:textId="2642AC2F" w:rsidR="0087456C" w:rsidRPr="005C29F8" w:rsidRDefault="0087456C" w:rsidP="00ED71A6">
            <w:pPr>
              <w:jc w:val="center"/>
              <w:rPr>
                <w:rFonts w:cs="Arial"/>
                <w:b/>
                <w:color w:val="000000" w:themeColor="text1"/>
                <w:szCs w:val="16"/>
              </w:rPr>
            </w:pPr>
            <w:r w:rsidRPr="005C29F8">
              <w:rPr>
                <w:rFonts w:cs="Arial"/>
                <w:b/>
                <w:color w:val="000000" w:themeColor="text1"/>
                <w:szCs w:val="16"/>
              </w:rPr>
              <w:t>FFY 2019 Target (low)</w:t>
            </w:r>
          </w:p>
        </w:tc>
        <w:tc>
          <w:tcPr>
            <w:tcW w:w="617" w:type="pct"/>
            <w:shd w:val="clear" w:color="auto" w:fill="auto"/>
            <w:vAlign w:val="bottom"/>
          </w:tcPr>
          <w:p w14:paraId="6992A3EC" w14:textId="66D45FB6" w:rsidR="0087456C" w:rsidRPr="005C29F8" w:rsidRDefault="0087456C" w:rsidP="00ED71A6">
            <w:pPr>
              <w:jc w:val="center"/>
              <w:rPr>
                <w:rFonts w:cs="Arial"/>
                <w:b/>
                <w:color w:val="000000" w:themeColor="text1"/>
                <w:szCs w:val="16"/>
              </w:rPr>
            </w:pPr>
            <w:r w:rsidRPr="005C29F8">
              <w:rPr>
                <w:rFonts w:cs="Arial"/>
                <w:b/>
                <w:color w:val="000000" w:themeColor="text1"/>
                <w:szCs w:val="16"/>
              </w:rPr>
              <w:t>FFY 2019 Target (high)</w:t>
            </w:r>
          </w:p>
        </w:tc>
        <w:tc>
          <w:tcPr>
            <w:tcW w:w="514" w:type="pct"/>
            <w:shd w:val="clear" w:color="auto" w:fill="auto"/>
            <w:vAlign w:val="bottom"/>
          </w:tcPr>
          <w:p w14:paraId="39A771DF" w14:textId="7C68C4BF" w:rsidR="0087456C" w:rsidRPr="005C29F8" w:rsidRDefault="0087456C" w:rsidP="00ED71A6">
            <w:pPr>
              <w:jc w:val="center"/>
              <w:rPr>
                <w:rFonts w:cs="Arial"/>
                <w:b/>
                <w:color w:val="000000" w:themeColor="text1"/>
                <w:szCs w:val="16"/>
              </w:rPr>
            </w:pPr>
            <w:r w:rsidRPr="005C29F8">
              <w:rPr>
                <w:rFonts w:cs="Arial"/>
                <w:b/>
                <w:color w:val="000000" w:themeColor="text1"/>
                <w:szCs w:val="16"/>
              </w:rPr>
              <w:t>FFY 2019 Data</w:t>
            </w:r>
          </w:p>
        </w:tc>
        <w:tc>
          <w:tcPr>
            <w:tcW w:w="502" w:type="pct"/>
            <w:shd w:val="clear" w:color="auto" w:fill="auto"/>
            <w:vAlign w:val="bottom"/>
          </w:tcPr>
          <w:p w14:paraId="67C84962" w14:textId="77777777" w:rsidR="0087456C" w:rsidRPr="005C29F8" w:rsidRDefault="0087456C" w:rsidP="00ED71A6">
            <w:pPr>
              <w:jc w:val="center"/>
              <w:rPr>
                <w:rFonts w:cs="Arial"/>
                <w:b/>
                <w:color w:val="000000" w:themeColor="text1"/>
                <w:szCs w:val="16"/>
              </w:rPr>
            </w:pPr>
            <w:r w:rsidRPr="005C29F8">
              <w:rPr>
                <w:rFonts w:cs="Arial"/>
                <w:b/>
                <w:color w:val="000000" w:themeColor="text1"/>
                <w:szCs w:val="16"/>
              </w:rPr>
              <w:t>Status</w:t>
            </w:r>
          </w:p>
        </w:tc>
        <w:tc>
          <w:tcPr>
            <w:tcW w:w="487" w:type="pct"/>
            <w:shd w:val="clear" w:color="auto" w:fill="auto"/>
            <w:vAlign w:val="bottom"/>
          </w:tcPr>
          <w:p w14:paraId="09B4187C" w14:textId="77777777" w:rsidR="0087456C" w:rsidRPr="005C29F8" w:rsidRDefault="0087456C" w:rsidP="00ED71A6">
            <w:pPr>
              <w:jc w:val="center"/>
              <w:rPr>
                <w:rFonts w:cs="Arial"/>
                <w:b/>
                <w:color w:val="000000" w:themeColor="text1"/>
                <w:szCs w:val="16"/>
              </w:rPr>
            </w:pPr>
            <w:r w:rsidRPr="005C29F8">
              <w:rPr>
                <w:rFonts w:cs="Arial"/>
                <w:b/>
                <w:color w:val="000000" w:themeColor="text1"/>
                <w:szCs w:val="16"/>
              </w:rPr>
              <w:t>Slippage</w:t>
            </w:r>
          </w:p>
        </w:tc>
      </w:tr>
      <w:tr w:rsidR="005C29F8" w:rsidRPr="005C29F8" w14:paraId="23776136" w14:textId="77777777" w:rsidTr="00326814">
        <w:trPr>
          <w:trHeight w:val="361"/>
        </w:trPr>
        <w:tc>
          <w:tcPr>
            <w:tcW w:w="571" w:type="pct"/>
            <w:shd w:val="clear" w:color="auto" w:fill="auto"/>
          </w:tcPr>
          <w:p w14:paraId="11F3AAAC" w14:textId="18A50A23" w:rsidR="00ED71A6" w:rsidRPr="005C29F8" w:rsidRDefault="002B7490" w:rsidP="00A018D4">
            <w:pPr>
              <w:jc w:val="center"/>
              <w:rPr>
                <w:rFonts w:cs="Arial"/>
                <w:color w:val="000000" w:themeColor="text1"/>
                <w:szCs w:val="16"/>
              </w:rPr>
            </w:pPr>
            <w:r w:rsidRPr="005C29F8">
              <w:rPr>
                <w:rFonts w:cs="Arial"/>
                <w:color w:val="000000" w:themeColor="text1"/>
                <w:szCs w:val="16"/>
              </w:rPr>
              <w:t>8</w:t>
            </w:r>
          </w:p>
        </w:tc>
        <w:tc>
          <w:tcPr>
            <w:tcW w:w="571" w:type="pct"/>
            <w:shd w:val="clear" w:color="auto" w:fill="auto"/>
          </w:tcPr>
          <w:p w14:paraId="1707BDF3" w14:textId="6DDB1576" w:rsidR="00ED71A6" w:rsidRPr="005C29F8" w:rsidRDefault="002B7490" w:rsidP="00A018D4">
            <w:pPr>
              <w:jc w:val="center"/>
              <w:rPr>
                <w:rFonts w:cs="Arial"/>
                <w:color w:val="000000" w:themeColor="text1"/>
                <w:szCs w:val="16"/>
              </w:rPr>
            </w:pPr>
            <w:r w:rsidRPr="005C29F8">
              <w:rPr>
                <w:rFonts w:cs="Arial"/>
                <w:color w:val="000000" w:themeColor="text1"/>
                <w:szCs w:val="16"/>
              </w:rPr>
              <w:t>404</w:t>
            </w:r>
          </w:p>
        </w:tc>
        <w:tc>
          <w:tcPr>
            <w:tcW w:w="558" w:type="pct"/>
            <w:shd w:val="clear" w:color="auto" w:fill="auto"/>
            <w:vAlign w:val="center"/>
          </w:tcPr>
          <w:p w14:paraId="1F0EC6FB" w14:textId="7B32186B" w:rsidR="00ED71A6" w:rsidRPr="005C29F8" w:rsidRDefault="002B7490" w:rsidP="00A018D4">
            <w:pPr>
              <w:jc w:val="center"/>
              <w:rPr>
                <w:rFonts w:cs="Arial"/>
                <w:color w:val="000000" w:themeColor="text1"/>
                <w:szCs w:val="16"/>
              </w:rPr>
            </w:pPr>
            <w:r w:rsidRPr="005C29F8">
              <w:rPr>
                <w:rFonts w:cs="Arial"/>
                <w:color w:val="000000" w:themeColor="text1"/>
                <w:szCs w:val="16"/>
              </w:rPr>
              <w:t>495</w:t>
            </w:r>
          </w:p>
        </w:tc>
        <w:tc>
          <w:tcPr>
            <w:tcW w:w="443" w:type="pct"/>
            <w:shd w:val="clear" w:color="auto" w:fill="auto"/>
          </w:tcPr>
          <w:p w14:paraId="14F44B66" w14:textId="2D578106" w:rsidR="00ED71A6" w:rsidRPr="005C29F8" w:rsidRDefault="002B7490" w:rsidP="00A018D4">
            <w:pPr>
              <w:jc w:val="center"/>
              <w:rPr>
                <w:rFonts w:cs="Arial"/>
                <w:color w:val="000000" w:themeColor="text1"/>
                <w:szCs w:val="16"/>
              </w:rPr>
            </w:pPr>
            <w:r w:rsidRPr="005C29F8">
              <w:rPr>
                <w:rFonts w:cs="Arial"/>
                <w:color w:val="000000" w:themeColor="text1"/>
                <w:szCs w:val="16"/>
              </w:rPr>
              <w:t>82.87%</w:t>
            </w:r>
          </w:p>
        </w:tc>
        <w:tc>
          <w:tcPr>
            <w:tcW w:w="649" w:type="pct"/>
            <w:shd w:val="clear" w:color="auto" w:fill="auto"/>
          </w:tcPr>
          <w:p w14:paraId="7AFD5514" w14:textId="2BA34E2F" w:rsidR="00ED71A6" w:rsidRPr="005C29F8" w:rsidRDefault="002B7490" w:rsidP="00A018D4">
            <w:pPr>
              <w:jc w:val="center"/>
              <w:rPr>
                <w:rFonts w:cs="Arial"/>
                <w:color w:val="000000" w:themeColor="text1"/>
                <w:szCs w:val="16"/>
              </w:rPr>
            </w:pPr>
            <w:r w:rsidRPr="005C29F8">
              <w:rPr>
                <w:rFonts w:cs="Arial"/>
                <w:color w:val="000000" w:themeColor="text1"/>
                <w:szCs w:val="16"/>
              </w:rPr>
              <w:t>77.00%</w:t>
            </w:r>
          </w:p>
        </w:tc>
        <w:tc>
          <w:tcPr>
            <w:tcW w:w="705" w:type="pct"/>
            <w:gridSpan w:val="2"/>
            <w:shd w:val="clear" w:color="auto" w:fill="auto"/>
          </w:tcPr>
          <w:p w14:paraId="63B5D5FA" w14:textId="35BBEC35" w:rsidR="00ED71A6" w:rsidRPr="005C29F8" w:rsidRDefault="002B7490" w:rsidP="00A018D4">
            <w:pPr>
              <w:jc w:val="center"/>
              <w:rPr>
                <w:rFonts w:cs="Arial"/>
                <w:color w:val="000000" w:themeColor="text1"/>
                <w:szCs w:val="16"/>
              </w:rPr>
            </w:pPr>
            <w:r w:rsidRPr="005C29F8">
              <w:rPr>
                <w:rFonts w:cs="Arial"/>
                <w:color w:val="000000" w:themeColor="text1"/>
                <w:szCs w:val="16"/>
              </w:rPr>
              <w:t>87.00%</w:t>
            </w:r>
          </w:p>
        </w:tc>
        <w:tc>
          <w:tcPr>
            <w:tcW w:w="514" w:type="pct"/>
            <w:shd w:val="clear" w:color="auto" w:fill="auto"/>
          </w:tcPr>
          <w:p w14:paraId="51DEBF72" w14:textId="0469C535" w:rsidR="00ED71A6" w:rsidRPr="005C29F8" w:rsidRDefault="002B7490" w:rsidP="00A018D4">
            <w:pPr>
              <w:jc w:val="center"/>
              <w:rPr>
                <w:rFonts w:cs="Arial"/>
                <w:color w:val="000000" w:themeColor="text1"/>
                <w:szCs w:val="16"/>
              </w:rPr>
            </w:pPr>
            <w:r w:rsidRPr="005C29F8">
              <w:rPr>
                <w:rFonts w:cs="Arial"/>
                <w:color w:val="000000" w:themeColor="text1"/>
                <w:szCs w:val="16"/>
              </w:rPr>
              <w:t>83.23%</w:t>
            </w:r>
          </w:p>
        </w:tc>
        <w:tc>
          <w:tcPr>
            <w:tcW w:w="502" w:type="pct"/>
            <w:shd w:val="clear" w:color="auto" w:fill="auto"/>
          </w:tcPr>
          <w:p w14:paraId="69635A45" w14:textId="0C4EC3A8" w:rsidR="00ED71A6" w:rsidRPr="005C29F8" w:rsidRDefault="002B7490" w:rsidP="00A018D4">
            <w:pPr>
              <w:jc w:val="center"/>
              <w:rPr>
                <w:rFonts w:cs="Arial"/>
                <w:color w:val="000000" w:themeColor="text1"/>
                <w:szCs w:val="16"/>
              </w:rPr>
            </w:pPr>
            <w:r w:rsidRPr="005C29F8">
              <w:rPr>
                <w:rFonts w:cs="Arial"/>
                <w:color w:val="000000" w:themeColor="text1"/>
                <w:szCs w:val="16"/>
              </w:rPr>
              <w:t>Met Target</w:t>
            </w:r>
          </w:p>
        </w:tc>
        <w:tc>
          <w:tcPr>
            <w:tcW w:w="487" w:type="pct"/>
            <w:shd w:val="clear" w:color="auto" w:fill="auto"/>
          </w:tcPr>
          <w:p w14:paraId="238AEB73" w14:textId="674F2119" w:rsidR="00ED71A6" w:rsidRPr="005C29F8" w:rsidRDefault="002B7490" w:rsidP="00A018D4">
            <w:pPr>
              <w:jc w:val="center"/>
              <w:rPr>
                <w:rFonts w:cs="Arial"/>
                <w:color w:val="000000" w:themeColor="text1"/>
                <w:szCs w:val="16"/>
              </w:rPr>
            </w:pPr>
            <w:r w:rsidRPr="005C29F8">
              <w:rPr>
                <w:rFonts w:cs="Arial"/>
                <w:color w:val="000000" w:themeColor="text1"/>
                <w:szCs w:val="16"/>
              </w:rPr>
              <w:t>No Slippage</w:t>
            </w:r>
          </w:p>
        </w:tc>
      </w:tr>
    </w:tbl>
    <w:p w14:paraId="7653BA1E" w14:textId="77777777" w:rsidR="00913A33" w:rsidRPr="005C29F8" w:rsidRDefault="00913A33" w:rsidP="00913A33">
      <w:pPr>
        <w:rPr>
          <w:rFonts w:cs="Arial"/>
          <w:b/>
          <w:color w:val="000000" w:themeColor="text1"/>
          <w:szCs w:val="16"/>
        </w:rPr>
      </w:pPr>
      <w:r w:rsidRPr="005C29F8">
        <w:rPr>
          <w:rFonts w:cs="Arial"/>
          <w:b/>
          <w:color w:val="000000" w:themeColor="text1"/>
          <w:szCs w:val="16"/>
        </w:rPr>
        <w:t>Provide additional information about this indicator (optional)</w:t>
      </w:r>
    </w:p>
    <w:p w14:paraId="609BD927" w14:textId="47FAE461" w:rsidR="00293C7E" w:rsidRPr="005C29F8" w:rsidRDefault="00293C7E" w:rsidP="007D435F">
      <w:pPr>
        <w:rPr>
          <w:rFonts w:cs="Arial"/>
          <w:color w:val="000000" w:themeColor="text1"/>
          <w:szCs w:val="16"/>
        </w:rPr>
      </w:pPr>
    </w:p>
    <w:p w14:paraId="01544738" w14:textId="0D3ECCB4" w:rsidR="00293C7E" w:rsidRPr="0033429D" w:rsidRDefault="001C46DC" w:rsidP="00123D76">
      <w:pPr>
        <w:pStyle w:val="Heading2"/>
      </w:pPr>
      <w:r w:rsidRPr="0033429D">
        <w:t>16</w:t>
      </w:r>
      <w:r w:rsidR="001D508D" w:rsidRPr="0033429D">
        <w:t xml:space="preserve"> </w:t>
      </w:r>
      <w:r w:rsidRPr="0033429D">
        <w:t xml:space="preserve">- </w:t>
      </w:r>
      <w:r w:rsidR="00293C7E" w:rsidRPr="0033429D">
        <w:t>Prior FFY Required Actions</w:t>
      </w:r>
    </w:p>
    <w:p w14:paraId="7049B053" w14:textId="64040937" w:rsidR="009F69E7" w:rsidRPr="005C29F8" w:rsidRDefault="002B7490" w:rsidP="00293C7E">
      <w:pPr>
        <w:rPr>
          <w:rFonts w:cs="Arial"/>
          <w:color w:val="000000" w:themeColor="text1"/>
          <w:szCs w:val="16"/>
        </w:rPr>
      </w:pPr>
      <w:r w:rsidRPr="005C29F8">
        <w:rPr>
          <w:rFonts w:cs="Arial"/>
          <w:color w:val="000000" w:themeColor="text1"/>
          <w:szCs w:val="16"/>
        </w:rPr>
        <w:t>None</w:t>
      </w:r>
    </w:p>
    <w:p w14:paraId="169C5129" w14:textId="3D3FC1C0" w:rsidR="00913A33" w:rsidRPr="0033429D" w:rsidRDefault="001C46DC" w:rsidP="00123D76">
      <w:pPr>
        <w:pStyle w:val="Heading2"/>
      </w:pPr>
      <w:r w:rsidRPr="0033429D">
        <w:t>16 - OSEP Response</w:t>
      </w:r>
    </w:p>
    <w:p w14:paraId="5F7A0890" w14:textId="4F76A7D5" w:rsidR="00293C7E" w:rsidRPr="005C29F8" w:rsidRDefault="00293C7E" w:rsidP="001F692C">
      <w:pPr>
        <w:rPr>
          <w:rFonts w:cs="Arial"/>
          <w:color w:val="000000" w:themeColor="text1"/>
          <w:szCs w:val="16"/>
        </w:rPr>
      </w:pPr>
    </w:p>
    <w:p w14:paraId="55A8CDDB" w14:textId="51F8AA9B" w:rsidR="00913A33" w:rsidRPr="0033429D" w:rsidRDefault="001C46DC" w:rsidP="00123D76">
      <w:pPr>
        <w:pStyle w:val="Heading2"/>
      </w:pPr>
      <w:r w:rsidRPr="0033429D">
        <w:t>16 - Required Actions</w:t>
      </w:r>
    </w:p>
    <w:p w14:paraId="72813E4E" w14:textId="532E1944" w:rsidR="00293C7E" w:rsidRPr="005C29F8" w:rsidRDefault="00293C7E" w:rsidP="001F692C">
      <w:pPr>
        <w:rPr>
          <w:rFonts w:cs="Arial"/>
          <w:color w:val="000000" w:themeColor="text1"/>
          <w:szCs w:val="16"/>
        </w:rPr>
      </w:pPr>
    </w:p>
    <w:p w14:paraId="79966887" w14:textId="11440645" w:rsidR="00755AF7" w:rsidRPr="005C29F8" w:rsidRDefault="00755AF7">
      <w:pPr>
        <w:spacing w:before="0" w:after="200" w:line="276" w:lineRule="auto"/>
        <w:rPr>
          <w:rFonts w:cs="Arial"/>
          <w:color w:val="000000" w:themeColor="text1"/>
          <w:szCs w:val="16"/>
        </w:rPr>
      </w:pPr>
    </w:p>
    <w:p w14:paraId="54E94584" w14:textId="77777777" w:rsidR="00066BAA" w:rsidRPr="005C29F8" w:rsidRDefault="00066BAA">
      <w:pPr>
        <w:spacing w:before="0" w:after="200" w:line="276" w:lineRule="auto"/>
        <w:rPr>
          <w:rFonts w:eastAsiaTheme="majorEastAsia" w:cstheme="majorBidi"/>
          <w:b/>
          <w:bCs/>
          <w:color w:val="000000" w:themeColor="text1"/>
          <w:sz w:val="20"/>
          <w:szCs w:val="28"/>
        </w:rPr>
      </w:pPr>
      <w:r w:rsidRPr="005C29F8">
        <w:rPr>
          <w:color w:val="000000" w:themeColor="text1"/>
        </w:rPr>
        <w:br w:type="page"/>
      </w:r>
    </w:p>
    <w:p w14:paraId="47A15380" w14:textId="2BFE46A7" w:rsidR="00251CC0" w:rsidRPr="005C29F8" w:rsidRDefault="00755AF7" w:rsidP="00D01281">
      <w:pPr>
        <w:pStyle w:val="Heading1"/>
        <w:rPr>
          <w:color w:val="000000" w:themeColor="text1"/>
        </w:rPr>
      </w:pPr>
      <w:r w:rsidRPr="005C29F8">
        <w:rPr>
          <w:color w:val="000000" w:themeColor="text1"/>
        </w:rPr>
        <w:lastRenderedPageBreak/>
        <w:t>Certification</w:t>
      </w:r>
    </w:p>
    <w:p w14:paraId="49BAFEB2" w14:textId="460D7FCE" w:rsidR="00EC1064" w:rsidRPr="005C29F8" w:rsidRDefault="00EC1064" w:rsidP="00A018D4">
      <w:pPr>
        <w:rPr>
          <w:color w:val="000000" w:themeColor="text1"/>
          <w:szCs w:val="20"/>
        </w:rPr>
      </w:pPr>
      <w:r w:rsidRPr="005C29F8">
        <w:rPr>
          <w:b/>
          <w:color w:val="000000" w:themeColor="text1"/>
          <w:sz w:val="20"/>
          <w:szCs w:val="20"/>
        </w:rPr>
        <w:t>Instructions</w:t>
      </w:r>
    </w:p>
    <w:p w14:paraId="1D3FABB8" w14:textId="49984077" w:rsidR="00EC1064" w:rsidRPr="005C29F8" w:rsidRDefault="00C723F9" w:rsidP="00EC1064">
      <w:pPr>
        <w:autoSpaceDE w:val="0"/>
        <w:autoSpaceDN w:val="0"/>
        <w:adjustRightInd w:val="0"/>
        <w:rPr>
          <w:rFonts w:cs="Arial"/>
          <w:b/>
          <w:bCs/>
          <w:color w:val="000000" w:themeColor="text1"/>
          <w:szCs w:val="16"/>
        </w:rPr>
      </w:pPr>
      <w:r w:rsidRPr="005C29F8">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5C29F8" w:rsidRDefault="00EC1064" w:rsidP="00EE0028">
      <w:pPr>
        <w:pStyle w:val="NoSpacing"/>
        <w:rPr>
          <w:rFonts w:ascii="Arial" w:hAnsi="Arial" w:cs="Arial"/>
          <w:b/>
          <w:bCs/>
          <w:color w:val="000000" w:themeColor="text1"/>
          <w:sz w:val="16"/>
          <w:szCs w:val="16"/>
        </w:rPr>
      </w:pPr>
      <w:r w:rsidRPr="005C29F8">
        <w:rPr>
          <w:rFonts w:ascii="Arial" w:hAnsi="Arial" w:cs="Arial"/>
          <w:b/>
          <w:bCs/>
          <w:color w:val="000000" w:themeColor="text1"/>
          <w:sz w:val="16"/>
          <w:szCs w:val="16"/>
        </w:rPr>
        <w:t>Certify</w:t>
      </w:r>
    </w:p>
    <w:p w14:paraId="55390454" w14:textId="09D075B1" w:rsidR="00262BC0" w:rsidRPr="005C29F8" w:rsidRDefault="00262BC0" w:rsidP="00262BC0">
      <w:pPr>
        <w:autoSpaceDE w:val="0"/>
        <w:autoSpaceDN w:val="0"/>
        <w:adjustRightInd w:val="0"/>
        <w:rPr>
          <w:rFonts w:cs="Arial"/>
          <w:b/>
          <w:bCs/>
          <w:color w:val="000000" w:themeColor="text1"/>
          <w:szCs w:val="16"/>
        </w:rPr>
      </w:pPr>
      <w:r w:rsidRPr="005C29F8">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5C29F8" w:rsidRDefault="00262BC0" w:rsidP="00262BC0">
      <w:pPr>
        <w:autoSpaceDE w:val="0"/>
        <w:autoSpaceDN w:val="0"/>
        <w:adjustRightInd w:val="0"/>
        <w:rPr>
          <w:rFonts w:cs="Arial"/>
          <w:b/>
          <w:bCs/>
          <w:color w:val="000000" w:themeColor="text1"/>
          <w:szCs w:val="16"/>
        </w:rPr>
      </w:pPr>
      <w:r w:rsidRPr="005C29F8">
        <w:rPr>
          <w:rFonts w:cs="Arial"/>
          <w:b/>
          <w:bCs/>
          <w:color w:val="000000" w:themeColor="text1"/>
          <w:szCs w:val="16"/>
        </w:rPr>
        <w:t>Select the certifier’s role:</w:t>
      </w:r>
    </w:p>
    <w:p w14:paraId="0767E5C8" w14:textId="70B1D176" w:rsidR="00262BC0" w:rsidRPr="005C29F8" w:rsidRDefault="002B7490" w:rsidP="00262BC0">
      <w:pPr>
        <w:autoSpaceDE w:val="0"/>
        <w:autoSpaceDN w:val="0"/>
        <w:adjustRightInd w:val="0"/>
        <w:rPr>
          <w:rFonts w:cs="Arial"/>
          <w:bCs/>
          <w:color w:val="000000" w:themeColor="text1"/>
          <w:szCs w:val="16"/>
        </w:rPr>
      </w:pPr>
      <w:r w:rsidRPr="005C29F8">
        <w:rPr>
          <w:rFonts w:cs="Arial"/>
          <w:bCs/>
          <w:color w:val="000000" w:themeColor="text1"/>
          <w:szCs w:val="16"/>
        </w:rPr>
        <w:t>Designated by the Chief State School Officer to certify</w:t>
      </w:r>
    </w:p>
    <w:p w14:paraId="0D4B9819" w14:textId="38C2D4E8" w:rsidR="00262BC0" w:rsidRPr="005C29F8" w:rsidRDefault="00262BC0" w:rsidP="00262BC0">
      <w:pPr>
        <w:autoSpaceDE w:val="0"/>
        <w:autoSpaceDN w:val="0"/>
        <w:adjustRightInd w:val="0"/>
        <w:rPr>
          <w:rFonts w:cs="Arial"/>
          <w:b/>
          <w:bCs/>
          <w:color w:val="000000" w:themeColor="text1"/>
          <w:szCs w:val="16"/>
        </w:rPr>
      </w:pPr>
      <w:r w:rsidRPr="005C29F8">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5C29F8" w:rsidRDefault="00755AF7" w:rsidP="00755AF7">
      <w:pPr>
        <w:autoSpaceDE w:val="0"/>
        <w:autoSpaceDN w:val="0"/>
        <w:adjustRightInd w:val="0"/>
        <w:rPr>
          <w:rFonts w:cs="Arial"/>
          <w:b/>
          <w:bCs/>
          <w:color w:val="000000" w:themeColor="text1"/>
          <w:szCs w:val="16"/>
        </w:rPr>
      </w:pPr>
      <w:bookmarkStart w:id="89" w:name="_Hlk20318241"/>
      <w:r w:rsidRPr="005C29F8">
        <w:rPr>
          <w:rFonts w:cs="Arial"/>
          <w:b/>
          <w:bCs/>
          <w:color w:val="000000" w:themeColor="text1"/>
          <w:szCs w:val="16"/>
        </w:rPr>
        <w:t xml:space="preserve">Name: </w:t>
      </w:r>
    </w:p>
    <w:p w14:paraId="4AE58D3C" w14:textId="25F9FA75" w:rsidR="00755AF7" w:rsidRPr="005C29F8" w:rsidRDefault="002B7490" w:rsidP="00755AF7">
      <w:pPr>
        <w:autoSpaceDE w:val="0"/>
        <w:autoSpaceDN w:val="0"/>
        <w:adjustRightInd w:val="0"/>
        <w:rPr>
          <w:rFonts w:cs="Arial"/>
          <w:color w:val="000000" w:themeColor="text1"/>
          <w:szCs w:val="16"/>
        </w:rPr>
      </w:pPr>
      <w:r w:rsidRPr="005C29F8">
        <w:rPr>
          <w:rFonts w:cs="Arial"/>
          <w:color w:val="000000" w:themeColor="text1"/>
          <w:szCs w:val="16"/>
        </w:rPr>
        <w:t>Lauren Viviani</w:t>
      </w:r>
    </w:p>
    <w:p w14:paraId="6368082B" w14:textId="28AD55BD" w:rsidR="00755AF7" w:rsidRPr="005C29F8" w:rsidRDefault="00EF4A6B" w:rsidP="00755AF7">
      <w:pPr>
        <w:autoSpaceDE w:val="0"/>
        <w:autoSpaceDN w:val="0"/>
        <w:adjustRightInd w:val="0"/>
        <w:rPr>
          <w:rFonts w:cs="Arial"/>
          <w:b/>
          <w:bCs/>
          <w:color w:val="000000" w:themeColor="text1"/>
          <w:szCs w:val="16"/>
        </w:rPr>
      </w:pPr>
      <w:r w:rsidRPr="005C29F8">
        <w:rPr>
          <w:rFonts w:cs="Arial"/>
          <w:b/>
          <w:bCs/>
          <w:color w:val="000000" w:themeColor="text1"/>
          <w:szCs w:val="16"/>
        </w:rPr>
        <w:t xml:space="preserve">Title: </w:t>
      </w:r>
    </w:p>
    <w:p w14:paraId="290E3D81" w14:textId="5C618752" w:rsidR="00755AF7" w:rsidRPr="005C29F8" w:rsidRDefault="002B7490" w:rsidP="00755AF7">
      <w:pPr>
        <w:autoSpaceDE w:val="0"/>
        <w:autoSpaceDN w:val="0"/>
        <w:adjustRightInd w:val="0"/>
        <w:rPr>
          <w:rFonts w:cs="Arial"/>
          <w:color w:val="000000" w:themeColor="text1"/>
          <w:szCs w:val="16"/>
        </w:rPr>
      </w:pPr>
      <w:r w:rsidRPr="005C29F8">
        <w:rPr>
          <w:rFonts w:cs="Arial"/>
          <w:color w:val="000000" w:themeColor="text1"/>
          <w:szCs w:val="16"/>
        </w:rPr>
        <w:t>Acting Assistant Director</w:t>
      </w:r>
    </w:p>
    <w:p w14:paraId="67DC6813" w14:textId="6EF07192" w:rsidR="00755AF7" w:rsidRPr="005C29F8" w:rsidRDefault="00925E33" w:rsidP="00755AF7">
      <w:pPr>
        <w:autoSpaceDE w:val="0"/>
        <w:autoSpaceDN w:val="0"/>
        <w:adjustRightInd w:val="0"/>
        <w:rPr>
          <w:rFonts w:cs="Arial"/>
          <w:b/>
          <w:bCs/>
          <w:color w:val="000000" w:themeColor="text1"/>
          <w:szCs w:val="16"/>
        </w:rPr>
      </w:pPr>
      <w:r w:rsidRPr="005C29F8">
        <w:rPr>
          <w:rFonts w:cs="Arial"/>
          <w:b/>
          <w:bCs/>
          <w:color w:val="000000" w:themeColor="text1"/>
          <w:szCs w:val="16"/>
        </w:rPr>
        <w:t xml:space="preserve">Email: </w:t>
      </w:r>
    </w:p>
    <w:p w14:paraId="0D9187A2" w14:textId="72ED05AF" w:rsidR="00755AF7" w:rsidRPr="005C29F8" w:rsidRDefault="002B7490" w:rsidP="00755AF7">
      <w:pPr>
        <w:autoSpaceDE w:val="0"/>
        <w:autoSpaceDN w:val="0"/>
        <w:adjustRightInd w:val="0"/>
        <w:rPr>
          <w:rFonts w:cs="Arial"/>
          <w:color w:val="000000" w:themeColor="text1"/>
          <w:szCs w:val="16"/>
        </w:rPr>
      </w:pPr>
      <w:r w:rsidRPr="005C29F8">
        <w:rPr>
          <w:rFonts w:cs="Arial"/>
          <w:color w:val="000000" w:themeColor="text1"/>
          <w:szCs w:val="16"/>
        </w:rPr>
        <w:t>lauren.m.viviani@mass.gov</w:t>
      </w:r>
    </w:p>
    <w:p w14:paraId="230D0674" w14:textId="3A323DD4" w:rsidR="00755AF7" w:rsidRPr="005C29F8" w:rsidRDefault="00EF4A6B" w:rsidP="00755AF7">
      <w:pPr>
        <w:autoSpaceDE w:val="0"/>
        <w:autoSpaceDN w:val="0"/>
        <w:adjustRightInd w:val="0"/>
        <w:rPr>
          <w:rFonts w:cs="Arial"/>
          <w:b/>
          <w:color w:val="000000" w:themeColor="text1"/>
          <w:szCs w:val="16"/>
        </w:rPr>
      </w:pPr>
      <w:r w:rsidRPr="005C29F8">
        <w:rPr>
          <w:rFonts w:cs="Arial"/>
          <w:b/>
          <w:color w:val="000000" w:themeColor="text1"/>
          <w:szCs w:val="16"/>
        </w:rPr>
        <w:t>Phone:</w:t>
      </w:r>
    </w:p>
    <w:p w14:paraId="5A421E1A" w14:textId="3C4EA133" w:rsidR="00DD2023" w:rsidRPr="005C29F8" w:rsidRDefault="002B7490" w:rsidP="00DD2023">
      <w:pPr>
        <w:autoSpaceDE w:val="0"/>
        <w:autoSpaceDN w:val="0"/>
        <w:adjustRightInd w:val="0"/>
        <w:rPr>
          <w:rFonts w:cs="Arial"/>
          <w:color w:val="000000" w:themeColor="text1"/>
          <w:szCs w:val="16"/>
        </w:rPr>
      </w:pPr>
      <w:r w:rsidRPr="005C29F8">
        <w:rPr>
          <w:rFonts w:cs="Arial"/>
          <w:color w:val="000000" w:themeColor="text1"/>
          <w:szCs w:val="16"/>
        </w:rPr>
        <w:t>781-338-3375</w:t>
      </w:r>
    </w:p>
    <w:bookmarkEnd w:id="89"/>
    <w:p w14:paraId="17E495D6" w14:textId="2B4E1FA8" w:rsidR="000657F0" w:rsidRPr="005C29F8" w:rsidRDefault="00C773DB" w:rsidP="000657F0">
      <w:pPr>
        <w:autoSpaceDE w:val="0"/>
        <w:autoSpaceDN w:val="0"/>
        <w:adjustRightInd w:val="0"/>
        <w:rPr>
          <w:rFonts w:cs="Arial"/>
          <w:b/>
          <w:color w:val="000000" w:themeColor="text1"/>
          <w:szCs w:val="16"/>
        </w:rPr>
      </w:pPr>
      <w:r w:rsidRPr="005C29F8">
        <w:rPr>
          <w:rFonts w:cs="Arial"/>
          <w:b/>
          <w:color w:val="000000" w:themeColor="text1"/>
          <w:szCs w:val="16"/>
        </w:rPr>
        <w:t>Submitted on:</w:t>
      </w:r>
    </w:p>
    <w:p w14:paraId="3754F1D5" w14:textId="4B3E4991" w:rsidR="000657F0" w:rsidRPr="005C29F8" w:rsidRDefault="006879FA" w:rsidP="000657F0">
      <w:pPr>
        <w:autoSpaceDE w:val="0"/>
        <w:autoSpaceDN w:val="0"/>
        <w:adjustRightInd w:val="0"/>
        <w:rPr>
          <w:rFonts w:cs="Arial"/>
          <w:color w:val="000000" w:themeColor="text1"/>
          <w:szCs w:val="16"/>
        </w:rPr>
      </w:pPr>
      <w:r w:rsidRPr="006879FA">
        <w:rPr>
          <w:rFonts w:cs="Arial"/>
          <w:color w:val="000000" w:themeColor="text1"/>
          <w:szCs w:val="16"/>
        </w:rPr>
        <w:t>04/28/21  1:52:31 PM</w:t>
      </w:r>
    </w:p>
    <w:p w14:paraId="596B3C30" w14:textId="09465E6F" w:rsidR="00755AF7" w:rsidRPr="005C29F8" w:rsidRDefault="00755AF7" w:rsidP="00EE4B59">
      <w:pPr>
        <w:rPr>
          <w:rFonts w:cs="Arial"/>
          <w:color w:val="000000" w:themeColor="text1"/>
          <w:szCs w:val="16"/>
        </w:rPr>
      </w:pPr>
    </w:p>
    <w:sectPr w:rsidR="00755AF7" w:rsidRPr="005C29F8" w:rsidSect="00651E83">
      <w:footerReference w:type="default" r:id="rId12"/>
      <w:pgSz w:w="12240" w:h="15840" w:code="1"/>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000D4" w14:textId="77777777" w:rsidR="0015638F" w:rsidRDefault="0015638F" w:rsidP="000802F7">
      <w:pPr>
        <w:spacing w:before="0" w:after="0"/>
      </w:pPr>
      <w:r>
        <w:separator/>
      </w:r>
    </w:p>
  </w:endnote>
  <w:endnote w:type="continuationSeparator" w:id="0">
    <w:p w14:paraId="40471FF0" w14:textId="77777777" w:rsidR="0015638F" w:rsidRDefault="0015638F" w:rsidP="000802F7">
      <w:pPr>
        <w:spacing w:before="0" w:after="0"/>
      </w:pPr>
      <w:r>
        <w:continuationSeparator/>
      </w:r>
    </w:p>
  </w:endnote>
  <w:endnote w:type="continuationNotice" w:id="1">
    <w:p w14:paraId="523FE81B" w14:textId="77777777" w:rsidR="0015638F" w:rsidRDefault="001563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194661"/>
      <w:docPartObj>
        <w:docPartGallery w:val="Page Numbers (Bottom of Page)"/>
        <w:docPartUnique/>
      </w:docPartObj>
    </w:sdtPr>
    <w:sdtEndPr>
      <w:rPr>
        <w:noProof/>
      </w:rPr>
    </w:sdtEndPr>
    <w:sdtContent>
      <w:p w14:paraId="63D74FF3" w14:textId="78884A59" w:rsidR="0033429D" w:rsidRDefault="0033429D" w:rsidP="00A06AB0">
        <w:pPr>
          <w:pStyle w:val="Footer"/>
          <w:jc w:val="right"/>
          <w:rPr>
            <w:noProof/>
          </w:rPr>
        </w:pPr>
        <w:r>
          <w:fldChar w:fldCharType="begin"/>
        </w:r>
        <w:r>
          <w:instrText xml:space="preserve"> PAGE   \* MERGEFORMAT </w:instrText>
        </w:r>
        <w:r>
          <w:fldChar w:fldCharType="separate"/>
        </w:r>
        <w:r>
          <w:rPr>
            <w:noProof/>
          </w:rPr>
          <w:t>55</w:t>
        </w:r>
        <w:r>
          <w:rPr>
            <w:noProof/>
          </w:rPr>
          <w:fldChar w:fldCharType="end"/>
        </w:r>
        <w:r>
          <w:ptab w:relativeTo="margin" w:alignment="right" w:leader="none"/>
        </w:r>
        <w:r>
          <w:t>Part 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42B81" w14:textId="77777777" w:rsidR="0015638F" w:rsidRDefault="0015638F" w:rsidP="000802F7">
      <w:pPr>
        <w:spacing w:before="0" w:after="0"/>
      </w:pPr>
      <w:r>
        <w:separator/>
      </w:r>
    </w:p>
  </w:footnote>
  <w:footnote w:type="continuationSeparator" w:id="0">
    <w:p w14:paraId="25D3FE94" w14:textId="77777777" w:rsidR="0015638F" w:rsidRDefault="0015638F" w:rsidP="000802F7">
      <w:pPr>
        <w:spacing w:before="0" w:after="0"/>
      </w:pPr>
      <w:r>
        <w:continuationSeparator/>
      </w:r>
    </w:p>
  </w:footnote>
  <w:footnote w:type="continuationNotice" w:id="1">
    <w:p w14:paraId="5C2EA68C" w14:textId="77777777" w:rsidR="0015638F" w:rsidRDefault="0015638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9.5pt;height:18.75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B21583"/>
    <w:multiLevelType w:val="hybridMultilevel"/>
    <w:tmpl w:val="EF8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2D2"/>
    <w:multiLevelType w:val="hybridMultilevel"/>
    <w:tmpl w:val="F1EC7EEC"/>
    <w:lvl w:ilvl="0" w:tplc="7164A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027A06"/>
    <w:multiLevelType w:val="hybridMultilevel"/>
    <w:tmpl w:val="7FB257BC"/>
    <w:lvl w:ilvl="0" w:tplc="14FC5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CF3704"/>
    <w:multiLevelType w:val="multilevel"/>
    <w:tmpl w:val="A3D6B32C"/>
    <w:lvl w:ilvl="0">
      <w:start w:val="1"/>
      <w:numFmt w:val="upperLetter"/>
      <w:lvlText w:val="%1."/>
      <w:lvlJc w:val="left"/>
      <w:pPr>
        <w:tabs>
          <w:tab w:val="num" w:pos="-1872"/>
        </w:tabs>
        <w:ind w:left="-1872" w:hanging="360"/>
      </w:pPr>
    </w:lvl>
    <w:lvl w:ilvl="1" w:tentative="1">
      <w:start w:val="1"/>
      <w:numFmt w:val="upperLetter"/>
      <w:lvlText w:val="%2."/>
      <w:lvlJc w:val="left"/>
      <w:pPr>
        <w:tabs>
          <w:tab w:val="num" w:pos="-1152"/>
        </w:tabs>
        <w:ind w:left="-1152" w:hanging="360"/>
      </w:pPr>
    </w:lvl>
    <w:lvl w:ilvl="2" w:tentative="1">
      <w:start w:val="1"/>
      <w:numFmt w:val="upperLetter"/>
      <w:lvlText w:val="%3."/>
      <w:lvlJc w:val="left"/>
      <w:pPr>
        <w:tabs>
          <w:tab w:val="num" w:pos="-432"/>
        </w:tabs>
        <w:ind w:left="-432" w:hanging="360"/>
      </w:pPr>
    </w:lvl>
    <w:lvl w:ilvl="3" w:tentative="1">
      <w:start w:val="1"/>
      <w:numFmt w:val="upperLetter"/>
      <w:lvlText w:val="%4."/>
      <w:lvlJc w:val="left"/>
      <w:pPr>
        <w:tabs>
          <w:tab w:val="num" w:pos="288"/>
        </w:tabs>
        <w:ind w:left="288" w:hanging="360"/>
      </w:pPr>
    </w:lvl>
    <w:lvl w:ilvl="4" w:tentative="1">
      <w:start w:val="1"/>
      <w:numFmt w:val="upperLetter"/>
      <w:lvlText w:val="%5."/>
      <w:lvlJc w:val="left"/>
      <w:pPr>
        <w:tabs>
          <w:tab w:val="num" w:pos="1008"/>
        </w:tabs>
        <w:ind w:left="1008" w:hanging="360"/>
      </w:pPr>
    </w:lvl>
    <w:lvl w:ilvl="5" w:tentative="1">
      <w:start w:val="1"/>
      <w:numFmt w:val="upperLetter"/>
      <w:lvlText w:val="%6."/>
      <w:lvlJc w:val="left"/>
      <w:pPr>
        <w:tabs>
          <w:tab w:val="num" w:pos="1728"/>
        </w:tabs>
        <w:ind w:left="1728" w:hanging="360"/>
      </w:pPr>
    </w:lvl>
    <w:lvl w:ilvl="6" w:tentative="1">
      <w:start w:val="1"/>
      <w:numFmt w:val="upperLetter"/>
      <w:lvlText w:val="%7."/>
      <w:lvlJc w:val="left"/>
      <w:pPr>
        <w:tabs>
          <w:tab w:val="num" w:pos="2448"/>
        </w:tabs>
        <w:ind w:left="2448" w:hanging="360"/>
      </w:pPr>
    </w:lvl>
    <w:lvl w:ilvl="7" w:tentative="1">
      <w:start w:val="1"/>
      <w:numFmt w:val="upperLetter"/>
      <w:lvlText w:val="%8."/>
      <w:lvlJc w:val="left"/>
      <w:pPr>
        <w:tabs>
          <w:tab w:val="num" w:pos="3168"/>
        </w:tabs>
        <w:ind w:left="3168" w:hanging="360"/>
      </w:pPr>
    </w:lvl>
    <w:lvl w:ilvl="8" w:tentative="1">
      <w:start w:val="1"/>
      <w:numFmt w:val="upperLetter"/>
      <w:lvlText w:val="%9."/>
      <w:lvlJc w:val="left"/>
      <w:pPr>
        <w:tabs>
          <w:tab w:val="num" w:pos="3888"/>
        </w:tabs>
        <w:ind w:left="3888" w:hanging="360"/>
      </w:pPr>
    </w:lvl>
  </w:abstractNum>
  <w:abstractNum w:abstractNumId="11"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113B8"/>
    <w:multiLevelType w:val="multilevel"/>
    <w:tmpl w:val="D5384910"/>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20DE9"/>
    <w:multiLevelType w:val="hybridMultilevel"/>
    <w:tmpl w:val="9566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D1543"/>
    <w:multiLevelType w:val="hybridMultilevel"/>
    <w:tmpl w:val="BE50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8"/>
  </w:num>
  <w:num w:numId="4">
    <w:abstractNumId w:val="22"/>
  </w:num>
  <w:num w:numId="5">
    <w:abstractNumId w:val="0"/>
  </w:num>
  <w:num w:numId="6">
    <w:abstractNumId w:val="14"/>
  </w:num>
  <w:num w:numId="7">
    <w:abstractNumId w:val="6"/>
  </w:num>
  <w:num w:numId="8">
    <w:abstractNumId w:val="8"/>
  </w:num>
  <w:num w:numId="9">
    <w:abstractNumId w:val="10"/>
  </w:num>
  <w:num w:numId="10">
    <w:abstractNumId w:val="12"/>
  </w:num>
  <w:num w:numId="11">
    <w:abstractNumId w:val="15"/>
  </w:num>
  <w:num w:numId="12">
    <w:abstractNumId w:val="17"/>
  </w:num>
  <w:num w:numId="13">
    <w:abstractNumId w:val="7"/>
  </w:num>
  <w:num w:numId="14">
    <w:abstractNumId w:val="13"/>
  </w:num>
  <w:num w:numId="15">
    <w:abstractNumId w:val="11"/>
  </w:num>
  <w:num w:numId="16">
    <w:abstractNumId w:val="19"/>
  </w:num>
  <w:num w:numId="17">
    <w:abstractNumId w:val="2"/>
  </w:num>
  <w:num w:numId="18">
    <w:abstractNumId w:val="5"/>
  </w:num>
  <w:num w:numId="19">
    <w:abstractNumId w:val="1"/>
  </w:num>
  <w:num w:numId="20">
    <w:abstractNumId w:val="16"/>
  </w:num>
  <w:num w:numId="21">
    <w:abstractNumId w:val="21"/>
  </w:num>
  <w:num w:numId="22">
    <w:abstractNumId w:val="4"/>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3E5"/>
    <w:rsid w:val="00001EAE"/>
    <w:rsid w:val="00002962"/>
    <w:rsid w:val="00002B25"/>
    <w:rsid w:val="00002D92"/>
    <w:rsid w:val="000032E5"/>
    <w:rsid w:val="000036C1"/>
    <w:rsid w:val="00003894"/>
    <w:rsid w:val="00004700"/>
    <w:rsid w:val="00004880"/>
    <w:rsid w:val="00004E61"/>
    <w:rsid w:val="0000663B"/>
    <w:rsid w:val="00006A25"/>
    <w:rsid w:val="000070D5"/>
    <w:rsid w:val="00010158"/>
    <w:rsid w:val="000105C5"/>
    <w:rsid w:val="00011443"/>
    <w:rsid w:val="00011778"/>
    <w:rsid w:val="00011B86"/>
    <w:rsid w:val="000124F7"/>
    <w:rsid w:val="0001550D"/>
    <w:rsid w:val="00015D55"/>
    <w:rsid w:val="0001707D"/>
    <w:rsid w:val="00017940"/>
    <w:rsid w:val="000209D6"/>
    <w:rsid w:val="0002147B"/>
    <w:rsid w:val="00021AE9"/>
    <w:rsid w:val="000221B3"/>
    <w:rsid w:val="000223EC"/>
    <w:rsid w:val="00023642"/>
    <w:rsid w:val="00023E62"/>
    <w:rsid w:val="000248C8"/>
    <w:rsid w:val="00024979"/>
    <w:rsid w:val="000251C4"/>
    <w:rsid w:val="000256D1"/>
    <w:rsid w:val="00025AFF"/>
    <w:rsid w:val="00025D8D"/>
    <w:rsid w:val="00027886"/>
    <w:rsid w:val="0003014D"/>
    <w:rsid w:val="000301BA"/>
    <w:rsid w:val="00030B45"/>
    <w:rsid w:val="00031560"/>
    <w:rsid w:val="00031A91"/>
    <w:rsid w:val="00031C3A"/>
    <w:rsid w:val="00031E3A"/>
    <w:rsid w:val="00032548"/>
    <w:rsid w:val="00032930"/>
    <w:rsid w:val="00032AC4"/>
    <w:rsid w:val="00032DB1"/>
    <w:rsid w:val="00033474"/>
    <w:rsid w:val="000336AC"/>
    <w:rsid w:val="00033723"/>
    <w:rsid w:val="00034A81"/>
    <w:rsid w:val="000360A5"/>
    <w:rsid w:val="00036AA4"/>
    <w:rsid w:val="000417B4"/>
    <w:rsid w:val="00041E27"/>
    <w:rsid w:val="00041FD3"/>
    <w:rsid w:val="0004359A"/>
    <w:rsid w:val="000437FD"/>
    <w:rsid w:val="00043AAB"/>
    <w:rsid w:val="00043AC9"/>
    <w:rsid w:val="000444E2"/>
    <w:rsid w:val="00044883"/>
    <w:rsid w:val="00044B5C"/>
    <w:rsid w:val="00046969"/>
    <w:rsid w:val="00046BF9"/>
    <w:rsid w:val="000477FF"/>
    <w:rsid w:val="00047CB5"/>
    <w:rsid w:val="00052E15"/>
    <w:rsid w:val="00053391"/>
    <w:rsid w:val="000533D7"/>
    <w:rsid w:val="00053795"/>
    <w:rsid w:val="00053DFE"/>
    <w:rsid w:val="000545D2"/>
    <w:rsid w:val="00054985"/>
    <w:rsid w:val="00054A60"/>
    <w:rsid w:val="00054C7A"/>
    <w:rsid w:val="00054FA8"/>
    <w:rsid w:val="00055BD1"/>
    <w:rsid w:val="00055C7A"/>
    <w:rsid w:val="00055FC7"/>
    <w:rsid w:val="00056350"/>
    <w:rsid w:val="00056758"/>
    <w:rsid w:val="00056F03"/>
    <w:rsid w:val="00060ADC"/>
    <w:rsid w:val="000618B4"/>
    <w:rsid w:val="00061AB2"/>
    <w:rsid w:val="00061F73"/>
    <w:rsid w:val="000622A8"/>
    <w:rsid w:val="0006235D"/>
    <w:rsid w:val="000625F8"/>
    <w:rsid w:val="00062BB2"/>
    <w:rsid w:val="00062E68"/>
    <w:rsid w:val="00063136"/>
    <w:rsid w:val="00063CB9"/>
    <w:rsid w:val="000646AE"/>
    <w:rsid w:val="00064809"/>
    <w:rsid w:val="00064AB6"/>
    <w:rsid w:val="000657A8"/>
    <w:rsid w:val="000657F0"/>
    <w:rsid w:val="000668E0"/>
    <w:rsid w:val="00066BAA"/>
    <w:rsid w:val="00066F3E"/>
    <w:rsid w:val="00067654"/>
    <w:rsid w:val="00067C04"/>
    <w:rsid w:val="00070D9E"/>
    <w:rsid w:val="00072B99"/>
    <w:rsid w:val="00072BBA"/>
    <w:rsid w:val="00072FEE"/>
    <w:rsid w:val="00073047"/>
    <w:rsid w:val="00074237"/>
    <w:rsid w:val="000743D6"/>
    <w:rsid w:val="000778C9"/>
    <w:rsid w:val="000802F7"/>
    <w:rsid w:val="000806CC"/>
    <w:rsid w:val="00080D36"/>
    <w:rsid w:val="00080EBD"/>
    <w:rsid w:val="00082667"/>
    <w:rsid w:val="000829BF"/>
    <w:rsid w:val="0008392B"/>
    <w:rsid w:val="0008402E"/>
    <w:rsid w:val="0008434A"/>
    <w:rsid w:val="000845C1"/>
    <w:rsid w:val="000847AD"/>
    <w:rsid w:val="00084FF1"/>
    <w:rsid w:val="000850E1"/>
    <w:rsid w:val="00085D89"/>
    <w:rsid w:val="000867D7"/>
    <w:rsid w:val="0008752B"/>
    <w:rsid w:val="000901D6"/>
    <w:rsid w:val="000903A7"/>
    <w:rsid w:val="00090C2F"/>
    <w:rsid w:val="000915A3"/>
    <w:rsid w:val="00091A40"/>
    <w:rsid w:val="000923A7"/>
    <w:rsid w:val="00092636"/>
    <w:rsid w:val="00092E0A"/>
    <w:rsid w:val="00096442"/>
    <w:rsid w:val="0009692C"/>
    <w:rsid w:val="00096A50"/>
    <w:rsid w:val="00097249"/>
    <w:rsid w:val="000977EB"/>
    <w:rsid w:val="000A0593"/>
    <w:rsid w:val="000A1594"/>
    <w:rsid w:val="000A18ED"/>
    <w:rsid w:val="000A2C83"/>
    <w:rsid w:val="000A2E95"/>
    <w:rsid w:val="000A32F4"/>
    <w:rsid w:val="000A4757"/>
    <w:rsid w:val="000A49CD"/>
    <w:rsid w:val="000A4CDC"/>
    <w:rsid w:val="000A4FD8"/>
    <w:rsid w:val="000A5A2E"/>
    <w:rsid w:val="000A6CA4"/>
    <w:rsid w:val="000A7001"/>
    <w:rsid w:val="000A7A15"/>
    <w:rsid w:val="000A7D7D"/>
    <w:rsid w:val="000B050E"/>
    <w:rsid w:val="000B10B1"/>
    <w:rsid w:val="000B1F9C"/>
    <w:rsid w:val="000B2C26"/>
    <w:rsid w:val="000B2DCB"/>
    <w:rsid w:val="000B3A11"/>
    <w:rsid w:val="000B3D92"/>
    <w:rsid w:val="000B4AA4"/>
    <w:rsid w:val="000B547A"/>
    <w:rsid w:val="000B56BA"/>
    <w:rsid w:val="000B5823"/>
    <w:rsid w:val="000B7132"/>
    <w:rsid w:val="000B7462"/>
    <w:rsid w:val="000C0900"/>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4537"/>
    <w:rsid w:val="000D4C8D"/>
    <w:rsid w:val="000D6C5B"/>
    <w:rsid w:val="000D6EC4"/>
    <w:rsid w:val="000D746C"/>
    <w:rsid w:val="000E0C95"/>
    <w:rsid w:val="000E0EBC"/>
    <w:rsid w:val="000E1C83"/>
    <w:rsid w:val="000E1FC6"/>
    <w:rsid w:val="000E206D"/>
    <w:rsid w:val="000E2A52"/>
    <w:rsid w:val="000E30A8"/>
    <w:rsid w:val="000E33D0"/>
    <w:rsid w:val="000E3445"/>
    <w:rsid w:val="000E4061"/>
    <w:rsid w:val="000E4B9A"/>
    <w:rsid w:val="000E56FA"/>
    <w:rsid w:val="000E62E5"/>
    <w:rsid w:val="000E6823"/>
    <w:rsid w:val="000E6948"/>
    <w:rsid w:val="000E7E94"/>
    <w:rsid w:val="000F0525"/>
    <w:rsid w:val="000F0806"/>
    <w:rsid w:val="000F0D59"/>
    <w:rsid w:val="000F1792"/>
    <w:rsid w:val="000F256B"/>
    <w:rsid w:val="000F2A8B"/>
    <w:rsid w:val="000F40CF"/>
    <w:rsid w:val="000F435D"/>
    <w:rsid w:val="000F4C46"/>
    <w:rsid w:val="000F4E22"/>
    <w:rsid w:val="000F4F37"/>
    <w:rsid w:val="000F66B8"/>
    <w:rsid w:val="000F670E"/>
    <w:rsid w:val="000F7196"/>
    <w:rsid w:val="000F7399"/>
    <w:rsid w:val="000F76DD"/>
    <w:rsid w:val="000F7A89"/>
    <w:rsid w:val="000F7C7C"/>
    <w:rsid w:val="000F7CF3"/>
    <w:rsid w:val="001011BB"/>
    <w:rsid w:val="0010168C"/>
    <w:rsid w:val="00101CA5"/>
    <w:rsid w:val="0010203A"/>
    <w:rsid w:val="00102C3C"/>
    <w:rsid w:val="00102F19"/>
    <w:rsid w:val="00102FA3"/>
    <w:rsid w:val="00104B17"/>
    <w:rsid w:val="0010510A"/>
    <w:rsid w:val="00105DC4"/>
    <w:rsid w:val="00105F98"/>
    <w:rsid w:val="001061C0"/>
    <w:rsid w:val="00106D71"/>
    <w:rsid w:val="00107406"/>
    <w:rsid w:val="0010785B"/>
    <w:rsid w:val="00107F32"/>
    <w:rsid w:val="00107FAE"/>
    <w:rsid w:val="0011074D"/>
    <w:rsid w:val="001111BE"/>
    <w:rsid w:val="001126C3"/>
    <w:rsid w:val="00112F4D"/>
    <w:rsid w:val="00113CE9"/>
    <w:rsid w:val="001142DE"/>
    <w:rsid w:val="001156D2"/>
    <w:rsid w:val="00115CDA"/>
    <w:rsid w:val="00116D0B"/>
    <w:rsid w:val="00117490"/>
    <w:rsid w:val="00117588"/>
    <w:rsid w:val="00117696"/>
    <w:rsid w:val="00117952"/>
    <w:rsid w:val="00120808"/>
    <w:rsid w:val="00121709"/>
    <w:rsid w:val="00122103"/>
    <w:rsid w:val="0012230D"/>
    <w:rsid w:val="001225CB"/>
    <w:rsid w:val="00123D76"/>
    <w:rsid w:val="00123FF7"/>
    <w:rsid w:val="00124025"/>
    <w:rsid w:val="00124E6A"/>
    <w:rsid w:val="00124ED5"/>
    <w:rsid w:val="001266CE"/>
    <w:rsid w:val="001267A3"/>
    <w:rsid w:val="00126B45"/>
    <w:rsid w:val="00126ED9"/>
    <w:rsid w:val="00126FF9"/>
    <w:rsid w:val="00127006"/>
    <w:rsid w:val="001270B8"/>
    <w:rsid w:val="001273C6"/>
    <w:rsid w:val="00127B4A"/>
    <w:rsid w:val="00127FEE"/>
    <w:rsid w:val="00130AE9"/>
    <w:rsid w:val="00131842"/>
    <w:rsid w:val="00131F82"/>
    <w:rsid w:val="00132EE9"/>
    <w:rsid w:val="001336AE"/>
    <w:rsid w:val="0013465F"/>
    <w:rsid w:val="00134F30"/>
    <w:rsid w:val="00135576"/>
    <w:rsid w:val="00135F0C"/>
    <w:rsid w:val="00136BE2"/>
    <w:rsid w:val="0014043C"/>
    <w:rsid w:val="00140A8A"/>
    <w:rsid w:val="00141A33"/>
    <w:rsid w:val="00141E29"/>
    <w:rsid w:val="00142056"/>
    <w:rsid w:val="00142117"/>
    <w:rsid w:val="001428A0"/>
    <w:rsid w:val="001430AA"/>
    <w:rsid w:val="0014399E"/>
    <w:rsid w:val="001445CE"/>
    <w:rsid w:val="001450D9"/>
    <w:rsid w:val="00146BB0"/>
    <w:rsid w:val="00146FBA"/>
    <w:rsid w:val="001474EC"/>
    <w:rsid w:val="00150B3B"/>
    <w:rsid w:val="00151F97"/>
    <w:rsid w:val="0015313D"/>
    <w:rsid w:val="00153F2D"/>
    <w:rsid w:val="001542AE"/>
    <w:rsid w:val="00156264"/>
    <w:rsid w:val="0015638F"/>
    <w:rsid w:val="00156865"/>
    <w:rsid w:val="0015691B"/>
    <w:rsid w:val="00156F30"/>
    <w:rsid w:val="001604F3"/>
    <w:rsid w:val="00160856"/>
    <w:rsid w:val="00160D96"/>
    <w:rsid w:val="001612CB"/>
    <w:rsid w:val="00161D1D"/>
    <w:rsid w:val="00162F4A"/>
    <w:rsid w:val="001633A0"/>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C41"/>
    <w:rsid w:val="00172F58"/>
    <w:rsid w:val="0017335B"/>
    <w:rsid w:val="00173DFE"/>
    <w:rsid w:val="001744F9"/>
    <w:rsid w:val="00174662"/>
    <w:rsid w:val="00174B9B"/>
    <w:rsid w:val="001750A0"/>
    <w:rsid w:val="001756FB"/>
    <w:rsid w:val="00175D9B"/>
    <w:rsid w:val="001773E7"/>
    <w:rsid w:val="00177EC7"/>
    <w:rsid w:val="001806EA"/>
    <w:rsid w:val="001829C9"/>
    <w:rsid w:val="00182B26"/>
    <w:rsid w:val="001831D2"/>
    <w:rsid w:val="001835EE"/>
    <w:rsid w:val="00183E9B"/>
    <w:rsid w:val="001843C6"/>
    <w:rsid w:val="00186964"/>
    <w:rsid w:val="001875AF"/>
    <w:rsid w:val="00190104"/>
    <w:rsid w:val="00191350"/>
    <w:rsid w:val="0019260C"/>
    <w:rsid w:val="00194AD8"/>
    <w:rsid w:val="001955AC"/>
    <w:rsid w:val="001965F5"/>
    <w:rsid w:val="00196B54"/>
    <w:rsid w:val="00196BEB"/>
    <w:rsid w:val="001A0637"/>
    <w:rsid w:val="001A1ABA"/>
    <w:rsid w:val="001A342F"/>
    <w:rsid w:val="001A3539"/>
    <w:rsid w:val="001A3BEB"/>
    <w:rsid w:val="001A582D"/>
    <w:rsid w:val="001A60EE"/>
    <w:rsid w:val="001A6B81"/>
    <w:rsid w:val="001A6E55"/>
    <w:rsid w:val="001B07D3"/>
    <w:rsid w:val="001B12D3"/>
    <w:rsid w:val="001B16F4"/>
    <w:rsid w:val="001B1B38"/>
    <w:rsid w:val="001B2FFF"/>
    <w:rsid w:val="001B3D85"/>
    <w:rsid w:val="001B45DD"/>
    <w:rsid w:val="001B4AF7"/>
    <w:rsid w:val="001B5174"/>
    <w:rsid w:val="001B5210"/>
    <w:rsid w:val="001B5817"/>
    <w:rsid w:val="001B5AFB"/>
    <w:rsid w:val="001B7C2C"/>
    <w:rsid w:val="001C00E2"/>
    <w:rsid w:val="001C05DB"/>
    <w:rsid w:val="001C0D43"/>
    <w:rsid w:val="001C23B6"/>
    <w:rsid w:val="001C2BF0"/>
    <w:rsid w:val="001C2E4E"/>
    <w:rsid w:val="001C3129"/>
    <w:rsid w:val="001C34E6"/>
    <w:rsid w:val="001C46DC"/>
    <w:rsid w:val="001C4828"/>
    <w:rsid w:val="001C6C30"/>
    <w:rsid w:val="001C79FF"/>
    <w:rsid w:val="001C7E55"/>
    <w:rsid w:val="001D000B"/>
    <w:rsid w:val="001D009F"/>
    <w:rsid w:val="001D0860"/>
    <w:rsid w:val="001D16F7"/>
    <w:rsid w:val="001D1A20"/>
    <w:rsid w:val="001D1B71"/>
    <w:rsid w:val="001D21D9"/>
    <w:rsid w:val="001D2E9B"/>
    <w:rsid w:val="001D3D0A"/>
    <w:rsid w:val="001D496D"/>
    <w:rsid w:val="001D508D"/>
    <w:rsid w:val="001D51D9"/>
    <w:rsid w:val="001D55EC"/>
    <w:rsid w:val="001D5BAF"/>
    <w:rsid w:val="001D5F4A"/>
    <w:rsid w:val="001D677D"/>
    <w:rsid w:val="001D6A0A"/>
    <w:rsid w:val="001D6B3B"/>
    <w:rsid w:val="001D6BA5"/>
    <w:rsid w:val="001D7011"/>
    <w:rsid w:val="001D71B6"/>
    <w:rsid w:val="001E0824"/>
    <w:rsid w:val="001E141D"/>
    <w:rsid w:val="001E1828"/>
    <w:rsid w:val="001E2193"/>
    <w:rsid w:val="001E2418"/>
    <w:rsid w:val="001E2AFB"/>
    <w:rsid w:val="001E2E5A"/>
    <w:rsid w:val="001E430B"/>
    <w:rsid w:val="001E5B13"/>
    <w:rsid w:val="001E5CEA"/>
    <w:rsid w:val="001E733F"/>
    <w:rsid w:val="001E7916"/>
    <w:rsid w:val="001E7CA0"/>
    <w:rsid w:val="001F07A9"/>
    <w:rsid w:val="001F0BFD"/>
    <w:rsid w:val="001F1168"/>
    <w:rsid w:val="001F1275"/>
    <w:rsid w:val="001F1F11"/>
    <w:rsid w:val="001F2870"/>
    <w:rsid w:val="001F2DC7"/>
    <w:rsid w:val="001F32F8"/>
    <w:rsid w:val="001F361D"/>
    <w:rsid w:val="001F3A65"/>
    <w:rsid w:val="001F4991"/>
    <w:rsid w:val="001F4C9D"/>
    <w:rsid w:val="001F5453"/>
    <w:rsid w:val="001F57DF"/>
    <w:rsid w:val="001F64DB"/>
    <w:rsid w:val="001F692C"/>
    <w:rsid w:val="001F6A28"/>
    <w:rsid w:val="001F6BAA"/>
    <w:rsid w:val="001F7049"/>
    <w:rsid w:val="001F7C95"/>
    <w:rsid w:val="002002C8"/>
    <w:rsid w:val="00200745"/>
    <w:rsid w:val="00200DF4"/>
    <w:rsid w:val="0020141B"/>
    <w:rsid w:val="00201889"/>
    <w:rsid w:val="00202A6D"/>
    <w:rsid w:val="0020456D"/>
    <w:rsid w:val="002049CF"/>
    <w:rsid w:val="00205239"/>
    <w:rsid w:val="0020552B"/>
    <w:rsid w:val="00205E6B"/>
    <w:rsid w:val="00206890"/>
    <w:rsid w:val="00207D31"/>
    <w:rsid w:val="00210D18"/>
    <w:rsid w:val="00210F75"/>
    <w:rsid w:val="0021110D"/>
    <w:rsid w:val="00211617"/>
    <w:rsid w:val="00211DCE"/>
    <w:rsid w:val="00212954"/>
    <w:rsid w:val="00212E92"/>
    <w:rsid w:val="00214263"/>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30E4A"/>
    <w:rsid w:val="00230EE6"/>
    <w:rsid w:val="002318F8"/>
    <w:rsid w:val="002330FF"/>
    <w:rsid w:val="00233191"/>
    <w:rsid w:val="00233230"/>
    <w:rsid w:val="0023569F"/>
    <w:rsid w:val="002374DE"/>
    <w:rsid w:val="0024014D"/>
    <w:rsid w:val="00241102"/>
    <w:rsid w:val="00241BD0"/>
    <w:rsid w:val="00241E12"/>
    <w:rsid w:val="002423F2"/>
    <w:rsid w:val="00242B5A"/>
    <w:rsid w:val="00242F63"/>
    <w:rsid w:val="0024349D"/>
    <w:rsid w:val="0024351A"/>
    <w:rsid w:val="00243C7D"/>
    <w:rsid w:val="002441FF"/>
    <w:rsid w:val="002451DC"/>
    <w:rsid w:val="00245261"/>
    <w:rsid w:val="00245835"/>
    <w:rsid w:val="002458C0"/>
    <w:rsid w:val="00245D5D"/>
    <w:rsid w:val="00246915"/>
    <w:rsid w:val="002477AC"/>
    <w:rsid w:val="00247959"/>
    <w:rsid w:val="002507BC"/>
    <w:rsid w:val="00250A97"/>
    <w:rsid w:val="00250BEA"/>
    <w:rsid w:val="00250E0A"/>
    <w:rsid w:val="00251098"/>
    <w:rsid w:val="00251242"/>
    <w:rsid w:val="002518F2"/>
    <w:rsid w:val="00251CC0"/>
    <w:rsid w:val="002522EB"/>
    <w:rsid w:val="00253252"/>
    <w:rsid w:val="0025343C"/>
    <w:rsid w:val="002536C1"/>
    <w:rsid w:val="00255E0E"/>
    <w:rsid w:val="0025687D"/>
    <w:rsid w:val="00256998"/>
    <w:rsid w:val="002602A9"/>
    <w:rsid w:val="00260D94"/>
    <w:rsid w:val="00260DBA"/>
    <w:rsid w:val="002621F6"/>
    <w:rsid w:val="00262BC0"/>
    <w:rsid w:val="002639F2"/>
    <w:rsid w:val="00264AC4"/>
    <w:rsid w:val="00264D70"/>
    <w:rsid w:val="002651D2"/>
    <w:rsid w:val="00265DF6"/>
    <w:rsid w:val="002666D1"/>
    <w:rsid w:val="002667EA"/>
    <w:rsid w:val="00267199"/>
    <w:rsid w:val="0026766C"/>
    <w:rsid w:val="002676A2"/>
    <w:rsid w:val="00271E37"/>
    <w:rsid w:val="00273A95"/>
    <w:rsid w:val="002742D7"/>
    <w:rsid w:val="0027466E"/>
    <w:rsid w:val="002764FB"/>
    <w:rsid w:val="002768DB"/>
    <w:rsid w:val="002772F4"/>
    <w:rsid w:val="00277C0C"/>
    <w:rsid w:val="00280C06"/>
    <w:rsid w:val="0028126A"/>
    <w:rsid w:val="002813C2"/>
    <w:rsid w:val="002816F8"/>
    <w:rsid w:val="0028232F"/>
    <w:rsid w:val="002824BD"/>
    <w:rsid w:val="00283A6E"/>
    <w:rsid w:val="00283E11"/>
    <w:rsid w:val="0028448A"/>
    <w:rsid w:val="00284EF7"/>
    <w:rsid w:val="00284FB1"/>
    <w:rsid w:val="0028570E"/>
    <w:rsid w:val="00285DF4"/>
    <w:rsid w:val="00285F70"/>
    <w:rsid w:val="002860EA"/>
    <w:rsid w:val="00286999"/>
    <w:rsid w:val="00286AE2"/>
    <w:rsid w:val="00286BDF"/>
    <w:rsid w:val="00287DAC"/>
    <w:rsid w:val="00287E73"/>
    <w:rsid w:val="002908CD"/>
    <w:rsid w:val="0029150F"/>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1EAC"/>
    <w:rsid w:val="002A2503"/>
    <w:rsid w:val="002A2A1B"/>
    <w:rsid w:val="002A4DA7"/>
    <w:rsid w:val="002A4FB3"/>
    <w:rsid w:val="002A568B"/>
    <w:rsid w:val="002A5ACF"/>
    <w:rsid w:val="002A5C3B"/>
    <w:rsid w:val="002A5E4E"/>
    <w:rsid w:val="002A6E26"/>
    <w:rsid w:val="002A70AC"/>
    <w:rsid w:val="002B10E9"/>
    <w:rsid w:val="002B14DF"/>
    <w:rsid w:val="002B15AD"/>
    <w:rsid w:val="002B4010"/>
    <w:rsid w:val="002B481B"/>
    <w:rsid w:val="002B4BE3"/>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5259"/>
    <w:rsid w:val="002C60D5"/>
    <w:rsid w:val="002C68A2"/>
    <w:rsid w:val="002C6B70"/>
    <w:rsid w:val="002C705B"/>
    <w:rsid w:val="002C72EA"/>
    <w:rsid w:val="002D0871"/>
    <w:rsid w:val="002D0922"/>
    <w:rsid w:val="002D145D"/>
    <w:rsid w:val="002D15D3"/>
    <w:rsid w:val="002D1C51"/>
    <w:rsid w:val="002D30ED"/>
    <w:rsid w:val="002D3265"/>
    <w:rsid w:val="002D35C2"/>
    <w:rsid w:val="002D41F0"/>
    <w:rsid w:val="002D492B"/>
    <w:rsid w:val="002D4D55"/>
    <w:rsid w:val="002D57DA"/>
    <w:rsid w:val="002D597B"/>
    <w:rsid w:val="002D6889"/>
    <w:rsid w:val="002D6F4D"/>
    <w:rsid w:val="002D71EA"/>
    <w:rsid w:val="002D75C7"/>
    <w:rsid w:val="002D7A24"/>
    <w:rsid w:val="002D7AD6"/>
    <w:rsid w:val="002D7B2A"/>
    <w:rsid w:val="002E00D1"/>
    <w:rsid w:val="002E02A9"/>
    <w:rsid w:val="002E0BFD"/>
    <w:rsid w:val="002E111A"/>
    <w:rsid w:val="002E1710"/>
    <w:rsid w:val="002E1751"/>
    <w:rsid w:val="002E346C"/>
    <w:rsid w:val="002E4104"/>
    <w:rsid w:val="002E456C"/>
    <w:rsid w:val="002E4D4F"/>
    <w:rsid w:val="002E5136"/>
    <w:rsid w:val="002E52B9"/>
    <w:rsid w:val="002E66C4"/>
    <w:rsid w:val="002E7868"/>
    <w:rsid w:val="002F0129"/>
    <w:rsid w:val="002F088C"/>
    <w:rsid w:val="002F09C5"/>
    <w:rsid w:val="002F0F0A"/>
    <w:rsid w:val="002F0F0E"/>
    <w:rsid w:val="002F2379"/>
    <w:rsid w:val="002F44F9"/>
    <w:rsid w:val="002F5568"/>
    <w:rsid w:val="002F5F54"/>
    <w:rsid w:val="002F6CA7"/>
    <w:rsid w:val="002F7D07"/>
    <w:rsid w:val="00300258"/>
    <w:rsid w:val="003008E2"/>
    <w:rsid w:val="00300CF4"/>
    <w:rsid w:val="00302CA6"/>
    <w:rsid w:val="00302CD0"/>
    <w:rsid w:val="003031B5"/>
    <w:rsid w:val="0030359D"/>
    <w:rsid w:val="003053C8"/>
    <w:rsid w:val="00305458"/>
    <w:rsid w:val="00306032"/>
    <w:rsid w:val="0030619F"/>
    <w:rsid w:val="0030668A"/>
    <w:rsid w:val="003066D7"/>
    <w:rsid w:val="00306A86"/>
    <w:rsid w:val="00306CEA"/>
    <w:rsid w:val="00306E3B"/>
    <w:rsid w:val="003077CF"/>
    <w:rsid w:val="00310483"/>
    <w:rsid w:val="00310D4A"/>
    <w:rsid w:val="003111B9"/>
    <w:rsid w:val="003112BE"/>
    <w:rsid w:val="00311355"/>
    <w:rsid w:val="00312C1A"/>
    <w:rsid w:val="0031316A"/>
    <w:rsid w:val="003132AE"/>
    <w:rsid w:val="003133B4"/>
    <w:rsid w:val="003136FD"/>
    <w:rsid w:val="003138F9"/>
    <w:rsid w:val="00315173"/>
    <w:rsid w:val="00315747"/>
    <w:rsid w:val="00317888"/>
    <w:rsid w:val="00317C9F"/>
    <w:rsid w:val="00317D36"/>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1137"/>
    <w:rsid w:val="00332054"/>
    <w:rsid w:val="003321D1"/>
    <w:rsid w:val="00332397"/>
    <w:rsid w:val="0033239B"/>
    <w:rsid w:val="00332E23"/>
    <w:rsid w:val="00333FD4"/>
    <w:rsid w:val="0033429D"/>
    <w:rsid w:val="00334953"/>
    <w:rsid w:val="00334EF8"/>
    <w:rsid w:val="00335139"/>
    <w:rsid w:val="003356F1"/>
    <w:rsid w:val="00340115"/>
    <w:rsid w:val="0034074E"/>
    <w:rsid w:val="00341650"/>
    <w:rsid w:val="00342627"/>
    <w:rsid w:val="0034266C"/>
    <w:rsid w:val="00343E21"/>
    <w:rsid w:val="00344A5B"/>
    <w:rsid w:val="00344AE0"/>
    <w:rsid w:val="003452DA"/>
    <w:rsid w:val="0034558C"/>
    <w:rsid w:val="00345912"/>
    <w:rsid w:val="00345B60"/>
    <w:rsid w:val="00345EDF"/>
    <w:rsid w:val="003464CD"/>
    <w:rsid w:val="00346807"/>
    <w:rsid w:val="00346D66"/>
    <w:rsid w:val="00346E9D"/>
    <w:rsid w:val="00347516"/>
    <w:rsid w:val="00347F04"/>
    <w:rsid w:val="0035126E"/>
    <w:rsid w:val="00351CE7"/>
    <w:rsid w:val="00351FA8"/>
    <w:rsid w:val="00352769"/>
    <w:rsid w:val="00352E68"/>
    <w:rsid w:val="003532E2"/>
    <w:rsid w:val="003542D6"/>
    <w:rsid w:val="00354CA9"/>
    <w:rsid w:val="003569A0"/>
    <w:rsid w:val="00360CD9"/>
    <w:rsid w:val="0036124B"/>
    <w:rsid w:val="003622F1"/>
    <w:rsid w:val="00362834"/>
    <w:rsid w:val="003628FE"/>
    <w:rsid w:val="00363327"/>
    <w:rsid w:val="00363FF5"/>
    <w:rsid w:val="0036658D"/>
    <w:rsid w:val="00366764"/>
    <w:rsid w:val="00370A28"/>
    <w:rsid w:val="00371D57"/>
    <w:rsid w:val="0037212A"/>
    <w:rsid w:val="003721DA"/>
    <w:rsid w:val="00372D83"/>
    <w:rsid w:val="00372DF8"/>
    <w:rsid w:val="0037347F"/>
    <w:rsid w:val="00373CF8"/>
    <w:rsid w:val="0037431B"/>
    <w:rsid w:val="00374399"/>
    <w:rsid w:val="0037560A"/>
    <w:rsid w:val="00376262"/>
    <w:rsid w:val="003763A1"/>
    <w:rsid w:val="003768E2"/>
    <w:rsid w:val="0037760E"/>
    <w:rsid w:val="0038054C"/>
    <w:rsid w:val="003805D3"/>
    <w:rsid w:val="003809AF"/>
    <w:rsid w:val="00380B36"/>
    <w:rsid w:val="003817A7"/>
    <w:rsid w:val="003817C0"/>
    <w:rsid w:val="0038191F"/>
    <w:rsid w:val="003819CC"/>
    <w:rsid w:val="00381B0C"/>
    <w:rsid w:val="0038290A"/>
    <w:rsid w:val="00382F22"/>
    <w:rsid w:val="003830A8"/>
    <w:rsid w:val="00384541"/>
    <w:rsid w:val="003856C4"/>
    <w:rsid w:val="003864B1"/>
    <w:rsid w:val="00386623"/>
    <w:rsid w:val="003902D5"/>
    <w:rsid w:val="00390CF9"/>
    <w:rsid w:val="00391C58"/>
    <w:rsid w:val="00391C9B"/>
    <w:rsid w:val="00392D78"/>
    <w:rsid w:val="00393264"/>
    <w:rsid w:val="003953C1"/>
    <w:rsid w:val="00395F8F"/>
    <w:rsid w:val="003968A6"/>
    <w:rsid w:val="0039793B"/>
    <w:rsid w:val="003A07F8"/>
    <w:rsid w:val="003A1055"/>
    <w:rsid w:val="003A10AE"/>
    <w:rsid w:val="003A2176"/>
    <w:rsid w:val="003A2612"/>
    <w:rsid w:val="003A32A9"/>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862"/>
    <w:rsid w:val="003A6BD9"/>
    <w:rsid w:val="003A6D3A"/>
    <w:rsid w:val="003A7D48"/>
    <w:rsid w:val="003B0BF4"/>
    <w:rsid w:val="003B1111"/>
    <w:rsid w:val="003B1933"/>
    <w:rsid w:val="003B30B3"/>
    <w:rsid w:val="003B3666"/>
    <w:rsid w:val="003B41C7"/>
    <w:rsid w:val="003B496A"/>
    <w:rsid w:val="003B5FA0"/>
    <w:rsid w:val="003B6047"/>
    <w:rsid w:val="003B64C0"/>
    <w:rsid w:val="003B693F"/>
    <w:rsid w:val="003B6DEA"/>
    <w:rsid w:val="003B6ECC"/>
    <w:rsid w:val="003B7250"/>
    <w:rsid w:val="003B7835"/>
    <w:rsid w:val="003B79B9"/>
    <w:rsid w:val="003B7A6C"/>
    <w:rsid w:val="003B7E92"/>
    <w:rsid w:val="003C01AC"/>
    <w:rsid w:val="003C04A9"/>
    <w:rsid w:val="003C0D77"/>
    <w:rsid w:val="003C0FEC"/>
    <w:rsid w:val="003C10E1"/>
    <w:rsid w:val="003C1852"/>
    <w:rsid w:val="003C1943"/>
    <w:rsid w:val="003C2214"/>
    <w:rsid w:val="003C2B5C"/>
    <w:rsid w:val="003C308E"/>
    <w:rsid w:val="003C4506"/>
    <w:rsid w:val="003C4DB4"/>
    <w:rsid w:val="003C4E4D"/>
    <w:rsid w:val="003C5308"/>
    <w:rsid w:val="003C6438"/>
    <w:rsid w:val="003C6D1D"/>
    <w:rsid w:val="003C6E27"/>
    <w:rsid w:val="003C6F87"/>
    <w:rsid w:val="003C7251"/>
    <w:rsid w:val="003C776C"/>
    <w:rsid w:val="003D02CD"/>
    <w:rsid w:val="003D332D"/>
    <w:rsid w:val="003D3787"/>
    <w:rsid w:val="003D436D"/>
    <w:rsid w:val="003D4EC0"/>
    <w:rsid w:val="003D506A"/>
    <w:rsid w:val="003D5FD3"/>
    <w:rsid w:val="003D61B5"/>
    <w:rsid w:val="003D7F56"/>
    <w:rsid w:val="003E11AE"/>
    <w:rsid w:val="003E1D8E"/>
    <w:rsid w:val="003E28EB"/>
    <w:rsid w:val="003E3939"/>
    <w:rsid w:val="003E3B30"/>
    <w:rsid w:val="003E44E5"/>
    <w:rsid w:val="003E45D7"/>
    <w:rsid w:val="003E4D6F"/>
    <w:rsid w:val="003E53BB"/>
    <w:rsid w:val="003E54EB"/>
    <w:rsid w:val="003E5A6B"/>
    <w:rsid w:val="003E65F5"/>
    <w:rsid w:val="003E69BA"/>
    <w:rsid w:val="003E7287"/>
    <w:rsid w:val="003E7437"/>
    <w:rsid w:val="003E7EE9"/>
    <w:rsid w:val="003E7FC1"/>
    <w:rsid w:val="003F0F5F"/>
    <w:rsid w:val="003F1034"/>
    <w:rsid w:val="003F1EF0"/>
    <w:rsid w:val="003F3EA5"/>
    <w:rsid w:val="003F4461"/>
    <w:rsid w:val="003F4A0E"/>
    <w:rsid w:val="003F4D08"/>
    <w:rsid w:val="003F589D"/>
    <w:rsid w:val="003F58AF"/>
    <w:rsid w:val="003F63C0"/>
    <w:rsid w:val="003F6728"/>
    <w:rsid w:val="003F6F4E"/>
    <w:rsid w:val="00400C56"/>
    <w:rsid w:val="00400F0F"/>
    <w:rsid w:val="004010B8"/>
    <w:rsid w:val="0040136C"/>
    <w:rsid w:val="00401663"/>
    <w:rsid w:val="00401924"/>
    <w:rsid w:val="0040197F"/>
    <w:rsid w:val="00401C77"/>
    <w:rsid w:val="00401CBF"/>
    <w:rsid w:val="004021BD"/>
    <w:rsid w:val="00402838"/>
    <w:rsid w:val="00402E87"/>
    <w:rsid w:val="0040325C"/>
    <w:rsid w:val="00403A29"/>
    <w:rsid w:val="004043E9"/>
    <w:rsid w:val="00404967"/>
    <w:rsid w:val="00404D7E"/>
    <w:rsid w:val="00405D30"/>
    <w:rsid w:val="004067BC"/>
    <w:rsid w:val="00406814"/>
    <w:rsid w:val="00406B81"/>
    <w:rsid w:val="004070B7"/>
    <w:rsid w:val="004078AA"/>
    <w:rsid w:val="00410D98"/>
    <w:rsid w:val="00412179"/>
    <w:rsid w:val="00413366"/>
    <w:rsid w:val="0041365C"/>
    <w:rsid w:val="00413C81"/>
    <w:rsid w:val="004143CB"/>
    <w:rsid w:val="004147AC"/>
    <w:rsid w:val="00414CDE"/>
    <w:rsid w:val="00414E3B"/>
    <w:rsid w:val="00414FEA"/>
    <w:rsid w:val="0041564F"/>
    <w:rsid w:val="00415998"/>
    <w:rsid w:val="00415C11"/>
    <w:rsid w:val="0041625C"/>
    <w:rsid w:val="004165DC"/>
    <w:rsid w:val="00416B0F"/>
    <w:rsid w:val="0041712E"/>
    <w:rsid w:val="004201D8"/>
    <w:rsid w:val="00420950"/>
    <w:rsid w:val="00420F2A"/>
    <w:rsid w:val="004216A9"/>
    <w:rsid w:val="00421CA3"/>
    <w:rsid w:val="00421D14"/>
    <w:rsid w:val="00421FA5"/>
    <w:rsid w:val="00422FBD"/>
    <w:rsid w:val="00423047"/>
    <w:rsid w:val="0042434D"/>
    <w:rsid w:val="00424E9C"/>
    <w:rsid w:val="00427176"/>
    <w:rsid w:val="00427682"/>
    <w:rsid w:val="004301DA"/>
    <w:rsid w:val="00430527"/>
    <w:rsid w:val="00430C55"/>
    <w:rsid w:val="00431DA5"/>
    <w:rsid w:val="00432187"/>
    <w:rsid w:val="00433A7A"/>
    <w:rsid w:val="00433E14"/>
    <w:rsid w:val="00433F76"/>
    <w:rsid w:val="00434298"/>
    <w:rsid w:val="004348BB"/>
    <w:rsid w:val="00434915"/>
    <w:rsid w:val="0043553A"/>
    <w:rsid w:val="00435568"/>
    <w:rsid w:val="0043678A"/>
    <w:rsid w:val="004369B2"/>
    <w:rsid w:val="00437204"/>
    <w:rsid w:val="00437C25"/>
    <w:rsid w:val="00440EFA"/>
    <w:rsid w:val="004410A6"/>
    <w:rsid w:val="00441578"/>
    <w:rsid w:val="00441FB4"/>
    <w:rsid w:val="004422B4"/>
    <w:rsid w:val="004427EB"/>
    <w:rsid w:val="00442906"/>
    <w:rsid w:val="00442B92"/>
    <w:rsid w:val="00442D9C"/>
    <w:rsid w:val="00444A9D"/>
    <w:rsid w:val="00445B98"/>
    <w:rsid w:val="004462E1"/>
    <w:rsid w:val="00446423"/>
    <w:rsid w:val="00446689"/>
    <w:rsid w:val="00450059"/>
    <w:rsid w:val="004502CD"/>
    <w:rsid w:val="004505AF"/>
    <w:rsid w:val="00450979"/>
    <w:rsid w:val="00450DE8"/>
    <w:rsid w:val="004515C2"/>
    <w:rsid w:val="004518AF"/>
    <w:rsid w:val="004529BD"/>
    <w:rsid w:val="00453FF2"/>
    <w:rsid w:val="004540D9"/>
    <w:rsid w:val="004542FA"/>
    <w:rsid w:val="00455806"/>
    <w:rsid w:val="00455889"/>
    <w:rsid w:val="00455A8E"/>
    <w:rsid w:val="00456A1A"/>
    <w:rsid w:val="004577C1"/>
    <w:rsid w:val="00457F04"/>
    <w:rsid w:val="00460298"/>
    <w:rsid w:val="004611C1"/>
    <w:rsid w:val="0046146E"/>
    <w:rsid w:val="00461B4B"/>
    <w:rsid w:val="00461CA6"/>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FF"/>
    <w:rsid w:val="0047086A"/>
    <w:rsid w:val="00470EEA"/>
    <w:rsid w:val="004713D1"/>
    <w:rsid w:val="00472013"/>
    <w:rsid w:val="00472138"/>
    <w:rsid w:val="004721B2"/>
    <w:rsid w:val="004725E6"/>
    <w:rsid w:val="0047379E"/>
    <w:rsid w:val="00474848"/>
    <w:rsid w:val="00475E2D"/>
    <w:rsid w:val="0047630E"/>
    <w:rsid w:val="00476460"/>
    <w:rsid w:val="004765BA"/>
    <w:rsid w:val="00476EA2"/>
    <w:rsid w:val="0048004B"/>
    <w:rsid w:val="00480944"/>
    <w:rsid w:val="00480C58"/>
    <w:rsid w:val="0048106A"/>
    <w:rsid w:val="00481476"/>
    <w:rsid w:val="00481536"/>
    <w:rsid w:val="0048173D"/>
    <w:rsid w:val="004827B2"/>
    <w:rsid w:val="00482A0C"/>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F39"/>
    <w:rsid w:val="00490F6A"/>
    <w:rsid w:val="0049134B"/>
    <w:rsid w:val="00491ED9"/>
    <w:rsid w:val="00492994"/>
    <w:rsid w:val="004939D7"/>
    <w:rsid w:val="004944F8"/>
    <w:rsid w:val="00494CD6"/>
    <w:rsid w:val="004955D2"/>
    <w:rsid w:val="00496FEA"/>
    <w:rsid w:val="0049743B"/>
    <w:rsid w:val="00497579"/>
    <w:rsid w:val="00497C4D"/>
    <w:rsid w:val="00497DE4"/>
    <w:rsid w:val="004A13F5"/>
    <w:rsid w:val="004A15B3"/>
    <w:rsid w:val="004A1709"/>
    <w:rsid w:val="004A3038"/>
    <w:rsid w:val="004A336A"/>
    <w:rsid w:val="004A33CD"/>
    <w:rsid w:val="004A38B9"/>
    <w:rsid w:val="004A4803"/>
    <w:rsid w:val="004A4E9A"/>
    <w:rsid w:val="004A74D2"/>
    <w:rsid w:val="004B0B07"/>
    <w:rsid w:val="004B0B1D"/>
    <w:rsid w:val="004B197E"/>
    <w:rsid w:val="004B292A"/>
    <w:rsid w:val="004B2A77"/>
    <w:rsid w:val="004B2C2D"/>
    <w:rsid w:val="004B3B4A"/>
    <w:rsid w:val="004B3E74"/>
    <w:rsid w:val="004B3FD9"/>
    <w:rsid w:val="004B6512"/>
    <w:rsid w:val="004B69B2"/>
    <w:rsid w:val="004B728F"/>
    <w:rsid w:val="004B75EC"/>
    <w:rsid w:val="004B782D"/>
    <w:rsid w:val="004B7A7A"/>
    <w:rsid w:val="004B7D0D"/>
    <w:rsid w:val="004C070C"/>
    <w:rsid w:val="004C1866"/>
    <w:rsid w:val="004C2776"/>
    <w:rsid w:val="004C2C08"/>
    <w:rsid w:val="004C33EB"/>
    <w:rsid w:val="004C3FF1"/>
    <w:rsid w:val="004C45C6"/>
    <w:rsid w:val="004C462E"/>
    <w:rsid w:val="004C47BE"/>
    <w:rsid w:val="004C56BB"/>
    <w:rsid w:val="004C6B21"/>
    <w:rsid w:val="004C6D9C"/>
    <w:rsid w:val="004C6EDC"/>
    <w:rsid w:val="004C6F4C"/>
    <w:rsid w:val="004C74B7"/>
    <w:rsid w:val="004C7EF3"/>
    <w:rsid w:val="004D0044"/>
    <w:rsid w:val="004D0C88"/>
    <w:rsid w:val="004D0D91"/>
    <w:rsid w:val="004D12C4"/>
    <w:rsid w:val="004D13EA"/>
    <w:rsid w:val="004D1EAB"/>
    <w:rsid w:val="004D257E"/>
    <w:rsid w:val="004D25AB"/>
    <w:rsid w:val="004D2E91"/>
    <w:rsid w:val="004D364A"/>
    <w:rsid w:val="004D402E"/>
    <w:rsid w:val="004D4249"/>
    <w:rsid w:val="004D494B"/>
    <w:rsid w:val="004D5775"/>
    <w:rsid w:val="004D595F"/>
    <w:rsid w:val="004D61A8"/>
    <w:rsid w:val="004D7133"/>
    <w:rsid w:val="004D7C38"/>
    <w:rsid w:val="004D7FBF"/>
    <w:rsid w:val="004E0578"/>
    <w:rsid w:val="004E0F0B"/>
    <w:rsid w:val="004E1324"/>
    <w:rsid w:val="004E1360"/>
    <w:rsid w:val="004E1471"/>
    <w:rsid w:val="004E1996"/>
    <w:rsid w:val="004E1F6F"/>
    <w:rsid w:val="004E2151"/>
    <w:rsid w:val="004E2885"/>
    <w:rsid w:val="004E39F9"/>
    <w:rsid w:val="004E4050"/>
    <w:rsid w:val="004E420B"/>
    <w:rsid w:val="004E4B8A"/>
    <w:rsid w:val="004E5B01"/>
    <w:rsid w:val="004E67B3"/>
    <w:rsid w:val="004E7413"/>
    <w:rsid w:val="004F01F7"/>
    <w:rsid w:val="004F03C3"/>
    <w:rsid w:val="004F0C02"/>
    <w:rsid w:val="004F0C1C"/>
    <w:rsid w:val="004F1386"/>
    <w:rsid w:val="004F1449"/>
    <w:rsid w:val="004F2245"/>
    <w:rsid w:val="004F237D"/>
    <w:rsid w:val="004F2EB8"/>
    <w:rsid w:val="004F348D"/>
    <w:rsid w:val="004F3B41"/>
    <w:rsid w:val="004F50E1"/>
    <w:rsid w:val="004F53DE"/>
    <w:rsid w:val="004F5ED8"/>
    <w:rsid w:val="004F64DD"/>
    <w:rsid w:val="004F665A"/>
    <w:rsid w:val="004F7463"/>
    <w:rsid w:val="004F7699"/>
    <w:rsid w:val="00500171"/>
    <w:rsid w:val="005003A6"/>
    <w:rsid w:val="005004AB"/>
    <w:rsid w:val="005018AB"/>
    <w:rsid w:val="00501910"/>
    <w:rsid w:val="005019C1"/>
    <w:rsid w:val="005024FD"/>
    <w:rsid w:val="00502D8B"/>
    <w:rsid w:val="005033CE"/>
    <w:rsid w:val="00503F0A"/>
    <w:rsid w:val="00504107"/>
    <w:rsid w:val="00504809"/>
    <w:rsid w:val="00505DBD"/>
    <w:rsid w:val="00505F18"/>
    <w:rsid w:val="0050677F"/>
    <w:rsid w:val="00506D13"/>
    <w:rsid w:val="00507464"/>
    <w:rsid w:val="00507A51"/>
    <w:rsid w:val="00507F92"/>
    <w:rsid w:val="0051067B"/>
    <w:rsid w:val="00510E64"/>
    <w:rsid w:val="005115D6"/>
    <w:rsid w:val="0051170F"/>
    <w:rsid w:val="00511AB2"/>
    <w:rsid w:val="00511C1D"/>
    <w:rsid w:val="0051396A"/>
    <w:rsid w:val="00513985"/>
    <w:rsid w:val="00514367"/>
    <w:rsid w:val="0051535C"/>
    <w:rsid w:val="005155CD"/>
    <w:rsid w:val="00515E61"/>
    <w:rsid w:val="00517594"/>
    <w:rsid w:val="00517622"/>
    <w:rsid w:val="005179CD"/>
    <w:rsid w:val="0052033B"/>
    <w:rsid w:val="00520631"/>
    <w:rsid w:val="0052083F"/>
    <w:rsid w:val="005213C4"/>
    <w:rsid w:val="00521EAE"/>
    <w:rsid w:val="005224A0"/>
    <w:rsid w:val="00522995"/>
    <w:rsid w:val="00523375"/>
    <w:rsid w:val="005235BF"/>
    <w:rsid w:val="00523B67"/>
    <w:rsid w:val="00523D06"/>
    <w:rsid w:val="00523F73"/>
    <w:rsid w:val="00525505"/>
    <w:rsid w:val="00525A27"/>
    <w:rsid w:val="00525B5D"/>
    <w:rsid w:val="0052615D"/>
    <w:rsid w:val="00526DC0"/>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F0F"/>
    <w:rsid w:val="00535855"/>
    <w:rsid w:val="00536266"/>
    <w:rsid w:val="00536947"/>
    <w:rsid w:val="00536F59"/>
    <w:rsid w:val="00537D53"/>
    <w:rsid w:val="005401F3"/>
    <w:rsid w:val="00540D34"/>
    <w:rsid w:val="0054138E"/>
    <w:rsid w:val="00541F19"/>
    <w:rsid w:val="005426B7"/>
    <w:rsid w:val="005430ED"/>
    <w:rsid w:val="005446B0"/>
    <w:rsid w:val="005448AE"/>
    <w:rsid w:val="005459A8"/>
    <w:rsid w:val="00545FA0"/>
    <w:rsid w:val="00546143"/>
    <w:rsid w:val="005473C2"/>
    <w:rsid w:val="00547A80"/>
    <w:rsid w:val="005506F0"/>
    <w:rsid w:val="0055088F"/>
    <w:rsid w:val="00550D9A"/>
    <w:rsid w:val="005510B1"/>
    <w:rsid w:val="00551459"/>
    <w:rsid w:val="00551785"/>
    <w:rsid w:val="00552927"/>
    <w:rsid w:val="00552C72"/>
    <w:rsid w:val="00553544"/>
    <w:rsid w:val="0055371A"/>
    <w:rsid w:val="00553ADE"/>
    <w:rsid w:val="00553B49"/>
    <w:rsid w:val="005542B2"/>
    <w:rsid w:val="00554311"/>
    <w:rsid w:val="00555729"/>
    <w:rsid w:val="005566A3"/>
    <w:rsid w:val="00556E45"/>
    <w:rsid w:val="005573B3"/>
    <w:rsid w:val="005573BB"/>
    <w:rsid w:val="00557804"/>
    <w:rsid w:val="00557A50"/>
    <w:rsid w:val="00557D06"/>
    <w:rsid w:val="0056196B"/>
    <w:rsid w:val="005622AB"/>
    <w:rsid w:val="0056363D"/>
    <w:rsid w:val="005643BD"/>
    <w:rsid w:val="00564BFF"/>
    <w:rsid w:val="00564D95"/>
    <w:rsid w:val="0056509A"/>
    <w:rsid w:val="005658C5"/>
    <w:rsid w:val="00565970"/>
    <w:rsid w:val="0056613A"/>
    <w:rsid w:val="0056654D"/>
    <w:rsid w:val="005677D4"/>
    <w:rsid w:val="00571344"/>
    <w:rsid w:val="00571A0D"/>
    <w:rsid w:val="00571EAB"/>
    <w:rsid w:val="0057259D"/>
    <w:rsid w:val="00573021"/>
    <w:rsid w:val="005735FC"/>
    <w:rsid w:val="00573F6C"/>
    <w:rsid w:val="00574623"/>
    <w:rsid w:val="00574BBB"/>
    <w:rsid w:val="00574BEC"/>
    <w:rsid w:val="00575688"/>
    <w:rsid w:val="005756A5"/>
    <w:rsid w:val="0057598D"/>
    <w:rsid w:val="00575F02"/>
    <w:rsid w:val="00576498"/>
    <w:rsid w:val="005765DB"/>
    <w:rsid w:val="00580044"/>
    <w:rsid w:val="00580134"/>
    <w:rsid w:val="00581EB2"/>
    <w:rsid w:val="00582103"/>
    <w:rsid w:val="00582C08"/>
    <w:rsid w:val="00582C70"/>
    <w:rsid w:val="00583185"/>
    <w:rsid w:val="00584668"/>
    <w:rsid w:val="00585959"/>
    <w:rsid w:val="00585BC2"/>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A08D0"/>
    <w:rsid w:val="005A1138"/>
    <w:rsid w:val="005A18E0"/>
    <w:rsid w:val="005A19DB"/>
    <w:rsid w:val="005A2F23"/>
    <w:rsid w:val="005A2FC0"/>
    <w:rsid w:val="005A338D"/>
    <w:rsid w:val="005A36A2"/>
    <w:rsid w:val="005A3C12"/>
    <w:rsid w:val="005A4830"/>
    <w:rsid w:val="005A4E0A"/>
    <w:rsid w:val="005A4FB1"/>
    <w:rsid w:val="005A79B9"/>
    <w:rsid w:val="005A7BC0"/>
    <w:rsid w:val="005A7D62"/>
    <w:rsid w:val="005B0A78"/>
    <w:rsid w:val="005B0B58"/>
    <w:rsid w:val="005B188F"/>
    <w:rsid w:val="005B4004"/>
    <w:rsid w:val="005B5169"/>
    <w:rsid w:val="005B53EB"/>
    <w:rsid w:val="005B5CC2"/>
    <w:rsid w:val="005B63EF"/>
    <w:rsid w:val="005B66AD"/>
    <w:rsid w:val="005B6725"/>
    <w:rsid w:val="005B79CA"/>
    <w:rsid w:val="005B7DDF"/>
    <w:rsid w:val="005C280E"/>
    <w:rsid w:val="005C29F8"/>
    <w:rsid w:val="005C2BA4"/>
    <w:rsid w:val="005C362A"/>
    <w:rsid w:val="005C3BB5"/>
    <w:rsid w:val="005C3DF6"/>
    <w:rsid w:val="005C4311"/>
    <w:rsid w:val="005C50DB"/>
    <w:rsid w:val="005C6000"/>
    <w:rsid w:val="005C6BF5"/>
    <w:rsid w:val="005C6DCB"/>
    <w:rsid w:val="005C7E7C"/>
    <w:rsid w:val="005D0690"/>
    <w:rsid w:val="005D18BE"/>
    <w:rsid w:val="005D2BAC"/>
    <w:rsid w:val="005D2BDF"/>
    <w:rsid w:val="005D2DDB"/>
    <w:rsid w:val="005D3F8B"/>
    <w:rsid w:val="005D4362"/>
    <w:rsid w:val="005D5131"/>
    <w:rsid w:val="005D5508"/>
    <w:rsid w:val="005D604C"/>
    <w:rsid w:val="005D6713"/>
    <w:rsid w:val="005D6D24"/>
    <w:rsid w:val="005D7714"/>
    <w:rsid w:val="005E00AD"/>
    <w:rsid w:val="005E0303"/>
    <w:rsid w:val="005E1087"/>
    <w:rsid w:val="005E2440"/>
    <w:rsid w:val="005E5083"/>
    <w:rsid w:val="005E59DB"/>
    <w:rsid w:val="005E6AE6"/>
    <w:rsid w:val="005E70DD"/>
    <w:rsid w:val="005E7410"/>
    <w:rsid w:val="005E751A"/>
    <w:rsid w:val="005F00C3"/>
    <w:rsid w:val="005F0D3B"/>
    <w:rsid w:val="005F1C33"/>
    <w:rsid w:val="005F28F5"/>
    <w:rsid w:val="005F3399"/>
    <w:rsid w:val="005F408F"/>
    <w:rsid w:val="005F442C"/>
    <w:rsid w:val="005F5010"/>
    <w:rsid w:val="005F5514"/>
    <w:rsid w:val="005F55A1"/>
    <w:rsid w:val="005F5EDD"/>
    <w:rsid w:val="005F6116"/>
    <w:rsid w:val="005F61B8"/>
    <w:rsid w:val="005F7457"/>
    <w:rsid w:val="00600C5D"/>
    <w:rsid w:val="00600E15"/>
    <w:rsid w:val="006016F5"/>
    <w:rsid w:val="0060363C"/>
    <w:rsid w:val="00603B42"/>
    <w:rsid w:val="00605029"/>
    <w:rsid w:val="006051E8"/>
    <w:rsid w:val="0060541C"/>
    <w:rsid w:val="00605930"/>
    <w:rsid w:val="00605B96"/>
    <w:rsid w:val="00606346"/>
    <w:rsid w:val="00606705"/>
    <w:rsid w:val="006073AD"/>
    <w:rsid w:val="006078CF"/>
    <w:rsid w:val="006104B2"/>
    <w:rsid w:val="006122DB"/>
    <w:rsid w:val="00612978"/>
    <w:rsid w:val="00612B24"/>
    <w:rsid w:val="006133A3"/>
    <w:rsid w:val="00613CEA"/>
    <w:rsid w:val="00613D6A"/>
    <w:rsid w:val="006148DA"/>
    <w:rsid w:val="00614B2B"/>
    <w:rsid w:val="00614E43"/>
    <w:rsid w:val="00615BD0"/>
    <w:rsid w:val="006164AF"/>
    <w:rsid w:val="006164C9"/>
    <w:rsid w:val="00616510"/>
    <w:rsid w:val="00616AB4"/>
    <w:rsid w:val="00616AF8"/>
    <w:rsid w:val="00616BA4"/>
    <w:rsid w:val="00616E19"/>
    <w:rsid w:val="00617714"/>
    <w:rsid w:val="00617B8B"/>
    <w:rsid w:val="00617F81"/>
    <w:rsid w:val="00620267"/>
    <w:rsid w:val="006210B5"/>
    <w:rsid w:val="006217DF"/>
    <w:rsid w:val="00621E9E"/>
    <w:rsid w:val="006221A4"/>
    <w:rsid w:val="00622F65"/>
    <w:rsid w:val="00623954"/>
    <w:rsid w:val="00625011"/>
    <w:rsid w:val="00625DA1"/>
    <w:rsid w:val="006267C0"/>
    <w:rsid w:val="006279F2"/>
    <w:rsid w:val="00630925"/>
    <w:rsid w:val="00630A49"/>
    <w:rsid w:val="00630DF5"/>
    <w:rsid w:val="006315A8"/>
    <w:rsid w:val="006318FB"/>
    <w:rsid w:val="00631963"/>
    <w:rsid w:val="00631A85"/>
    <w:rsid w:val="0063215B"/>
    <w:rsid w:val="006335E9"/>
    <w:rsid w:val="0063426D"/>
    <w:rsid w:val="006342FA"/>
    <w:rsid w:val="0063434A"/>
    <w:rsid w:val="00634AD8"/>
    <w:rsid w:val="006357C5"/>
    <w:rsid w:val="006359CF"/>
    <w:rsid w:val="00636061"/>
    <w:rsid w:val="00636B0E"/>
    <w:rsid w:val="006376ED"/>
    <w:rsid w:val="00637BE2"/>
    <w:rsid w:val="00637C47"/>
    <w:rsid w:val="00640F04"/>
    <w:rsid w:val="00641149"/>
    <w:rsid w:val="0064117D"/>
    <w:rsid w:val="006414D9"/>
    <w:rsid w:val="00641AC8"/>
    <w:rsid w:val="006424B2"/>
    <w:rsid w:val="00642FF1"/>
    <w:rsid w:val="00642FFD"/>
    <w:rsid w:val="0064369A"/>
    <w:rsid w:val="00644A3A"/>
    <w:rsid w:val="00644AC8"/>
    <w:rsid w:val="0064501C"/>
    <w:rsid w:val="00646642"/>
    <w:rsid w:val="00646E42"/>
    <w:rsid w:val="006470C4"/>
    <w:rsid w:val="0064716E"/>
    <w:rsid w:val="006478FC"/>
    <w:rsid w:val="006479A2"/>
    <w:rsid w:val="00647F29"/>
    <w:rsid w:val="00650385"/>
    <w:rsid w:val="00650873"/>
    <w:rsid w:val="00650E5B"/>
    <w:rsid w:val="00651E83"/>
    <w:rsid w:val="00652135"/>
    <w:rsid w:val="006536FF"/>
    <w:rsid w:val="00653B49"/>
    <w:rsid w:val="00653D42"/>
    <w:rsid w:val="0065474E"/>
    <w:rsid w:val="00654A4B"/>
    <w:rsid w:val="0065503C"/>
    <w:rsid w:val="006550C3"/>
    <w:rsid w:val="006555C2"/>
    <w:rsid w:val="00655C91"/>
    <w:rsid w:val="00655F47"/>
    <w:rsid w:val="0065643A"/>
    <w:rsid w:val="00657135"/>
    <w:rsid w:val="006603CA"/>
    <w:rsid w:val="006618C8"/>
    <w:rsid w:val="006620F3"/>
    <w:rsid w:val="00662806"/>
    <w:rsid w:val="00664D35"/>
    <w:rsid w:val="00665097"/>
    <w:rsid w:val="00665E2F"/>
    <w:rsid w:val="00666042"/>
    <w:rsid w:val="00667B66"/>
    <w:rsid w:val="00670C09"/>
    <w:rsid w:val="00671E7A"/>
    <w:rsid w:val="006728F7"/>
    <w:rsid w:val="00672CF2"/>
    <w:rsid w:val="00672EE9"/>
    <w:rsid w:val="006736C1"/>
    <w:rsid w:val="00674187"/>
    <w:rsid w:val="006746B1"/>
    <w:rsid w:val="00674A5C"/>
    <w:rsid w:val="00676225"/>
    <w:rsid w:val="00676431"/>
    <w:rsid w:val="006765F7"/>
    <w:rsid w:val="0067663D"/>
    <w:rsid w:val="006766B1"/>
    <w:rsid w:val="00676950"/>
    <w:rsid w:val="00677BB1"/>
    <w:rsid w:val="00677C8C"/>
    <w:rsid w:val="006800AF"/>
    <w:rsid w:val="00680330"/>
    <w:rsid w:val="00680720"/>
    <w:rsid w:val="00681631"/>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ABA"/>
    <w:rsid w:val="0069207F"/>
    <w:rsid w:val="00692B95"/>
    <w:rsid w:val="006936D7"/>
    <w:rsid w:val="00693A7B"/>
    <w:rsid w:val="00694372"/>
    <w:rsid w:val="00694A39"/>
    <w:rsid w:val="00696E62"/>
    <w:rsid w:val="006972BA"/>
    <w:rsid w:val="006973EB"/>
    <w:rsid w:val="00697434"/>
    <w:rsid w:val="006A01BD"/>
    <w:rsid w:val="006A02EA"/>
    <w:rsid w:val="006A08B4"/>
    <w:rsid w:val="006A11BE"/>
    <w:rsid w:val="006A36C0"/>
    <w:rsid w:val="006A3AA9"/>
    <w:rsid w:val="006A417F"/>
    <w:rsid w:val="006A4596"/>
    <w:rsid w:val="006A5203"/>
    <w:rsid w:val="006A5881"/>
    <w:rsid w:val="006A7CCA"/>
    <w:rsid w:val="006B0D68"/>
    <w:rsid w:val="006B0F30"/>
    <w:rsid w:val="006B0FD9"/>
    <w:rsid w:val="006B10DC"/>
    <w:rsid w:val="006B14AD"/>
    <w:rsid w:val="006B1FFB"/>
    <w:rsid w:val="006B23FB"/>
    <w:rsid w:val="006B33AE"/>
    <w:rsid w:val="006B4436"/>
    <w:rsid w:val="006B48EA"/>
    <w:rsid w:val="006B4CA9"/>
    <w:rsid w:val="006B4D98"/>
    <w:rsid w:val="006B7031"/>
    <w:rsid w:val="006B75A3"/>
    <w:rsid w:val="006C0729"/>
    <w:rsid w:val="006C0CA1"/>
    <w:rsid w:val="006C25C4"/>
    <w:rsid w:val="006C2704"/>
    <w:rsid w:val="006C28CF"/>
    <w:rsid w:val="006C3322"/>
    <w:rsid w:val="006C3A3D"/>
    <w:rsid w:val="006C3B7E"/>
    <w:rsid w:val="006C4BB8"/>
    <w:rsid w:val="006C4F90"/>
    <w:rsid w:val="006C575D"/>
    <w:rsid w:val="006C58FD"/>
    <w:rsid w:val="006C6111"/>
    <w:rsid w:val="006C6B39"/>
    <w:rsid w:val="006C6D4D"/>
    <w:rsid w:val="006C7125"/>
    <w:rsid w:val="006D117B"/>
    <w:rsid w:val="006D16E4"/>
    <w:rsid w:val="006D1A2B"/>
    <w:rsid w:val="006D20B0"/>
    <w:rsid w:val="006D21A8"/>
    <w:rsid w:val="006D3BD7"/>
    <w:rsid w:val="006D437F"/>
    <w:rsid w:val="006D4F8F"/>
    <w:rsid w:val="006D5982"/>
    <w:rsid w:val="006D5A8B"/>
    <w:rsid w:val="006D5C56"/>
    <w:rsid w:val="006D5E8D"/>
    <w:rsid w:val="006D685F"/>
    <w:rsid w:val="006D7047"/>
    <w:rsid w:val="006D741F"/>
    <w:rsid w:val="006D77A0"/>
    <w:rsid w:val="006D7D0C"/>
    <w:rsid w:val="006D7F77"/>
    <w:rsid w:val="006E1738"/>
    <w:rsid w:val="006E1A87"/>
    <w:rsid w:val="006E2D94"/>
    <w:rsid w:val="006E3226"/>
    <w:rsid w:val="006E3F55"/>
    <w:rsid w:val="006E4B85"/>
    <w:rsid w:val="006E52F6"/>
    <w:rsid w:val="006E5AE4"/>
    <w:rsid w:val="006E60EA"/>
    <w:rsid w:val="006F0FFF"/>
    <w:rsid w:val="006F2250"/>
    <w:rsid w:val="006F2592"/>
    <w:rsid w:val="006F2A7D"/>
    <w:rsid w:val="006F3531"/>
    <w:rsid w:val="006F391E"/>
    <w:rsid w:val="006F3C93"/>
    <w:rsid w:val="006F4BF7"/>
    <w:rsid w:val="006F5957"/>
    <w:rsid w:val="006F6B8F"/>
    <w:rsid w:val="0070083E"/>
    <w:rsid w:val="00700E96"/>
    <w:rsid w:val="00700FD9"/>
    <w:rsid w:val="00701B5B"/>
    <w:rsid w:val="00702A40"/>
    <w:rsid w:val="00702CFF"/>
    <w:rsid w:val="00703FA0"/>
    <w:rsid w:val="00704C17"/>
    <w:rsid w:val="00704E6A"/>
    <w:rsid w:val="007057AB"/>
    <w:rsid w:val="007059B2"/>
    <w:rsid w:val="00707AF3"/>
    <w:rsid w:val="00707D22"/>
    <w:rsid w:val="0071007C"/>
    <w:rsid w:val="007104B6"/>
    <w:rsid w:val="00710CAA"/>
    <w:rsid w:val="00711473"/>
    <w:rsid w:val="007122B2"/>
    <w:rsid w:val="007134D3"/>
    <w:rsid w:val="0071385D"/>
    <w:rsid w:val="00713B92"/>
    <w:rsid w:val="007146BE"/>
    <w:rsid w:val="00715CA8"/>
    <w:rsid w:val="00715E1E"/>
    <w:rsid w:val="007164C1"/>
    <w:rsid w:val="00716EB9"/>
    <w:rsid w:val="00717580"/>
    <w:rsid w:val="00717710"/>
    <w:rsid w:val="007200FD"/>
    <w:rsid w:val="0072060C"/>
    <w:rsid w:val="00720AC8"/>
    <w:rsid w:val="007227E3"/>
    <w:rsid w:val="007239EC"/>
    <w:rsid w:val="00723A08"/>
    <w:rsid w:val="00724EC4"/>
    <w:rsid w:val="00724F2E"/>
    <w:rsid w:val="00725433"/>
    <w:rsid w:val="007257BA"/>
    <w:rsid w:val="00725955"/>
    <w:rsid w:val="00725A32"/>
    <w:rsid w:val="007262AD"/>
    <w:rsid w:val="007270F5"/>
    <w:rsid w:val="00727644"/>
    <w:rsid w:val="00727E58"/>
    <w:rsid w:val="007303FE"/>
    <w:rsid w:val="0073090D"/>
    <w:rsid w:val="007312B2"/>
    <w:rsid w:val="0073226E"/>
    <w:rsid w:val="007327EA"/>
    <w:rsid w:val="00733048"/>
    <w:rsid w:val="007341C1"/>
    <w:rsid w:val="00734221"/>
    <w:rsid w:val="0073456C"/>
    <w:rsid w:val="007350F7"/>
    <w:rsid w:val="007362A1"/>
    <w:rsid w:val="00736620"/>
    <w:rsid w:val="00736AE6"/>
    <w:rsid w:val="00736E83"/>
    <w:rsid w:val="00737087"/>
    <w:rsid w:val="007413DC"/>
    <w:rsid w:val="0074189E"/>
    <w:rsid w:val="007419A9"/>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FA3"/>
    <w:rsid w:val="00755AF7"/>
    <w:rsid w:val="00756827"/>
    <w:rsid w:val="00756ABA"/>
    <w:rsid w:val="00757054"/>
    <w:rsid w:val="00757B8A"/>
    <w:rsid w:val="00757D21"/>
    <w:rsid w:val="0076014E"/>
    <w:rsid w:val="00760C8C"/>
    <w:rsid w:val="007617A4"/>
    <w:rsid w:val="00762DE8"/>
    <w:rsid w:val="0076314D"/>
    <w:rsid w:val="00763780"/>
    <w:rsid w:val="007637D6"/>
    <w:rsid w:val="00763C24"/>
    <w:rsid w:val="00764FE1"/>
    <w:rsid w:val="00767A2B"/>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5716"/>
    <w:rsid w:val="007757B1"/>
    <w:rsid w:val="00775845"/>
    <w:rsid w:val="007767D3"/>
    <w:rsid w:val="00776DD1"/>
    <w:rsid w:val="00776F26"/>
    <w:rsid w:val="0077712B"/>
    <w:rsid w:val="00777946"/>
    <w:rsid w:val="007800BD"/>
    <w:rsid w:val="00780340"/>
    <w:rsid w:val="0078056F"/>
    <w:rsid w:val="00780CF3"/>
    <w:rsid w:val="007816D8"/>
    <w:rsid w:val="00781C0F"/>
    <w:rsid w:val="007822E4"/>
    <w:rsid w:val="007822FD"/>
    <w:rsid w:val="0078269B"/>
    <w:rsid w:val="007827D9"/>
    <w:rsid w:val="00782979"/>
    <w:rsid w:val="00782B5F"/>
    <w:rsid w:val="00782EC8"/>
    <w:rsid w:val="00783F1A"/>
    <w:rsid w:val="00784854"/>
    <w:rsid w:val="0078491F"/>
    <w:rsid w:val="0078546F"/>
    <w:rsid w:val="00785672"/>
    <w:rsid w:val="00785806"/>
    <w:rsid w:val="007870F8"/>
    <w:rsid w:val="007874BB"/>
    <w:rsid w:val="00787AEB"/>
    <w:rsid w:val="007905E6"/>
    <w:rsid w:val="007917AE"/>
    <w:rsid w:val="00791C5F"/>
    <w:rsid w:val="00791DEB"/>
    <w:rsid w:val="007925C6"/>
    <w:rsid w:val="0079360D"/>
    <w:rsid w:val="00794931"/>
    <w:rsid w:val="00794A41"/>
    <w:rsid w:val="00795995"/>
    <w:rsid w:val="00795E9E"/>
    <w:rsid w:val="00796266"/>
    <w:rsid w:val="00796DC0"/>
    <w:rsid w:val="007A0221"/>
    <w:rsid w:val="007A1398"/>
    <w:rsid w:val="007A1B2A"/>
    <w:rsid w:val="007A2822"/>
    <w:rsid w:val="007A35E2"/>
    <w:rsid w:val="007A3964"/>
    <w:rsid w:val="007A3A34"/>
    <w:rsid w:val="007A467C"/>
    <w:rsid w:val="007A470E"/>
    <w:rsid w:val="007A5B63"/>
    <w:rsid w:val="007A5EC1"/>
    <w:rsid w:val="007A6310"/>
    <w:rsid w:val="007A6818"/>
    <w:rsid w:val="007A715D"/>
    <w:rsid w:val="007B0A26"/>
    <w:rsid w:val="007B1221"/>
    <w:rsid w:val="007B1B7E"/>
    <w:rsid w:val="007B1DB7"/>
    <w:rsid w:val="007B2B8D"/>
    <w:rsid w:val="007B35BE"/>
    <w:rsid w:val="007B46BF"/>
    <w:rsid w:val="007B5383"/>
    <w:rsid w:val="007B61E6"/>
    <w:rsid w:val="007B69ED"/>
    <w:rsid w:val="007B78ED"/>
    <w:rsid w:val="007B7ACE"/>
    <w:rsid w:val="007B7D25"/>
    <w:rsid w:val="007C0E6F"/>
    <w:rsid w:val="007C139C"/>
    <w:rsid w:val="007C1AC4"/>
    <w:rsid w:val="007C1BCF"/>
    <w:rsid w:val="007C1FC9"/>
    <w:rsid w:val="007C2607"/>
    <w:rsid w:val="007C2ABB"/>
    <w:rsid w:val="007C2BE4"/>
    <w:rsid w:val="007C3C89"/>
    <w:rsid w:val="007C3E25"/>
    <w:rsid w:val="007C4262"/>
    <w:rsid w:val="007C5CB2"/>
    <w:rsid w:val="007C66BF"/>
    <w:rsid w:val="007C67E2"/>
    <w:rsid w:val="007C7971"/>
    <w:rsid w:val="007C7DFF"/>
    <w:rsid w:val="007D01BC"/>
    <w:rsid w:val="007D1137"/>
    <w:rsid w:val="007D12EA"/>
    <w:rsid w:val="007D156B"/>
    <w:rsid w:val="007D219D"/>
    <w:rsid w:val="007D2F92"/>
    <w:rsid w:val="007D374D"/>
    <w:rsid w:val="007D3F55"/>
    <w:rsid w:val="007D4253"/>
    <w:rsid w:val="007D433F"/>
    <w:rsid w:val="007D435F"/>
    <w:rsid w:val="007D527A"/>
    <w:rsid w:val="007D5D8B"/>
    <w:rsid w:val="007D5FA6"/>
    <w:rsid w:val="007D6635"/>
    <w:rsid w:val="007D6BB1"/>
    <w:rsid w:val="007D798F"/>
    <w:rsid w:val="007D7A20"/>
    <w:rsid w:val="007E0A04"/>
    <w:rsid w:val="007E10E7"/>
    <w:rsid w:val="007E1738"/>
    <w:rsid w:val="007E1833"/>
    <w:rsid w:val="007E2779"/>
    <w:rsid w:val="007E3073"/>
    <w:rsid w:val="007E4314"/>
    <w:rsid w:val="007E4572"/>
    <w:rsid w:val="007E5038"/>
    <w:rsid w:val="007E57D2"/>
    <w:rsid w:val="007E58E3"/>
    <w:rsid w:val="007E5E5B"/>
    <w:rsid w:val="007E6810"/>
    <w:rsid w:val="007E6F97"/>
    <w:rsid w:val="007E6F9F"/>
    <w:rsid w:val="007E7764"/>
    <w:rsid w:val="007E7C36"/>
    <w:rsid w:val="007F0969"/>
    <w:rsid w:val="007F0C33"/>
    <w:rsid w:val="007F0CEC"/>
    <w:rsid w:val="007F10E6"/>
    <w:rsid w:val="007F1174"/>
    <w:rsid w:val="007F11D7"/>
    <w:rsid w:val="007F1383"/>
    <w:rsid w:val="007F164B"/>
    <w:rsid w:val="007F1DA7"/>
    <w:rsid w:val="007F1F79"/>
    <w:rsid w:val="007F24E2"/>
    <w:rsid w:val="007F2DDE"/>
    <w:rsid w:val="007F337D"/>
    <w:rsid w:val="007F3BA1"/>
    <w:rsid w:val="007F41FD"/>
    <w:rsid w:val="007F4592"/>
    <w:rsid w:val="007F47F1"/>
    <w:rsid w:val="007F5071"/>
    <w:rsid w:val="007F50EE"/>
    <w:rsid w:val="007F5604"/>
    <w:rsid w:val="007F6192"/>
    <w:rsid w:val="007F6756"/>
    <w:rsid w:val="007F6AFF"/>
    <w:rsid w:val="007F7E44"/>
    <w:rsid w:val="007F7FF8"/>
    <w:rsid w:val="00803155"/>
    <w:rsid w:val="00803FBB"/>
    <w:rsid w:val="0080439F"/>
    <w:rsid w:val="008043A8"/>
    <w:rsid w:val="00805DD3"/>
    <w:rsid w:val="00806AE6"/>
    <w:rsid w:val="00807AD3"/>
    <w:rsid w:val="008108AC"/>
    <w:rsid w:val="008115FD"/>
    <w:rsid w:val="00811A99"/>
    <w:rsid w:val="00811B13"/>
    <w:rsid w:val="0081430E"/>
    <w:rsid w:val="00814341"/>
    <w:rsid w:val="008149EF"/>
    <w:rsid w:val="008151EC"/>
    <w:rsid w:val="00816065"/>
    <w:rsid w:val="00817042"/>
    <w:rsid w:val="008174C3"/>
    <w:rsid w:val="008206CE"/>
    <w:rsid w:val="00820AD0"/>
    <w:rsid w:val="00821BA2"/>
    <w:rsid w:val="008221C1"/>
    <w:rsid w:val="008227D4"/>
    <w:rsid w:val="00823232"/>
    <w:rsid w:val="00823A32"/>
    <w:rsid w:val="00823B4C"/>
    <w:rsid w:val="0082411F"/>
    <w:rsid w:val="00825455"/>
    <w:rsid w:val="00825520"/>
    <w:rsid w:val="0082560D"/>
    <w:rsid w:val="0082574D"/>
    <w:rsid w:val="00825D03"/>
    <w:rsid w:val="00825F7C"/>
    <w:rsid w:val="00826A26"/>
    <w:rsid w:val="00826CF1"/>
    <w:rsid w:val="00826D36"/>
    <w:rsid w:val="00827192"/>
    <w:rsid w:val="00827EE7"/>
    <w:rsid w:val="00830178"/>
    <w:rsid w:val="00831025"/>
    <w:rsid w:val="00831752"/>
    <w:rsid w:val="00831B93"/>
    <w:rsid w:val="00831CDE"/>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F30"/>
    <w:rsid w:val="008375EB"/>
    <w:rsid w:val="00837E94"/>
    <w:rsid w:val="0084082F"/>
    <w:rsid w:val="00841302"/>
    <w:rsid w:val="00841CCE"/>
    <w:rsid w:val="00843E0F"/>
    <w:rsid w:val="008446B4"/>
    <w:rsid w:val="00844ADE"/>
    <w:rsid w:val="00845096"/>
    <w:rsid w:val="00845242"/>
    <w:rsid w:val="00845C0C"/>
    <w:rsid w:val="00846055"/>
    <w:rsid w:val="0084674B"/>
    <w:rsid w:val="008469C7"/>
    <w:rsid w:val="00847916"/>
    <w:rsid w:val="00847C4D"/>
    <w:rsid w:val="008500C1"/>
    <w:rsid w:val="00850BB0"/>
    <w:rsid w:val="0085119E"/>
    <w:rsid w:val="00851CC5"/>
    <w:rsid w:val="00851D2C"/>
    <w:rsid w:val="008521F9"/>
    <w:rsid w:val="00852263"/>
    <w:rsid w:val="00852D5E"/>
    <w:rsid w:val="0085317B"/>
    <w:rsid w:val="0085328E"/>
    <w:rsid w:val="00853F0A"/>
    <w:rsid w:val="008546BE"/>
    <w:rsid w:val="0085496F"/>
    <w:rsid w:val="008555F3"/>
    <w:rsid w:val="00855879"/>
    <w:rsid w:val="0085627F"/>
    <w:rsid w:val="00856344"/>
    <w:rsid w:val="00856A9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649A"/>
    <w:rsid w:val="008667B9"/>
    <w:rsid w:val="00866B4D"/>
    <w:rsid w:val="00866DC4"/>
    <w:rsid w:val="008676CB"/>
    <w:rsid w:val="00870121"/>
    <w:rsid w:val="0087093B"/>
    <w:rsid w:val="00870B5A"/>
    <w:rsid w:val="00870D14"/>
    <w:rsid w:val="0087115E"/>
    <w:rsid w:val="008716CB"/>
    <w:rsid w:val="008719C4"/>
    <w:rsid w:val="0087345D"/>
    <w:rsid w:val="00873713"/>
    <w:rsid w:val="0087456C"/>
    <w:rsid w:val="00875068"/>
    <w:rsid w:val="008751D3"/>
    <w:rsid w:val="00876394"/>
    <w:rsid w:val="00876657"/>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8CC"/>
    <w:rsid w:val="00887C29"/>
    <w:rsid w:val="00890AC9"/>
    <w:rsid w:val="00893497"/>
    <w:rsid w:val="008942E7"/>
    <w:rsid w:val="00894709"/>
    <w:rsid w:val="00895AA2"/>
    <w:rsid w:val="00897094"/>
    <w:rsid w:val="00897286"/>
    <w:rsid w:val="00897563"/>
    <w:rsid w:val="00897815"/>
    <w:rsid w:val="008A0549"/>
    <w:rsid w:val="008A0F62"/>
    <w:rsid w:val="008A2533"/>
    <w:rsid w:val="008A28C4"/>
    <w:rsid w:val="008A2C51"/>
    <w:rsid w:val="008A36B7"/>
    <w:rsid w:val="008A3934"/>
    <w:rsid w:val="008A3DC6"/>
    <w:rsid w:val="008A4E4A"/>
    <w:rsid w:val="008A4FB7"/>
    <w:rsid w:val="008A517B"/>
    <w:rsid w:val="008A5402"/>
    <w:rsid w:val="008A54C8"/>
    <w:rsid w:val="008A663E"/>
    <w:rsid w:val="008A6DCA"/>
    <w:rsid w:val="008A6FBA"/>
    <w:rsid w:val="008A791B"/>
    <w:rsid w:val="008B048F"/>
    <w:rsid w:val="008B08DA"/>
    <w:rsid w:val="008B0C67"/>
    <w:rsid w:val="008B1088"/>
    <w:rsid w:val="008B2598"/>
    <w:rsid w:val="008B4009"/>
    <w:rsid w:val="008B4956"/>
    <w:rsid w:val="008B532F"/>
    <w:rsid w:val="008B600B"/>
    <w:rsid w:val="008B60E2"/>
    <w:rsid w:val="008B6511"/>
    <w:rsid w:val="008B7475"/>
    <w:rsid w:val="008B7787"/>
    <w:rsid w:val="008B7DF5"/>
    <w:rsid w:val="008C070D"/>
    <w:rsid w:val="008C0F61"/>
    <w:rsid w:val="008C26A6"/>
    <w:rsid w:val="008C390F"/>
    <w:rsid w:val="008C436C"/>
    <w:rsid w:val="008C49E3"/>
    <w:rsid w:val="008C4BD5"/>
    <w:rsid w:val="008C56EE"/>
    <w:rsid w:val="008C5922"/>
    <w:rsid w:val="008C5FD7"/>
    <w:rsid w:val="008C688A"/>
    <w:rsid w:val="008D0823"/>
    <w:rsid w:val="008D194B"/>
    <w:rsid w:val="008D1AC8"/>
    <w:rsid w:val="008D1F5C"/>
    <w:rsid w:val="008D2663"/>
    <w:rsid w:val="008D2829"/>
    <w:rsid w:val="008D3349"/>
    <w:rsid w:val="008D3482"/>
    <w:rsid w:val="008D3484"/>
    <w:rsid w:val="008D369E"/>
    <w:rsid w:val="008D433F"/>
    <w:rsid w:val="008D49D7"/>
    <w:rsid w:val="008D584B"/>
    <w:rsid w:val="008D5D5F"/>
    <w:rsid w:val="008D66A2"/>
    <w:rsid w:val="008D6AA4"/>
    <w:rsid w:val="008D794C"/>
    <w:rsid w:val="008E16F9"/>
    <w:rsid w:val="008E1C65"/>
    <w:rsid w:val="008E2491"/>
    <w:rsid w:val="008E2621"/>
    <w:rsid w:val="008E31C4"/>
    <w:rsid w:val="008E3ECC"/>
    <w:rsid w:val="008E64EB"/>
    <w:rsid w:val="008E69AC"/>
    <w:rsid w:val="008E6F00"/>
    <w:rsid w:val="008E7B87"/>
    <w:rsid w:val="008F0291"/>
    <w:rsid w:val="008F1F71"/>
    <w:rsid w:val="008F26D4"/>
    <w:rsid w:val="008F3F33"/>
    <w:rsid w:val="008F44BD"/>
    <w:rsid w:val="008F4C82"/>
    <w:rsid w:val="008F4E37"/>
    <w:rsid w:val="008F4F89"/>
    <w:rsid w:val="008F540C"/>
    <w:rsid w:val="008F5415"/>
    <w:rsid w:val="008F56AC"/>
    <w:rsid w:val="008F5DB7"/>
    <w:rsid w:val="008F7306"/>
    <w:rsid w:val="00900744"/>
    <w:rsid w:val="009008F2"/>
    <w:rsid w:val="00900A11"/>
    <w:rsid w:val="009012D4"/>
    <w:rsid w:val="009016E8"/>
    <w:rsid w:val="00902308"/>
    <w:rsid w:val="009026F3"/>
    <w:rsid w:val="009028CA"/>
    <w:rsid w:val="00903774"/>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A33"/>
    <w:rsid w:val="00915D46"/>
    <w:rsid w:val="00916835"/>
    <w:rsid w:val="00916E70"/>
    <w:rsid w:val="009170DE"/>
    <w:rsid w:val="009172F2"/>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BAA"/>
    <w:rsid w:val="00931A25"/>
    <w:rsid w:val="0093332A"/>
    <w:rsid w:val="009333BB"/>
    <w:rsid w:val="009340E3"/>
    <w:rsid w:val="0093456C"/>
    <w:rsid w:val="009353C7"/>
    <w:rsid w:val="0093562B"/>
    <w:rsid w:val="009356C1"/>
    <w:rsid w:val="00936C53"/>
    <w:rsid w:val="00937A74"/>
    <w:rsid w:val="009404D6"/>
    <w:rsid w:val="009408C2"/>
    <w:rsid w:val="009415EB"/>
    <w:rsid w:val="00941BB7"/>
    <w:rsid w:val="009437E9"/>
    <w:rsid w:val="00943A67"/>
    <w:rsid w:val="00943EFA"/>
    <w:rsid w:val="009447A3"/>
    <w:rsid w:val="00944C45"/>
    <w:rsid w:val="00944FB4"/>
    <w:rsid w:val="00945274"/>
    <w:rsid w:val="00945A25"/>
    <w:rsid w:val="00945B39"/>
    <w:rsid w:val="0094658B"/>
    <w:rsid w:val="0094735E"/>
    <w:rsid w:val="0094743F"/>
    <w:rsid w:val="00947C07"/>
    <w:rsid w:val="00950161"/>
    <w:rsid w:val="00951443"/>
    <w:rsid w:val="0095159B"/>
    <w:rsid w:val="00951A0A"/>
    <w:rsid w:val="00951F6F"/>
    <w:rsid w:val="00952078"/>
    <w:rsid w:val="00952244"/>
    <w:rsid w:val="00952282"/>
    <w:rsid w:val="009526B8"/>
    <w:rsid w:val="0095288C"/>
    <w:rsid w:val="0095471A"/>
    <w:rsid w:val="00954EDD"/>
    <w:rsid w:val="009550A6"/>
    <w:rsid w:val="0095537B"/>
    <w:rsid w:val="009553C6"/>
    <w:rsid w:val="00955FDB"/>
    <w:rsid w:val="009569B8"/>
    <w:rsid w:val="00956BFB"/>
    <w:rsid w:val="00956DB0"/>
    <w:rsid w:val="00956DFE"/>
    <w:rsid w:val="00956F82"/>
    <w:rsid w:val="0095745C"/>
    <w:rsid w:val="00957E03"/>
    <w:rsid w:val="00960F94"/>
    <w:rsid w:val="009611F2"/>
    <w:rsid w:val="009615EC"/>
    <w:rsid w:val="009616A9"/>
    <w:rsid w:val="00961E1B"/>
    <w:rsid w:val="0096257C"/>
    <w:rsid w:val="00963870"/>
    <w:rsid w:val="00963E16"/>
    <w:rsid w:val="00964467"/>
    <w:rsid w:val="00965B71"/>
    <w:rsid w:val="00965F4F"/>
    <w:rsid w:val="00966232"/>
    <w:rsid w:val="00966ED1"/>
    <w:rsid w:val="009676BE"/>
    <w:rsid w:val="009702B6"/>
    <w:rsid w:val="009705DF"/>
    <w:rsid w:val="0097078D"/>
    <w:rsid w:val="009709BF"/>
    <w:rsid w:val="0097168D"/>
    <w:rsid w:val="00972124"/>
    <w:rsid w:val="00972442"/>
    <w:rsid w:val="00972BC8"/>
    <w:rsid w:val="00973669"/>
    <w:rsid w:val="0097445D"/>
    <w:rsid w:val="00975876"/>
    <w:rsid w:val="00976DF1"/>
    <w:rsid w:val="00977D0D"/>
    <w:rsid w:val="0098003F"/>
    <w:rsid w:val="009821AF"/>
    <w:rsid w:val="00982A58"/>
    <w:rsid w:val="00983B46"/>
    <w:rsid w:val="00983FE2"/>
    <w:rsid w:val="00984301"/>
    <w:rsid w:val="009844B5"/>
    <w:rsid w:val="0098478C"/>
    <w:rsid w:val="00985234"/>
    <w:rsid w:val="00985987"/>
    <w:rsid w:val="00986037"/>
    <w:rsid w:val="00986244"/>
    <w:rsid w:val="00987611"/>
    <w:rsid w:val="009901EF"/>
    <w:rsid w:val="009906FC"/>
    <w:rsid w:val="0099146F"/>
    <w:rsid w:val="00992A44"/>
    <w:rsid w:val="009934CE"/>
    <w:rsid w:val="00993705"/>
    <w:rsid w:val="0099447D"/>
    <w:rsid w:val="009945C3"/>
    <w:rsid w:val="00995398"/>
    <w:rsid w:val="00995737"/>
    <w:rsid w:val="00995E40"/>
    <w:rsid w:val="00996297"/>
    <w:rsid w:val="00996DD5"/>
    <w:rsid w:val="00997807"/>
    <w:rsid w:val="00997B72"/>
    <w:rsid w:val="009A02AB"/>
    <w:rsid w:val="009A1058"/>
    <w:rsid w:val="009A15FD"/>
    <w:rsid w:val="009A16E4"/>
    <w:rsid w:val="009A221D"/>
    <w:rsid w:val="009A2965"/>
    <w:rsid w:val="009A378E"/>
    <w:rsid w:val="009A4BAC"/>
    <w:rsid w:val="009A5641"/>
    <w:rsid w:val="009A62A4"/>
    <w:rsid w:val="009A6BE8"/>
    <w:rsid w:val="009A70E0"/>
    <w:rsid w:val="009A755E"/>
    <w:rsid w:val="009A7A16"/>
    <w:rsid w:val="009B02BC"/>
    <w:rsid w:val="009B0761"/>
    <w:rsid w:val="009B0853"/>
    <w:rsid w:val="009B0B39"/>
    <w:rsid w:val="009B122B"/>
    <w:rsid w:val="009B1F40"/>
    <w:rsid w:val="009B2B72"/>
    <w:rsid w:val="009B3481"/>
    <w:rsid w:val="009B37A2"/>
    <w:rsid w:val="009B4FDA"/>
    <w:rsid w:val="009B5A0F"/>
    <w:rsid w:val="009B6586"/>
    <w:rsid w:val="009B6C2A"/>
    <w:rsid w:val="009B739A"/>
    <w:rsid w:val="009B76C5"/>
    <w:rsid w:val="009C0E2A"/>
    <w:rsid w:val="009C2B83"/>
    <w:rsid w:val="009C394A"/>
    <w:rsid w:val="009C3CCF"/>
    <w:rsid w:val="009C4E7A"/>
    <w:rsid w:val="009C5632"/>
    <w:rsid w:val="009C5AE7"/>
    <w:rsid w:val="009C60CE"/>
    <w:rsid w:val="009C613A"/>
    <w:rsid w:val="009C6495"/>
    <w:rsid w:val="009C65E9"/>
    <w:rsid w:val="009C66EA"/>
    <w:rsid w:val="009C7F16"/>
    <w:rsid w:val="009D0D68"/>
    <w:rsid w:val="009D0E53"/>
    <w:rsid w:val="009D1412"/>
    <w:rsid w:val="009D2511"/>
    <w:rsid w:val="009D292D"/>
    <w:rsid w:val="009D2AD3"/>
    <w:rsid w:val="009D378C"/>
    <w:rsid w:val="009D3860"/>
    <w:rsid w:val="009D3F56"/>
    <w:rsid w:val="009D4123"/>
    <w:rsid w:val="009D44B9"/>
    <w:rsid w:val="009D5850"/>
    <w:rsid w:val="009D70F6"/>
    <w:rsid w:val="009D72C2"/>
    <w:rsid w:val="009D7F96"/>
    <w:rsid w:val="009D7F9E"/>
    <w:rsid w:val="009E097D"/>
    <w:rsid w:val="009E147E"/>
    <w:rsid w:val="009E186D"/>
    <w:rsid w:val="009E2199"/>
    <w:rsid w:val="009E28A5"/>
    <w:rsid w:val="009E3512"/>
    <w:rsid w:val="009E38AF"/>
    <w:rsid w:val="009E39EA"/>
    <w:rsid w:val="009E4023"/>
    <w:rsid w:val="009E40E1"/>
    <w:rsid w:val="009E470F"/>
    <w:rsid w:val="009E58E6"/>
    <w:rsid w:val="009E5C7A"/>
    <w:rsid w:val="009E7699"/>
    <w:rsid w:val="009F104E"/>
    <w:rsid w:val="009F3208"/>
    <w:rsid w:val="009F5EEA"/>
    <w:rsid w:val="009F6292"/>
    <w:rsid w:val="009F6331"/>
    <w:rsid w:val="009F64D5"/>
    <w:rsid w:val="009F69E7"/>
    <w:rsid w:val="009F6D6C"/>
    <w:rsid w:val="009F6E02"/>
    <w:rsid w:val="009F764E"/>
    <w:rsid w:val="009F79A2"/>
    <w:rsid w:val="00A017B3"/>
    <w:rsid w:val="00A018D4"/>
    <w:rsid w:val="00A01C3F"/>
    <w:rsid w:val="00A02020"/>
    <w:rsid w:val="00A032E1"/>
    <w:rsid w:val="00A03745"/>
    <w:rsid w:val="00A03EFA"/>
    <w:rsid w:val="00A06AB0"/>
    <w:rsid w:val="00A06EFB"/>
    <w:rsid w:val="00A07887"/>
    <w:rsid w:val="00A10323"/>
    <w:rsid w:val="00A104F8"/>
    <w:rsid w:val="00A10548"/>
    <w:rsid w:val="00A117F6"/>
    <w:rsid w:val="00A11BD4"/>
    <w:rsid w:val="00A11CDC"/>
    <w:rsid w:val="00A12592"/>
    <w:rsid w:val="00A12915"/>
    <w:rsid w:val="00A12F48"/>
    <w:rsid w:val="00A13E00"/>
    <w:rsid w:val="00A13F7C"/>
    <w:rsid w:val="00A148BB"/>
    <w:rsid w:val="00A14932"/>
    <w:rsid w:val="00A14AEA"/>
    <w:rsid w:val="00A14B5D"/>
    <w:rsid w:val="00A14DB4"/>
    <w:rsid w:val="00A15C8A"/>
    <w:rsid w:val="00A171A9"/>
    <w:rsid w:val="00A17ED1"/>
    <w:rsid w:val="00A20096"/>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711"/>
    <w:rsid w:val="00A328F2"/>
    <w:rsid w:val="00A32A5E"/>
    <w:rsid w:val="00A33464"/>
    <w:rsid w:val="00A33668"/>
    <w:rsid w:val="00A338F4"/>
    <w:rsid w:val="00A33C81"/>
    <w:rsid w:val="00A34F69"/>
    <w:rsid w:val="00A3674D"/>
    <w:rsid w:val="00A37231"/>
    <w:rsid w:val="00A37AF1"/>
    <w:rsid w:val="00A40EE2"/>
    <w:rsid w:val="00A429E0"/>
    <w:rsid w:val="00A42BA4"/>
    <w:rsid w:val="00A430B5"/>
    <w:rsid w:val="00A4449C"/>
    <w:rsid w:val="00A44506"/>
    <w:rsid w:val="00A447E0"/>
    <w:rsid w:val="00A44BD9"/>
    <w:rsid w:val="00A46274"/>
    <w:rsid w:val="00A46BF2"/>
    <w:rsid w:val="00A46DE5"/>
    <w:rsid w:val="00A47064"/>
    <w:rsid w:val="00A479A0"/>
    <w:rsid w:val="00A47C7A"/>
    <w:rsid w:val="00A5046C"/>
    <w:rsid w:val="00A51737"/>
    <w:rsid w:val="00A51FF7"/>
    <w:rsid w:val="00A526BE"/>
    <w:rsid w:val="00A52ABB"/>
    <w:rsid w:val="00A52D97"/>
    <w:rsid w:val="00A540E9"/>
    <w:rsid w:val="00A54544"/>
    <w:rsid w:val="00A55DCE"/>
    <w:rsid w:val="00A5601C"/>
    <w:rsid w:val="00A564E2"/>
    <w:rsid w:val="00A56893"/>
    <w:rsid w:val="00A56F73"/>
    <w:rsid w:val="00A5723B"/>
    <w:rsid w:val="00A57F1B"/>
    <w:rsid w:val="00A6073D"/>
    <w:rsid w:val="00A60743"/>
    <w:rsid w:val="00A60C3E"/>
    <w:rsid w:val="00A60DE4"/>
    <w:rsid w:val="00A619BE"/>
    <w:rsid w:val="00A62987"/>
    <w:rsid w:val="00A62D75"/>
    <w:rsid w:val="00A62E72"/>
    <w:rsid w:val="00A63347"/>
    <w:rsid w:val="00A63608"/>
    <w:rsid w:val="00A63636"/>
    <w:rsid w:val="00A63D66"/>
    <w:rsid w:val="00A6458D"/>
    <w:rsid w:val="00A64677"/>
    <w:rsid w:val="00A64749"/>
    <w:rsid w:val="00A651F2"/>
    <w:rsid w:val="00A658E3"/>
    <w:rsid w:val="00A65B1B"/>
    <w:rsid w:val="00A66715"/>
    <w:rsid w:val="00A66738"/>
    <w:rsid w:val="00A66ACC"/>
    <w:rsid w:val="00A6742B"/>
    <w:rsid w:val="00A70E62"/>
    <w:rsid w:val="00A7106F"/>
    <w:rsid w:val="00A71F5F"/>
    <w:rsid w:val="00A725EA"/>
    <w:rsid w:val="00A72CD9"/>
    <w:rsid w:val="00A73054"/>
    <w:rsid w:val="00A7412C"/>
    <w:rsid w:val="00A741CC"/>
    <w:rsid w:val="00A74AAC"/>
    <w:rsid w:val="00A7519F"/>
    <w:rsid w:val="00A770C1"/>
    <w:rsid w:val="00A77AB3"/>
    <w:rsid w:val="00A77DF9"/>
    <w:rsid w:val="00A80FEB"/>
    <w:rsid w:val="00A81191"/>
    <w:rsid w:val="00A813AC"/>
    <w:rsid w:val="00A813DA"/>
    <w:rsid w:val="00A8257D"/>
    <w:rsid w:val="00A8311A"/>
    <w:rsid w:val="00A8322F"/>
    <w:rsid w:val="00A83C7C"/>
    <w:rsid w:val="00A843B7"/>
    <w:rsid w:val="00A84871"/>
    <w:rsid w:val="00A84FF8"/>
    <w:rsid w:val="00A850D2"/>
    <w:rsid w:val="00A85449"/>
    <w:rsid w:val="00A86055"/>
    <w:rsid w:val="00A862C3"/>
    <w:rsid w:val="00A86385"/>
    <w:rsid w:val="00A869E9"/>
    <w:rsid w:val="00A870D1"/>
    <w:rsid w:val="00A8716C"/>
    <w:rsid w:val="00A875D2"/>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A010F"/>
    <w:rsid w:val="00AA04BD"/>
    <w:rsid w:val="00AA0A55"/>
    <w:rsid w:val="00AA0D04"/>
    <w:rsid w:val="00AA23BD"/>
    <w:rsid w:val="00AA265C"/>
    <w:rsid w:val="00AA2BB8"/>
    <w:rsid w:val="00AA3109"/>
    <w:rsid w:val="00AA3787"/>
    <w:rsid w:val="00AA3A28"/>
    <w:rsid w:val="00AA4DAF"/>
    <w:rsid w:val="00AA55EE"/>
    <w:rsid w:val="00AA66B9"/>
    <w:rsid w:val="00AA68A8"/>
    <w:rsid w:val="00AA6D22"/>
    <w:rsid w:val="00AA76F1"/>
    <w:rsid w:val="00AB001D"/>
    <w:rsid w:val="00AB08B1"/>
    <w:rsid w:val="00AB0D6A"/>
    <w:rsid w:val="00AB11D3"/>
    <w:rsid w:val="00AB200C"/>
    <w:rsid w:val="00AB20DA"/>
    <w:rsid w:val="00AB2A39"/>
    <w:rsid w:val="00AB38B4"/>
    <w:rsid w:val="00AB39FB"/>
    <w:rsid w:val="00AB3E77"/>
    <w:rsid w:val="00AB4BBB"/>
    <w:rsid w:val="00AB4C33"/>
    <w:rsid w:val="00AB4D3F"/>
    <w:rsid w:val="00AB4F35"/>
    <w:rsid w:val="00AB4FE1"/>
    <w:rsid w:val="00AB527A"/>
    <w:rsid w:val="00AB559A"/>
    <w:rsid w:val="00AB6873"/>
    <w:rsid w:val="00AB7284"/>
    <w:rsid w:val="00AB7E25"/>
    <w:rsid w:val="00AC0646"/>
    <w:rsid w:val="00AC10EE"/>
    <w:rsid w:val="00AC1418"/>
    <w:rsid w:val="00AC161E"/>
    <w:rsid w:val="00AC2111"/>
    <w:rsid w:val="00AC23D5"/>
    <w:rsid w:val="00AC4C6C"/>
    <w:rsid w:val="00AC53A7"/>
    <w:rsid w:val="00AC5AA5"/>
    <w:rsid w:val="00AC64F8"/>
    <w:rsid w:val="00AC79E3"/>
    <w:rsid w:val="00AC7BB6"/>
    <w:rsid w:val="00AC7DF9"/>
    <w:rsid w:val="00AD0017"/>
    <w:rsid w:val="00AD07C2"/>
    <w:rsid w:val="00AD0841"/>
    <w:rsid w:val="00AD16DC"/>
    <w:rsid w:val="00AD2361"/>
    <w:rsid w:val="00AD282D"/>
    <w:rsid w:val="00AD2C8C"/>
    <w:rsid w:val="00AD2F85"/>
    <w:rsid w:val="00AD3ABC"/>
    <w:rsid w:val="00AD3C71"/>
    <w:rsid w:val="00AD4883"/>
    <w:rsid w:val="00AD6891"/>
    <w:rsid w:val="00AD6DA0"/>
    <w:rsid w:val="00AD7470"/>
    <w:rsid w:val="00AE0C10"/>
    <w:rsid w:val="00AE129E"/>
    <w:rsid w:val="00AE1DB6"/>
    <w:rsid w:val="00AE232C"/>
    <w:rsid w:val="00AE25E2"/>
    <w:rsid w:val="00AE2880"/>
    <w:rsid w:val="00AE3220"/>
    <w:rsid w:val="00AE44C8"/>
    <w:rsid w:val="00AE621D"/>
    <w:rsid w:val="00AE6466"/>
    <w:rsid w:val="00AE64F4"/>
    <w:rsid w:val="00AE6D30"/>
    <w:rsid w:val="00AE6D3B"/>
    <w:rsid w:val="00AE72CC"/>
    <w:rsid w:val="00AE7F29"/>
    <w:rsid w:val="00AE7FC9"/>
    <w:rsid w:val="00AF101A"/>
    <w:rsid w:val="00AF12E4"/>
    <w:rsid w:val="00AF1C1C"/>
    <w:rsid w:val="00AF205E"/>
    <w:rsid w:val="00AF230A"/>
    <w:rsid w:val="00AF29CA"/>
    <w:rsid w:val="00AF30E8"/>
    <w:rsid w:val="00AF30F0"/>
    <w:rsid w:val="00AF3687"/>
    <w:rsid w:val="00AF385B"/>
    <w:rsid w:val="00AF550B"/>
    <w:rsid w:val="00AF5649"/>
    <w:rsid w:val="00AF5AFB"/>
    <w:rsid w:val="00AF6970"/>
    <w:rsid w:val="00AF7190"/>
    <w:rsid w:val="00AF7AD6"/>
    <w:rsid w:val="00B00ED0"/>
    <w:rsid w:val="00B0123F"/>
    <w:rsid w:val="00B02670"/>
    <w:rsid w:val="00B02904"/>
    <w:rsid w:val="00B02B95"/>
    <w:rsid w:val="00B02C5F"/>
    <w:rsid w:val="00B032DE"/>
    <w:rsid w:val="00B03F1D"/>
    <w:rsid w:val="00B042E6"/>
    <w:rsid w:val="00B049D2"/>
    <w:rsid w:val="00B062C6"/>
    <w:rsid w:val="00B06A84"/>
    <w:rsid w:val="00B06C3E"/>
    <w:rsid w:val="00B07423"/>
    <w:rsid w:val="00B07427"/>
    <w:rsid w:val="00B0742B"/>
    <w:rsid w:val="00B07818"/>
    <w:rsid w:val="00B07CBA"/>
    <w:rsid w:val="00B10E2D"/>
    <w:rsid w:val="00B12152"/>
    <w:rsid w:val="00B1280F"/>
    <w:rsid w:val="00B139EE"/>
    <w:rsid w:val="00B14746"/>
    <w:rsid w:val="00B14E9C"/>
    <w:rsid w:val="00B14FA1"/>
    <w:rsid w:val="00B15367"/>
    <w:rsid w:val="00B15707"/>
    <w:rsid w:val="00B15FA1"/>
    <w:rsid w:val="00B16422"/>
    <w:rsid w:val="00B16A26"/>
    <w:rsid w:val="00B17288"/>
    <w:rsid w:val="00B20541"/>
    <w:rsid w:val="00B20856"/>
    <w:rsid w:val="00B20988"/>
    <w:rsid w:val="00B20D5E"/>
    <w:rsid w:val="00B21404"/>
    <w:rsid w:val="00B2403F"/>
    <w:rsid w:val="00B240EA"/>
    <w:rsid w:val="00B2484B"/>
    <w:rsid w:val="00B2497F"/>
    <w:rsid w:val="00B25A9D"/>
    <w:rsid w:val="00B26417"/>
    <w:rsid w:val="00B27947"/>
    <w:rsid w:val="00B302AC"/>
    <w:rsid w:val="00B30403"/>
    <w:rsid w:val="00B3121C"/>
    <w:rsid w:val="00B32CC7"/>
    <w:rsid w:val="00B33BA6"/>
    <w:rsid w:val="00B3462E"/>
    <w:rsid w:val="00B34CD5"/>
    <w:rsid w:val="00B34D52"/>
    <w:rsid w:val="00B34EE6"/>
    <w:rsid w:val="00B37700"/>
    <w:rsid w:val="00B37C74"/>
    <w:rsid w:val="00B37FB3"/>
    <w:rsid w:val="00B408EE"/>
    <w:rsid w:val="00B40DE1"/>
    <w:rsid w:val="00B4298B"/>
    <w:rsid w:val="00B43785"/>
    <w:rsid w:val="00B43D31"/>
    <w:rsid w:val="00B446FF"/>
    <w:rsid w:val="00B45AFC"/>
    <w:rsid w:val="00B45F00"/>
    <w:rsid w:val="00B461E1"/>
    <w:rsid w:val="00B46259"/>
    <w:rsid w:val="00B46857"/>
    <w:rsid w:val="00B476A3"/>
    <w:rsid w:val="00B47D91"/>
    <w:rsid w:val="00B50241"/>
    <w:rsid w:val="00B505CD"/>
    <w:rsid w:val="00B50C91"/>
    <w:rsid w:val="00B50F8A"/>
    <w:rsid w:val="00B51029"/>
    <w:rsid w:val="00B51C5C"/>
    <w:rsid w:val="00B51E62"/>
    <w:rsid w:val="00B5226C"/>
    <w:rsid w:val="00B5246B"/>
    <w:rsid w:val="00B5350E"/>
    <w:rsid w:val="00B5360D"/>
    <w:rsid w:val="00B54174"/>
    <w:rsid w:val="00B54491"/>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CF0"/>
    <w:rsid w:val="00B73485"/>
    <w:rsid w:val="00B74D9F"/>
    <w:rsid w:val="00B771D7"/>
    <w:rsid w:val="00B801B2"/>
    <w:rsid w:val="00B8277D"/>
    <w:rsid w:val="00B82897"/>
    <w:rsid w:val="00B82D3F"/>
    <w:rsid w:val="00B831A9"/>
    <w:rsid w:val="00B83857"/>
    <w:rsid w:val="00B847D9"/>
    <w:rsid w:val="00B85251"/>
    <w:rsid w:val="00B853CC"/>
    <w:rsid w:val="00B8653C"/>
    <w:rsid w:val="00B866EE"/>
    <w:rsid w:val="00B86E84"/>
    <w:rsid w:val="00B86E85"/>
    <w:rsid w:val="00B8751C"/>
    <w:rsid w:val="00B87F36"/>
    <w:rsid w:val="00B9048A"/>
    <w:rsid w:val="00B91C11"/>
    <w:rsid w:val="00B91D2A"/>
    <w:rsid w:val="00B930FA"/>
    <w:rsid w:val="00B94815"/>
    <w:rsid w:val="00B954DC"/>
    <w:rsid w:val="00B9739D"/>
    <w:rsid w:val="00B97669"/>
    <w:rsid w:val="00BA0429"/>
    <w:rsid w:val="00BA0A2B"/>
    <w:rsid w:val="00BA0C99"/>
    <w:rsid w:val="00BA0CEE"/>
    <w:rsid w:val="00BA1C69"/>
    <w:rsid w:val="00BA2104"/>
    <w:rsid w:val="00BA25C6"/>
    <w:rsid w:val="00BA2D86"/>
    <w:rsid w:val="00BA4780"/>
    <w:rsid w:val="00BA480A"/>
    <w:rsid w:val="00BA4863"/>
    <w:rsid w:val="00BA5482"/>
    <w:rsid w:val="00BA55AE"/>
    <w:rsid w:val="00BA56C8"/>
    <w:rsid w:val="00BA57AA"/>
    <w:rsid w:val="00BA687C"/>
    <w:rsid w:val="00BA709E"/>
    <w:rsid w:val="00BA70F9"/>
    <w:rsid w:val="00BB0038"/>
    <w:rsid w:val="00BB05C2"/>
    <w:rsid w:val="00BB06EF"/>
    <w:rsid w:val="00BB07A1"/>
    <w:rsid w:val="00BB08CD"/>
    <w:rsid w:val="00BB0D13"/>
    <w:rsid w:val="00BB32F3"/>
    <w:rsid w:val="00BB377B"/>
    <w:rsid w:val="00BB3D2D"/>
    <w:rsid w:val="00BB4BB2"/>
    <w:rsid w:val="00BB4FD7"/>
    <w:rsid w:val="00BB504D"/>
    <w:rsid w:val="00BB56EB"/>
    <w:rsid w:val="00BB57F4"/>
    <w:rsid w:val="00BB6859"/>
    <w:rsid w:val="00BB79DA"/>
    <w:rsid w:val="00BB7BC9"/>
    <w:rsid w:val="00BB7FC0"/>
    <w:rsid w:val="00BC060A"/>
    <w:rsid w:val="00BC0656"/>
    <w:rsid w:val="00BC0C42"/>
    <w:rsid w:val="00BC114A"/>
    <w:rsid w:val="00BC2850"/>
    <w:rsid w:val="00BC4159"/>
    <w:rsid w:val="00BC4655"/>
    <w:rsid w:val="00BC56ED"/>
    <w:rsid w:val="00BC5CA0"/>
    <w:rsid w:val="00BC62E7"/>
    <w:rsid w:val="00BC65B2"/>
    <w:rsid w:val="00BC6811"/>
    <w:rsid w:val="00BC682D"/>
    <w:rsid w:val="00BC6FE3"/>
    <w:rsid w:val="00BC72AD"/>
    <w:rsid w:val="00BC7C04"/>
    <w:rsid w:val="00BD0303"/>
    <w:rsid w:val="00BD0401"/>
    <w:rsid w:val="00BD181F"/>
    <w:rsid w:val="00BD18C1"/>
    <w:rsid w:val="00BD1F7F"/>
    <w:rsid w:val="00BD2E91"/>
    <w:rsid w:val="00BD3654"/>
    <w:rsid w:val="00BD399A"/>
    <w:rsid w:val="00BD39CA"/>
    <w:rsid w:val="00BD3B5B"/>
    <w:rsid w:val="00BD516D"/>
    <w:rsid w:val="00BD528E"/>
    <w:rsid w:val="00BD5633"/>
    <w:rsid w:val="00BD6926"/>
    <w:rsid w:val="00BD7229"/>
    <w:rsid w:val="00BD7718"/>
    <w:rsid w:val="00BE002A"/>
    <w:rsid w:val="00BE00F4"/>
    <w:rsid w:val="00BE1439"/>
    <w:rsid w:val="00BE22A7"/>
    <w:rsid w:val="00BE2F38"/>
    <w:rsid w:val="00BE38AA"/>
    <w:rsid w:val="00BE3901"/>
    <w:rsid w:val="00BE4067"/>
    <w:rsid w:val="00BE4D0D"/>
    <w:rsid w:val="00BE4D98"/>
    <w:rsid w:val="00BE57DD"/>
    <w:rsid w:val="00BE7103"/>
    <w:rsid w:val="00BE77D8"/>
    <w:rsid w:val="00BE7D2E"/>
    <w:rsid w:val="00BF006D"/>
    <w:rsid w:val="00BF04FB"/>
    <w:rsid w:val="00BF1740"/>
    <w:rsid w:val="00BF232E"/>
    <w:rsid w:val="00BF2D9E"/>
    <w:rsid w:val="00BF313B"/>
    <w:rsid w:val="00BF3511"/>
    <w:rsid w:val="00BF45F7"/>
    <w:rsid w:val="00BF4690"/>
    <w:rsid w:val="00BF5EAB"/>
    <w:rsid w:val="00BF661F"/>
    <w:rsid w:val="00BF6CBD"/>
    <w:rsid w:val="00BF7575"/>
    <w:rsid w:val="00C0025D"/>
    <w:rsid w:val="00C01339"/>
    <w:rsid w:val="00C0191E"/>
    <w:rsid w:val="00C01C38"/>
    <w:rsid w:val="00C01DEB"/>
    <w:rsid w:val="00C01F99"/>
    <w:rsid w:val="00C02692"/>
    <w:rsid w:val="00C029A3"/>
    <w:rsid w:val="00C02FF5"/>
    <w:rsid w:val="00C03650"/>
    <w:rsid w:val="00C03CB4"/>
    <w:rsid w:val="00C041AB"/>
    <w:rsid w:val="00C05FF0"/>
    <w:rsid w:val="00C06B8F"/>
    <w:rsid w:val="00C07414"/>
    <w:rsid w:val="00C07BAA"/>
    <w:rsid w:val="00C10675"/>
    <w:rsid w:val="00C10A6D"/>
    <w:rsid w:val="00C11E87"/>
    <w:rsid w:val="00C12079"/>
    <w:rsid w:val="00C12403"/>
    <w:rsid w:val="00C12AD6"/>
    <w:rsid w:val="00C133FC"/>
    <w:rsid w:val="00C13FB5"/>
    <w:rsid w:val="00C1411B"/>
    <w:rsid w:val="00C14200"/>
    <w:rsid w:val="00C144E3"/>
    <w:rsid w:val="00C146B3"/>
    <w:rsid w:val="00C149D9"/>
    <w:rsid w:val="00C14D48"/>
    <w:rsid w:val="00C15355"/>
    <w:rsid w:val="00C163A8"/>
    <w:rsid w:val="00C17A08"/>
    <w:rsid w:val="00C17A3B"/>
    <w:rsid w:val="00C17DB1"/>
    <w:rsid w:val="00C203BC"/>
    <w:rsid w:val="00C20C52"/>
    <w:rsid w:val="00C20F76"/>
    <w:rsid w:val="00C227BD"/>
    <w:rsid w:val="00C22B92"/>
    <w:rsid w:val="00C2395D"/>
    <w:rsid w:val="00C24A43"/>
    <w:rsid w:val="00C24E83"/>
    <w:rsid w:val="00C2539C"/>
    <w:rsid w:val="00C259F9"/>
    <w:rsid w:val="00C25A87"/>
    <w:rsid w:val="00C25BF2"/>
    <w:rsid w:val="00C25D8B"/>
    <w:rsid w:val="00C273B0"/>
    <w:rsid w:val="00C278DD"/>
    <w:rsid w:val="00C27EAE"/>
    <w:rsid w:val="00C300B2"/>
    <w:rsid w:val="00C317C5"/>
    <w:rsid w:val="00C3192D"/>
    <w:rsid w:val="00C31AE4"/>
    <w:rsid w:val="00C325A5"/>
    <w:rsid w:val="00C33ED6"/>
    <w:rsid w:val="00C346FC"/>
    <w:rsid w:val="00C34B5F"/>
    <w:rsid w:val="00C34C0E"/>
    <w:rsid w:val="00C34F6D"/>
    <w:rsid w:val="00C3520A"/>
    <w:rsid w:val="00C35527"/>
    <w:rsid w:val="00C35777"/>
    <w:rsid w:val="00C36523"/>
    <w:rsid w:val="00C36C23"/>
    <w:rsid w:val="00C408F8"/>
    <w:rsid w:val="00C40B77"/>
    <w:rsid w:val="00C42020"/>
    <w:rsid w:val="00C426A6"/>
    <w:rsid w:val="00C429D7"/>
    <w:rsid w:val="00C42ACB"/>
    <w:rsid w:val="00C43AB2"/>
    <w:rsid w:val="00C43AD8"/>
    <w:rsid w:val="00C445F6"/>
    <w:rsid w:val="00C44A80"/>
    <w:rsid w:val="00C44DA9"/>
    <w:rsid w:val="00C469A5"/>
    <w:rsid w:val="00C470E8"/>
    <w:rsid w:val="00C47BD1"/>
    <w:rsid w:val="00C47E1D"/>
    <w:rsid w:val="00C50290"/>
    <w:rsid w:val="00C516D2"/>
    <w:rsid w:val="00C519FB"/>
    <w:rsid w:val="00C51C7C"/>
    <w:rsid w:val="00C51F60"/>
    <w:rsid w:val="00C5316F"/>
    <w:rsid w:val="00C5413F"/>
    <w:rsid w:val="00C55A80"/>
    <w:rsid w:val="00C55B98"/>
    <w:rsid w:val="00C56D79"/>
    <w:rsid w:val="00C56E77"/>
    <w:rsid w:val="00C5703A"/>
    <w:rsid w:val="00C570AA"/>
    <w:rsid w:val="00C570D2"/>
    <w:rsid w:val="00C57490"/>
    <w:rsid w:val="00C579FF"/>
    <w:rsid w:val="00C613F4"/>
    <w:rsid w:val="00C61C2E"/>
    <w:rsid w:val="00C62E1E"/>
    <w:rsid w:val="00C63075"/>
    <w:rsid w:val="00C644F5"/>
    <w:rsid w:val="00C65D57"/>
    <w:rsid w:val="00C66181"/>
    <w:rsid w:val="00C663C3"/>
    <w:rsid w:val="00C7010E"/>
    <w:rsid w:val="00C71446"/>
    <w:rsid w:val="00C71F0B"/>
    <w:rsid w:val="00C72024"/>
    <w:rsid w:val="00C723F9"/>
    <w:rsid w:val="00C72C4A"/>
    <w:rsid w:val="00C73A67"/>
    <w:rsid w:val="00C73A6F"/>
    <w:rsid w:val="00C73AC1"/>
    <w:rsid w:val="00C74691"/>
    <w:rsid w:val="00C748B0"/>
    <w:rsid w:val="00C74928"/>
    <w:rsid w:val="00C74ADE"/>
    <w:rsid w:val="00C74DA6"/>
    <w:rsid w:val="00C74E3D"/>
    <w:rsid w:val="00C74EEA"/>
    <w:rsid w:val="00C75449"/>
    <w:rsid w:val="00C75C3F"/>
    <w:rsid w:val="00C75DB4"/>
    <w:rsid w:val="00C766CC"/>
    <w:rsid w:val="00C77356"/>
    <w:rsid w:val="00C773D6"/>
    <w:rsid w:val="00C773DB"/>
    <w:rsid w:val="00C7780C"/>
    <w:rsid w:val="00C80CA6"/>
    <w:rsid w:val="00C814C0"/>
    <w:rsid w:val="00C81DA9"/>
    <w:rsid w:val="00C81FBD"/>
    <w:rsid w:val="00C82076"/>
    <w:rsid w:val="00C82955"/>
    <w:rsid w:val="00C83443"/>
    <w:rsid w:val="00C836AB"/>
    <w:rsid w:val="00C83769"/>
    <w:rsid w:val="00C84957"/>
    <w:rsid w:val="00C86149"/>
    <w:rsid w:val="00C86164"/>
    <w:rsid w:val="00C87B9E"/>
    <w:rsid w:val="00C90152"/>
    <w:rsid w:val="00C910BC"/>
    <w:rsid w:val="00C91B94"/>
    <w:rsid w:val="00C9207A"/>
    <w:rsid w:val="00C92EE4"/>
    <w:rsid w:val="00C9488E"/>
    <w:rsid w:val="00C94EBD"/>
    <w:rsid w:val="00C94F56"/>
    <w:rsid w:val="00C95094"/>
    <w:rsid w:val="00C958EA"/>
    <w:rsid w:val="00C95C84"/>
    <w:rsid w:val="00C960B4"/>
    <w:rsid w:val="00C96236"/>
    <w:rsid w:val="00C96339"/>
    <w:rsid w:val="00C96D95"/>
    <w:rsid w:val="00CA0009"/>
    <w:rsid w:val="00CA0148"/>
    <w:rsid w:val="00CA1448"/>
    <w:rsid w:val="00CA14C2"/>
    <w:rsid w:val="00CA15B6"/>
    <w:rsid w:val="00CA1CD9"/>
    <w:rsid w:val="00CA1E5A"/>
    <w:rsid w:val="00CA2834"/>
    <w:rsid w:val="00CA2A29"/>
    <w:rsid w:val="00CA32B2"/>
    <w:rsid w:val="00CA3B2F"/>
    <w:rsid w:val="00CA41C7"/>
    <w:rsid w:val="00CA4E1D"/>
    <w:rsid w:val="00CA5009"/>
    <w:rsid w:val="00CA539F"/>
    <w:rsid w:val="00CA5B28"/>
    <w:rsid w:val="00CA62E8"/>
    <w:rsid w:val="00CA64BC"/>
    <w:rsid w:val="00CA6970"/>
    <w:rsid w:val="00CB0A72"/>
    <w:rsid w:val="00CB0E6B"/>
    <w:rsid w:val="00CB13C6"/>
    <w:rsid w:val="00CB1D10"/>
    <w:rsid w:val="00CB2050"/>
    <w:rsid w:val="00CB20E5"/>
    <w:rsid w:val="00CB252D"/>
    <w:rsid w:val="00CB34A2"/>
    <w:rsid w:val="00CB39E0"/>
    <w:rsid w:val="00CB3A6E"/>
    <w:rsid w:val="00CB3E88"/>
    <w:rsid w:val="00CB419D"/>
    <w:rsid w:val="00CB482B"/>
    <w:rsid w:val="00CB50DD"/>
    <w:rsid w:val="00CB6049"/>
    <w:rsid w:val="00CB69D6"/>
    <w:rsid w:val="00CB6E4F"/>
    <w:rsid w:val="00CB7DBA"/>
    <w:rsid w:val="00CC003C"/>
    <w:rsid w:val="00CC0BE8"/>
    <w:rsid w:val="00CC1276"/>
    <w:rsid w:val="00CC15AB"/>
    <w:rsid w:val="00CC190A"/>
    <w:rsid w:val="00CC1FBF"/>
    <w:rsid w:val="00CC2002"/>
    <w:rsid w:val="00CC2356"/>
    <w:rsid w:val="00CC2963"/>
    <w:rsid w:val="00CC2BC9"/>
    <w:rsid w:val="00CC3094"/>
    <w:rsid w:val="00CC30ED"/>
    <w:rsid w:val="00CC3891"/>
    <w:rsid w:val="00CC3A85"/>
    <w:rsid w:val="00CC3F24"/>
    <w:rsid w:val="00CC407C"/>
    <w:rsid w:val="00CC415E"/>
    <w:rsid w:val="00CC489E"/>
    <w:rsid w:val="00CC5450"/>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10DF"/>
    <w:rsid w:val="00CE1CE8"/>
    <w:rsid w:val="00CE23A6"/>
    <w:rsid w:val="00CE2572"/>
    <w:rsid w:val="00CE25F8"/>
    <w:rsid w:val="00CE2D39"/>
    <w:rsid w:val="00CE5122"/>
    <w:rsid w:val="00CE5723"/>
    <w:rsid w:val="00CE585C"/>
    <w:rsid w:val="00CE59CE"/>
    <w:rsid w:val="00CE5A76"/>
    <w:rsid w:val="00CE6132"/>
    <w:rsid w:val="00CE61F3"/>
    <w:rsid w:val="00CE6207"/>
    <w:rsid w:val="00CE625C"/>
    <w:rsid w:val="00CE6EB0"/>
    <w:rsid w:val="00CE6EF5"/>
    <w:rsid w:val="00CE7596"/>
    <w:rsid w:val="00CE7DAF"/>
    <w:rsid w:val="00CE7EB2"/>
    <w:rsid w:val="00CF090D"/>
    <w:rsid w:val="00CF0A73"/>
    <w:rsid w:val="00CF0A94"/>
    <w:rsid w:val="00CF0AF1"/>
    <w:rsid w:val="00CF2696"/>
    <w:rsid w:val="00CF26EB"/>
    <w:rsid w:val="00CF2823"/>
    <w:rsid w:val="00CF289A"/>
    <w:rsid w:val="00CF3BA8"/>
    <w:rsid w:val="00CF4807"/>
    <w:rsid w:val="00CF6742"/>
    <w:rsid w:val="00CF723B"/>
    <w:rsid w:val="00CF7D45"/>
    <w:rsid w:val="00D001D3"/>
    <w:rsid w:val="00D00430"/>
    <w:rsid w:val="00D00A45"/>
    <w:rsid w:val="00D01281"/>
    <w:rsid w:val="00D01C0F"/>
    <w:rsid w:val="00D020C1"/>
    <w:rsid w:val="00D021B8"/>
    <w:rsid w:val="00D03701"/>
    <w:rsid w:val="00D03ABE"/>
    <w:rsid w:val="00D03B1F"/>
    <w:rsid w:val="00D04044"/>
    <w:rsid w:val="00D04150"/>
    <w:rsid w:val="00D0432D"/>
    <w:rsid w:val="00D0481B"/>
    <w:rsid w:val="00D048BC"/>
    <w:rsid w:val="00D04B1F"/>
    <w:rsid w:val="00D05754"/>
    <w:rsid w:val="00D05A64"/>
    <w:rsid w:val="00D06420"/>
    <w:rsid w:val="00D067E6"/>
    <w:rsid w:val="00D0701F"/>
    <w:rsid w:val="00D0754F"/>
    <w:rsid w:val="00D07A59"/>
    <w:rsid w:val="00D07B24"/>
    <w:rsid w:val="00D07E18"/>
    <w:rsid w:val="00D11730"/>
    <w:rsid w:val="00D11A66"/>
    <w:rsid w:val="00D14A03"/>
    <w:rsid w:val="00D15531"/>
    <w:rsid w:val="00D1596B"/>
    <w:rsid w:val="00D159BF"/>
    <w:rsid w:val="00D15AA1"/>
    <w:rsid w:val="00D15D44"/>
    <w:rsid w:val="00D1639C"/>
    <w:rsid w:val="00D16519"/>
    <w:rsid w:val="00D20CBF"/>
    <w:rsid w:val="00D2159F"/>
    <w:rsid w:val="00D21EAA"/>
    <w:rsid w:val="00D22496"/>
    <w:rsid w:val="00D22710"/>
    <w:rsid w:val="00D2417D"/>
    <w:rsid w:val="00D25CBC"/>
    <w:rsid w:val="00D25D65"/>
    <w:rsid w:val="00D261D9"/>
    <w:rsid w:val="00D2679D"/>
    <w:rsid w:val="00D26AFC"/>
    <w:rsid w:val="00D2768C"/>
    <w:rsid w:val="00D300B3"/>
    <w:rsid w:val="00D31507"/>
    <w:rsid w:val="00D318C8"/>
    <w:rsid w:val="00D31CB1"/>
    <w:rsid w:val="00D31E59"/>
    <w:rsid w:val="00D32975"/>
    <w:rsid w:val="00D342B0"/>
    <w:rsid w:val="00D34C54"/>
    <w:rsid w:val="00D37503"/>
    <w:rsid w:val="00D37BF0"/>
    <w:rsid w:val="00D40767"/>
    <w:rsid w:val="00D412A0"/>
    <w:rsid w:val="00D41665"/>
    <w:rsid w:val="00D42148"/>
    <w:rsid w:val="00D427E8"/>
    <w:rsid w:val="00D43B22"/>
    <w:rsid w:val="00D43C4D"/>
    <w:rsid w:val="00D43D13"/>
    <w:rsid w:val="00D43DCF"/>
    <w:rsid w:val="00D44007"/>
    <w:rsid w:val="00D44A9B"/>
    <w:rsid w:val="00D44E98"/>
    <w:rsid w:val="00D475B5"/>
    <w:rsid w:val="00D47756"/>
    <w:rsid w:val="00D47EAB"/>
    <w:rsid w:val="00D505B7"/>
    <w:rsid w:val="00D50738"/>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32C7"/>
    <w:rsid w:val="00D6417A"/>
    <w:rsid w:val="00D64954"/>
    <w:rsid w:val="00D6512E"/>
    <w:rsid w:val="00D6602F"/>
    <w:rsid w:val="00D6658E"/>
    <w:rsid w:val="00D6748C"/>
    <w:rsid w:val="00D708DA"/>
    <w:rsid w:val="00D70BA4"/>
    <w:rsid w:val="00D719BF"/>
    <w:rsid w:val="00D72031"/>
    <w:rsid w:val="00D7220A"/>
    <w:rsid w:val="00D72986"/>
    <w:rsid w:val="00D74080"/>
    <w:rsid w:val="00D740F0"/>
    <w:rsid w:val="00D74CAD"/>
    <w:rsid w:val="00D752A3"/>
    <w:rsid w:val="00D75351"/>
    <w:rsid w:val="00D76A05"/>
    <w:rsid w:val="00D76EC9"/>
    <w:rsid w:val="00D77305"/>
    <w:rsid w:val="00D775C5"/>
    <w:rsid w:val="00D80AB4"/>
    <w:rsid w:val="00D81639"/>
    <w:rsid w:val="00D82204"/>
    <w:rsid w:val="00D825E5"/>
    <w:rsid w:val="00D82883"/>
    <w:rsid w:val="00D82CD4"/>
    <w:rsid w:val="00D82CF3"/>
    <w:rsid w:val="00D8338E"/>
    <w:rsid w:val="00D8388A"/>
    <w:rsid w:val="00D83B2D"/>
    <w:rsid w:val="00D84540"/>
    <w:rsid w:val="00D84F8A"/>
    <w:rsid w:val="00D853AE"/>
    <w:rsid w:val="00D85879"/>
    <w:rsid w:val="00D85F7F"/>
    <w:rsid w:val="00D8608C"/>
    <w:rsid w:val="00D867D0"/>
    <w:rsid w:val="00D86855"/>
    <w:rsid w:val="00D86ED8"/>
    <w:rsid w:val="00D8749C"/>
    <w:rsid w:val="00D90B7C"/>
    <w:rsid w:val="00D91F0C"/>
    <w:rsid w:val="00D92169"/>
    <w:rsid w:val="00D92356"/>
    <w:rsid w:val="00D92399"/>
    <w:rsid w:val="00D93381"/>
    <w:rsid w:val="00D93415"/>
    <w:rsid w:val="00D9421D"/>
    <w:rsid w:val="00D9422C"/>
    <w:rsid w:val="00D95BF2"/>
    <w:rsid w:val="00D95C14"/>
    <w:rsid w:val="00D96393"/>
    <w:rsid w:val="00D96E31"/>
    <w:rsid w:val="00D97289"/>
    <w:rsid w:val="00D97A9A"/>
    <w:rsid w:val="00D97ACF"/>
    <w:rsid w:val="00DA0126"/>
    <w:rsid w:val="00DA052D"/>
    <w:rsid w:val="00DA0B69"/>
    <w:rsid w:val="00DA173C"/>
    <w:rsid w:val="00DA1829"/>
    <w:rsid w:val="00DA2081"/>
    <w:rsid w:val="00DA2B33"/>
    <w:rsid w:val="00DA3157"/>
    <w:rsid w:val="00DA3835"/>
    <w:rsid w:val="00DA3C7A"/>
    <w:rsid w:val="00DA561D"/>
    <w:rsid w:val="00DA65FF"/>
    <w:rsid w:val="00DA71BF"/>
    <w:rsid w:val="00DA79C9"/>
    <w:rsid w:val="00DA7FAE"/>
    <w:rsid w:val="00DB05D9"/>
    <w:rsid w:val="00DB0A73"/>
    <w:rsid w:val="00DB1150"/>
    <w:rsid w:val="00DB129D"/>
    <w:rsid w:val="00DB1363"/>
    <w:rsid w:val="00DB1776"/>
    <w:rsid w:val="00DB20BC"/>
    <w:rsid w:val="00DB2393"/>
    <w:rsid w:val="00DB2B16"/>
    <w:rsid w:val="00DB2E4E"/>
    <w:rsid w:val="00DB3324"/>
    <w:rsid w:val="00DB3B9E"/>
    <w:rsid w:val="00DB3EC5"/>
    <w:rsid w:val="00DB5FF7"/>
    <w:rsid w:val="00DB62B8"/>
    <w:rsid w:val="00DB635A"/>
    <w:rsid w:val="00DB6F36"/>
    <w:rsid w:val="00DB7205"/>
    <w:rsid w:val="00DB7BA1"/>
    <w:rsid w:val="00DC263A"/>
    <w:rsid w:val="00DC27BE"/>
    <w:rsid w:val="00DC2AF4"/>
    <w:rsid w:val="00DC2CB5"/>
    <w:rsid w:val="00DC4B6C"/>
    <w:rsid w:val="00DC4D0F"/>
    <w:rsid w:val="00DC52E1"/>
    <w:rsid w:val="00DC5500"/>
    <w:rsid w:val="00DC7262"/>
    <w:rsid w:val="00DC7E05"/>
    <w:rsid w:val="00DD051F"/>
    <w:rsid w:val="00DD0974"/>
    <w:rsid w:val="00DD0D7F"/>
    <w:rsid w:val="00DD108F"/>
    <w:rsid w:val="00DD1157"/>
    <w:rsid w:val="00DD1311"/>
    <w:rsid w:val="00DD1B01"/>
    <w:rsid w:val="00DD1D55"/>
    <w:rsid w:val="00DD2023"/>
    <w:rsid w:val="00DD20DA"/>
    <w:rsid w:val="00DD2119"/>
    <w:rsid w:val="00DD2761"/>
    <w:rsid w:val="00DD2A90"/>
    <w:rsid w:val="00DD32CC"/>
    <w:rsid w:val="00DD3719"/>
    <w:rsid w:val="00DD3830"/>
    <w:rsid w:val="00DD397E"/>
    <w:rsid w:val="00DD4294"/>
    <w:rsid w:val="00DD5DC6"/>
    <w:rsid w:val="00DD6165"/>
    <w:rsid w:val="00DD62B9"/>
    <w:rsid w:val="00DD65BB"/>
    <w:rsid w:val="00DD6BA8"/>
    <w:rsid w:val="00DD7917"/>
    <w:rsid w:val="00DE01CB"/>
    <w:rsid w:val="00DE0E25"/>
    <w:rsid w:val="00DE189A"/>
    <w:rsid w:val="00DE1E11"/>
    <w:rsid w:val="00DE2E22"/>
    <w:rsid w:val="00DE39DE"/>
    <w:rsid w:val="00DE3B9C"/>
    <w:rsid w:val="00DE45AB"/>
    <w:rsid w:val="00DE4B04"/>
    <w:rsid w:val="00DE5045"/>
    <w:rsid w:val="00DE50D6"/>
    <w:rsid w:val="00DE5141"/>
    <w:rsid w:val="00DE58A0"/>
    <w:rsid w:val="00DE58DB"/>
    <w:rsid w:val="00DE5B71"/>
    <w:rsid w:val="00DE6F62"/>
    <w:rsid w:val="00DE73FB"/>
    <w:rsid w:val="00DF14E7"/>
    <w:rsid w:val="00DF1529"/>
    <w:rsid w:val="00DF2D3A"/>
    <w:rsid w:val="00DF30F0"/>
    <w:rsid w:val="00DF34E4"/>
    <w:rsid w:val="00DF60AA"/>
    <w:rsid w:val="00DF63A7"/>
    <w:rsid w:val="00DF64D2"/>
    <w:rsid w:val="00DF6698"/>
    <w:rsid w:val="00DF6E30"/>
    <w:rsid w:val="00DF719B"/>
    <w:rsid w:val="00DF7992"/>
    <w:rsid w:val="00E00A9A"/>
    <w:rsid w:val="00E02C35"/>
    <w:rsid w:val="00E02FFE"/>
    <w:rsid w:val="00E0321D"/>
    <w:rsid w:val="00E039A5"/>
    <w:rsid w:val="00E049BD"/>
    <w:rsid w:val="00E06BC3"/>
    <w:rsid w:val="00E06D3C"/>
    <w:rsid w:val="00E104F3"/>
    <w:rsid w:val="00E10C16"/>
    <w:rsid w:val="00E1124C"/>
    <w:rsid w:val="00E119B0"/>
    <w:rsid w:val="00E11B8F"/>
    <w:rsid w:val="00E11BB1"/>
    <w:rsid w:val="00E1239A"/>
    <w:rsid w:val="00E1259A"/>
    <w:rsid w:val="00E13B95"/>
    <w:rsid w:val="00E14EEE"/>
    <w:rsid w:val="00E16198"/>
    <w:rsid w:val="00E16243"/>
    <w:rsid w:val="00E16C42"/>
    <w:rsid w:val="00E17503"/>
    <w:rsid w:val="00E17EA4"/>
    <w:rsid w:val="00E17F49"/>
    <w:rsid w:val="00E2006D"/>
    <w:rsid w:val="00E20418"/>
    <w:rsid w:val="00E2096F"/>
    <w:rsid w:val="00E21107"/>
    <w:rsid w:val="00E21412"/>
    <w:rsid w:val="00E21598"/>
    <w:rsid w:val="00E22104"/>
    <w:rsid w:val="00E22454"/>
    <w:rsid w:val="00E22486"/>
    <w:rsid w:val="00E227F0"/>
    <w:rsid w:val="00E22993"/>
    <w:rsid w:val="00E229A0"/>
    <w:rsid w:val="00E230CB"/>
    <w:rsid w:val="00E236E4"/>
    <w:rsid w:val="00E23E25"/>
    <w:rsid w:val="00E23F69"/>
    <w:rsid w:val="00E24CF9"/>
    <w:rsid w:val="00E24FDD"/>
    <w:rsid w:val="00E25577"/>
    <w:rsid w:val="00E258AA"/>
    <w:rsid w:val="00E26040"/>
    <w:rsid w:val="00E27116"/>
    <w:rsid w:val="00E27408"/>
    <w:rsid w:val="00E27FCF"/>
    <w:rsid w:val="00E3160B"/>
    <w:rsid w:val="00E31E0B"/>
    <w:rsid w:val="00E31E29"/>
    <w:rsid w:val="00E32B9B"/>
    <w:rsid w:val="00E3369B"/>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50C0E"/>
    <w:rsid w:val="00E52466"/>
    <w:rsid w:val="00E52597"/>
    <w:rsid w:val="00E526FC"/>
    <w:rsid w:val="00E52CF6"/>
    <w:rsid w:val="00E53870"/>
    <w:rsid w:val="00E538FF"/>
    <w:rsid w:val="00E539AB"/>
    <w:rsid w:val="00E54407"/>
    <w:rsid w:val="00E54DDA"/>
    <w:rsid w:val="00E54F53"/>
    <w:rsid w:val="00E55491"/>
    <w:rsid w:val="00E5628F"/>
    <w:rsid w:val="00E56DE3"/>
    <w:rsid w:val="00E57771"/>
    <w:rsid w:val="00E57C92"/>
    <w:rsid w:val="00E6079D"/>
    <w:rsid w:val="00E614E8"/>
    <w:rsid w:val="00E6158C"/>
    <w:rsid w:val="00E619AC"/>
    <w:rsid w:val="00E626FE"/>
    <w:rsid w:val="00E63DBA"/>
    <w:rsid w:val="00E6417D"/>
    <w:rsid w:val="00E65E32"/>
    <w:rsid w:val="00E65E64"/>
    <w:rsid w:val="00E66E30"/>
    <w:rsid w:val="00E67B35"/>
    <w:rsid w:val="00E70266"/>
    <w:rsid w:val="00E702C2"/>
    <w:rsid w:val="00E70AFA"/>
    <w:rsid w:val="00E7109D"/>
    <w:rsid w:val="00E718ED"/>
    <w:rsid w:val="00E71B5C"/>
    <w:rsid w:val="00E722D0"/>
    <w:rsid w:val="00E726E2"/>
    <w:rsid w:val="00E7292D"/>
    <w:rsid w:val="00E73CA5"/>
    <w:rsid w:val="00E743A4"/>
    <w:rsid w:val="00E75248"/>
    <w:rsid w:val="00E75EC1"/>
    <w:rsid w:val="00E7608E"/>
    <w:rsid w:val="00E76192"/>
    <w:rsid w:val="00E76B1A"/>
    <w:rsid w:val="00E778FF"/>
    <w:rsid w:val="00E804F0"/>
    <w:rsid w:val="00E8090F"/>
    <w:rsid w:val="00E80C37"/>
    <w:rsid w:val="00E81362"/>
    <w:rsid w:val="00E81485"/>
    <w:rsid w:val="00E8170D"/>
    <w:rsid w:val="00E81924"/>
    <w:rsid w:val="00E82D58"/>
    <w:rsid w:val="00E8357D"/>
    <w:rsid w:val="00E84077"/>
    <w:rsid w:val="00E841F1"/>
    <w:rsid w:val="00E8514E"/>
    <w:rsid w:val="00E86165"/>
    <w:rsid w:val="00E866D0"/>
    <w:rsid w:val="00E870F7"/>
    <w:rsid w:val="00E877AC"/>
    <w:rsid w:val="00E878D3"/>
    <w:rsid w:val="00E87D62"/>
    <w:rsid w:val="00E90DE9"/>
    <w:rsid w:val="00E9110B"/>
    <w:rsid w:val="00E91363"/>
    <w:rsid w:val="00E91570"/>
    <w:rsid w:val="00E928DD"/>
    <w:rsid w:val="00E93DFE"/>
    <w:rsid w:val="00E956A8"/>
    <w:rsid w:val="00E959A2"/>
    <w:rsid w:val="00E95FA9"/>
    <w:rsid w:val="00EA0390"/>
    <w:rsid w:val="00EA0E37"/>
    <w:rsid w:val="00EA1474"/>
    <w:rsid w:val="00EA2918"/>
    <w:rsid w:val="00EA3E3C"/>
    <w:rsid w:val="00EA3E48"/>
    <w:rsid w:val="00EA41B8"/>
    <w:rsid w:val="00EA4DAA"/>
    <w:rsid w:val="00EA5A14"/>
    <w:rsid w:val="00EA5BA9"/>
    <w:rsid w:val="00EA5D59"/>
    <w:rsid w:val="00EA656F"/>
    <w:rsid w:val="00EA65BC"/>
    <w:rsid w:val="00EA6A17"/>
    <w:rsid w:val="00EA71C0"/>
    <w:rsid w:val="00EA72EC"/>
    <w:rsid w:val="00EB0146"/>
    <w:rsid w:val="00EB057F"/>
    <w:rsid w:val="00EB12DE"/>
    <w:rsid w:val="00EB16F4"/>
    <w:rsid w:val="00EB1E77"/>
    <w:rsid w:val="00EB2405"/>
    <w:rsid w:val="00EB2BB1"/>
    <w:rsid w:val="00EB2CCE"/>
    <w:rsid w:val="00EB381C"/>
    <w:rsid w:val="00EB5120"/>
    <w:rsid w:val="00EB6BAA"/>
    <w:rsid w:val="00EB6C1F"/>
    <w:rsid w:val="00EB6D2B"/>
    <w:rsid w:val="00EB70E3"/>
    <w:rsid w:val="00EB7CAF"/>
    <w:rsid w:val="00EC00A5"/>
    <w:rsid w:val="00EC0636"/>
    <w:rsid w:val="00EC083A"/>
    <w:rsid w:val="00EC0A63"/>
    <w:rsid w:val="00EC0BBB"/>
    <w:rsid w:val="00EC0F6D"/>
    <w:rsid w:val="00EC1064"/>
    <w:rsid w:val="00EC1707"/>
    <w:rsid w:val="00EC174C"/>
    <w:rsid w:val="00EC1ED8"/>
    <w:rsid w:val="00EC2237"/>
    <w:rsid w:val="00EC46E4"/>
    <w:rsid w:val="00EC5281"/>
    <w:rsid w:val="00EC5920"/>
    <w:rsid w:val="00EC5A65"/>
    <w:rsid w:val="00EC5F63"/>
    <w:rsid w:val="00EC61AC"/>
    <w:rsid w:val="00EC63A2"/>
    <w:rsid w:val="00ED0065"/>
    <w:rsid w:val="00ED0C6A"/>
    <w:rsid w:val="00ED0DDE"/>
    <w:rsid w:val="00ED197C"/>
    <w:rsid w:val="00ED2552"/>
    <w:rsid w:val="00ED272C"/>
    <w:rsid w:val="00ED2DDD"/>
    <w:rsid w:val="00ED4930"/>
    <w:rsid w:val="00ED55AA"/>
    <w:rsid w:val="00ED5FCE"/>
    <w:rsid w:val="00ED64DE"/>
    <w:rsid w:val="00ED6E79"/>
    <w:rsid w:val="00ED712A"/>
    <w:rsid w:val="00ED71A6"/>
    <w:rsid w:val="00EE0028"/>
    <w:rsid w:val="00EE0221"/>
    <w:rsid w:val="00EE03CC"/>
    <w:rsid w:val="00EE051F"/>
    <w:rsid w:val="00EE05B7"/>
    <w:rsid w:val="00EE0C65"/>
    <w:rsid w:val="00EE1BB8"/>
    <w:rsid w:val="00EE1DD1"/>
    <w:rsid w:val="00EE25F9"/>
    <w:rsid w:val="00EE29AF"/>
    <w:rsid w:val="00EE3463"/>
    <w:rsid w:val="00EE37EE"/>
    <w:rsid w:val="00EE39A4"/>
    <w:rsid w:val="00EE4B59"/>
    <w:rsid w:val="00EE50A8"/>
    <w:rsid w:val="00EE6372"/>
    <w:rsid w:val="00EE7829"/>
    <w:rsid w:val="00EF0279"/>
    <w:rsid w:val="00EF09DF"/>
    <w:rsid w:val="00EF0D49"/>
    <w:rsid w:val="00EF1594"/>
    <w:rsid w:val="00EF1C23"/>
    <w:rsid w:val="00EF269C"/>
    <w:rsid w:val="00EF3463"/>
    <w:rsid w:val="00EF36A1"/>
    <w:rsid w:val="00EF389F"/>
    <w:rsid w:val="00EF40A9"/>
    <w:rsid w:val="00EF4A6B"/>
    <w:rsid w:val="00EF4E00"/>
    <w:rsid w:val="00EF540A"/>
    <w:rsid w:val="00EF719E"/>
    <w:rsid w:val="00EF76FE"/>
    <w:rsid w:val="00F0064D"/>
    <w:rsid w:val="00F006BC"/>
    <w:rsid w:val="00F0087F"/>
    <w:rsid w:val="00F00C86"/>
    <w:rsid w:val="00F01005"/>
    <w:rsid w:val="00F0119D"/>
    <w:rsid w:val="00F020B0"/>
    <w:rsid w:val="00F0433A"/>
    <w:rsid w:val="00F044BF"/>
    <w:rsid w:val="00F04643"/>
    <w:rsid w:val="00F0577A"/>
    <w:rsid w:val="00F0619B"/>
    <w:rsid w:val="00F06B73"/>
    <w:rsid w:val="00F06EF8"/>
    <w:rsid w:val="00F11700"/>
    <w:rsid w:val="00F118CF"/>
    <w:rsid w:val="00F11F45"/>
    <w:rsid w:val="00F12DC0"/>
    <w:rsid w:val="00F147FA"/>
    <w:rsid w:val="00F1486B"/>
    <w:rsid w:val="00F14D0B"/>
    <w:rsid w:val="00F14FC6"/>
    <w:rsid w:val="00F159F8"/>
    <w:rsid w:val="00F15AA8"/>
    <w:rsid w:val="00F15D77"/>
    <w:rsid w:val="00F20369"/>
    <w:rsid w:val="00F20899"/>
    <w:rsid w:val="00F20E57"/>
    <w:rsid w:val="00F21273"/>
    <w:rsid w:val="00F217F9"/>
    <w:rsid w:val="00F21D64"/>
    <w:rsid w:val="00F21EFC"/>
    <w:rsid w:val="00F2262B"/>
    <w:rsid w:val="00F23BFE"/>
    <w:rsid w:val="00F2456C"/>
    <w:rsid w:val="00F2548E"/>
    <w:rsid w:val="00F25965"/>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71F"/>
    <w:rsid w:val="00F40C9F"/>
    <w:rsid w:val="00F4118B"/>
    <w:rsid w:val="00F4192A"/>
    <w:rsid w:val="00F41DFF"/>
    <w:rsid w:val="00F42995"/>
    <w:rsid w:val="00F42F4E"/>
    <w:rsid w:val="00F45CB7"/>
    <w:rsid w:val="00F47996"/>
    <w:rsid w:val="00F47E58"/>
    <w:rsid w:val="00F507BE"/>
    <w:rsid w:val="00F50C82"/>
    <w:rsid w:val="00F50F62"/>
    <w:rsid w:val="00F51011"/>
    <w:rsid w:val="00F5126C"/>
    <w:rsid w:val="00F5303D"/>
    <w:rsid w:val="00F5382A"/>
    <w:rsid w:val="00F5391D"/>
    <w:rsid w:val="00F5435D"/>
    <w:rsid w:val="00F54A50"/>
    <w:rsid w:val="00F54F47"/>
    <w:rsid w:val="00F54FAA"/>
    <w:rsid w:val="00F55079"/>
    <w:rsid w:val="00F55CF9"/>
    <w:rsid w:val="00F56834"/>
    <w:rsid w:val="00F56A8F"/>
    <w:rsid w:val="00F571EB"/>
    <w:rsid w:val="00F617DC"/>
    <w:rsid w:val="00F61BCF"/>
    <w:rsid w:val="00F621BD"/>
    <w:rsid w:val="00F627C0"/>
    <w:rsid w:val="00F6348D"/>
    <w:rsid w:val="00F63955"/>
    <w:rsid w:val="00F640BF"/>
    <w:rsid w:val="00F651BC"/>
    <w:rsid w:val="00F67165"/>
    <w:rsid w:val="00F672DF"/>
    <w:rsid w:val="00F67CCA"/>
    <w:rsid w:val="00F67FA4"/>
    <w:rsid w:val="00F7071C"/>
    <w:rsid w:val="00F70B2D"/>
    <w:rsid w:val="00F70B9C"/>
    <w:rsid w:val="00F719E6"/>
    <w:rsid w:val="00F72908"/>
    <w:rsid w:val="00F74CF3"/>
    <w:rsid w:val="00F74E2A"/>
    <w:rsid w:val="00F7539A"/>
    <w:rsid w:val="00F754D5"/>
    <w:rsid w:val="00F75864"/>
    <w:rsid w:val="00F76251"/>
    <w:rsid w:val="00F7673F"/>
    <w:rsid w:val="00F8015F"/>
    <w:rsid w:val="00F80505"/>
    <w:rsid w:val="00F807FB"/>
    <w:rsid w:val="00F80C71"/>
    <w:rsid w:val="00F812BA"/>
    <w:rsid w:val="00F829C9"/>
    <w:rsid w:val="00F83228"/>
    <w:rsid w:val="00F833A2"/>
    <w:rsid w:val="00F83727"/>
    <w:rsid w:val="00F84A82"/>
    <w:rsid w:val="00F84DDE"/>
    <w:rsid w:val="00F85593"/>
    <w:rsid w:val="00F857BB"/>
    <w:rsid w:val="00F858FA"/>
    <w:rsid w:val="00F8685E"/>
    <w:rsid w:val="00F86861"/>
    <w:rsid w:val="00F869D6"/>
    <w:rsid w:val="00F86C32"/>
    <w:rsid w:val="00F872DC"/>
    <w:rsid w:val="00F8799A"/>
    <w:rsid w:val="00F87EA4"/>
    <w:rsid w:val="00F9062E"/>
    <w:rsid w:val="00F908BE"/>
    <w:rsid w:val="00F90DEE"/>
    <w:rsid w:val="00F914B4"/>
    <w:rsid w:val="00F91D32"/>
    <w:rsid w:val="00F94783"/>
    <w:rsid w:val="00F9524E"/>
    <w:rsid w:val="00F95AA3"/>
    <w:rsid w:val="00F95B43"/>
    <w:rsid w:val="00F95BD7"/>
    <w:rsid w:val="00F95FEA"/>
    <w:rsid w:val="00F960AD"/>
    <w:rsid w:val="00F96489"/>
    <w:rsid w:val="00F964E8"/>
    <w:rsid w:val="00F97124"/>
    <w:rsid w:val="00F9713C"/>
    <w:rsid w:val="00F97C17"/>
    <w:rsid w:val="00F97FAF"/>
    <w:rsid w:val="00FA1420"/>
    <w:rsid w:val="00FA318E"/>
    <w:rsid w:val="00FA3375"/>
    <w:rsid w:val="00FA3AFB"/>
    <w:rsid w:val="00FA45A1"/>
    <w:rsid w:val="00FA4AAF"/>
    <w:rsid w:val="00FA5E02"/>
    <w:rsid w:val="00FA5F04"/>
    <w:rsid w:val="00FA62A2"/>
    <w:rsid w:val="00FA69B8"/>
    <w:rsid w:val="00FA6C7B"/>
    <w:rsid w:val="00FA6CA0"/>
    <w:rsid w:val="00FA72A0"/>
    <w:rsid w:val="00FA7580"/>
    <w:rsid w:val="00FB0D0A"/>
    <w:rsid w:val="00FB146D"/>
    <w:rsid w:val="00FB1F1C"/>
    <w:rsid w:val="00FB221D"/>
    <w:rsid w:val="00FB2D29"/>
    <w:rsid w:val="00FB32A4"/>
    <w:rsid w:val="00FB47B4"/>
    <w:rsid w:val="00FB4B8E"/>
    <w:rsid w:val="00FB4E79"/>
    <w:rsid w:val="00FB51A3"/>
    <w:rsid w:val="00FB520B"/>
    <w:rsid w:val="00FB52E0"/>
    <w:rsid w:val="00FB5342"/>
    <w:rsid w:val="00FB6462"/>
    <w:rsid w:val="00FB785D"/>
    <w:rsid w:val="00FC001D"/>
    <w:rsid w:val="00FC0108"/>
    <w:rsid w:val="00FC0549"/>
    <w:rsid w:val="00FC083E"/>
    <w:rsid w:val="00FC08A3"/>
    <w:rsid w:val="00FC0AC7"/>
    <w:rsid w:val="00FC11C1"/>
    <w:rsid w:val="00FC15D4"/>
    <w:rsid w:val="00FC1AA8"/>
    <w:rsid w:val="00FC1ADC"/>
    <w:rsid w:val="00FC2B12"/>
    <w:rsid w:val="00FC4B93"/>
    <w:rsid w:val="00FC5451"/>
    <w:rsid w:val="00FC5979"/>
    <w:rsid w:val="00FC74CA"/>
    <w:rsid w:val="00FC769C"/>
    <w:rsid w:val="00FC7D76"/>
    <w:rsid w:val="00FC7E3A"/>
    <w:rsid w:val="00FD059E"/>
    <w:rsid w:val="00FD0CE4"/>
    <w:rsid w:val="00FD17E9"/>
    <w:rsid w:val="00FD2AC4"/>
    <w:rsid w:val="00FD4802"/>
    <w:rsid w:val="00FD4A6F"/>
    <w:rsid w:val="00FD4FDD"/>
    <w:rsid w:val="00FD5602"/>
    <w:rsid w:val="00FD5C75"/>
    <w:rsid w:val="00FD7A8D"/>
    <w:rsid w:val="00FE122D"/>
    <w:rsid w:val="00FE1B3A"/>
    <w:rsid w:val="00FE2056"/>
    <w:rsid w:val="00FE2066"/>
    <w:rsid w:val="00FE27FA"/>
    <w:rsid w:val="00FE4661"/>
    <w:rsid w:val="00FE51E3"/>
    <w:rsid w:val="00FE6398"/>
    <w:rsid w:val="00FE661F"/>
    <w:rsid w:val="00FE68B6"/>
    <w:rsid w:val="00FE6F1B"/>
    <w:rsid w:val="00FE7611"/>
    <w:rsid w:val="00FE783A"/>
    <w:rsid w:val="00FE7D29"/>
    <w:rsid w:val="00FF026D"/>
    <w:rsid w:val="00FF155B"/>
    <w:rsid w:val="00FF244B"/>
    <w:rsid w:val="00FF260A"/>
    <w:rsid w:val="00FF3F3A"/>
    <w:rsid w:val="00FF46E3"/>
    <w:rsid w:val="00FF5474"/>
    <w:rsid w:val="00FF54D0"/>
    <w:rsid w:val="00FF5FFF"/>
    <w:rsid w:val="00FF7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4C2776"/>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74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4C2776"/>
    <w:rPr>
      <w:rFonts w:ascii="Arial" w:eastAsiaTheme="majorEastAsia" w:hAnsi="Arial" w:cstheme="majorBidi"/>
      <w:b/>
      <w:bCs/>
      <w:sz w:val="16"/>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7742F1"/>
    <w:rPr>
      <w:rFonts w:asciiTheme="majorHAnsi" w:eastAsiaTheme="majorEastAsia" w:hAnsiTheme="majorHAnsi" w:cstheme="majorBidi"/>
      <w:i/>
      <w:iCs/>
      <w:color w:val="365F91" w:themeColor="accent1" w:themeShade="BF"/>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A570B-8B3B-4BC7-8040-49F3FBFBD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41063</Words>
  <Characters>234061</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State Performance Plan/Annual Performance Report (MA SPP/APR) for FFY2019</dc:title>
  <dc:creator>DESE</dc:creator>
  <cp:lastModifiedBy>Zou, Dong (EOE)</cp:lastModifiedBy>
  <cp:revision>4</cp:revision>
  <cp:lastPrinted>2014-08-19T16:56:00Z</cp:lastPrinted>
  <dcterms:created xsi:type="dcterms:W3CDTF">2021-07-08T11:42:00Z</dcterms:created>
  <dcterms:modified xsi:type="dcterms:W3CDTF">2021-07-08T13:44:00Z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2021</vt:lpwstr>
  </property>
</Properties>
</file>