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2C2" w:rsidRDefault="00E562C2" w:rsidP="00ED2475">
      <w:pPr>
        <w:jc w:val="right"/>
        <w:rPr>
          <w:b/>
        </w:rPr>
      </w:pPr>
    </w:p>
    <w:p w:rsidR="00ED2475" w:rsidRDefault="00ED2475" w:rsidP="00ED2475">
      <w:pPr>
        <w:jc w:val="right"/>
        <w:rPr>
          <w:b/>
        </w:rPr>
      </w:pPr>
    </w:p>
    <w:p w:rsidR="00ED2475" w:rsidRDefault="00ED2475" w:rsidP="00ED2475">
      <w:pPr>
        <w:jc w:val="right"/>
        <w:rPr>
          <w:b/>
        </w:rPr>
      </w:pPr>
    </w:p>
    <w:p w:rsidR="00ED2475" w:rsidRDefault="00ED2475" w:rsidP="00ED2475">
      <w:pPr>
        <w:jc w:val="right"/>
        <w:rPr>
          <w:b/>
        </w:rPr>
      </w:pPr>
    </w:p>
    <w:p w:rsidR="00ED2475" w:rsidRDefault="00ED2475" w:rsidP="00ED2475">
      <w:pPr>
        <w:jc w:val="right"/>
        <w:rPr>
          <w:b/>
        </w:rPr>
      </w:pPr>
    </w:p>
    <w:p w:rsidR="00ED2475" w:rsidRPr="00857E53" w:rsidRDefault="00ED2475" w:rsidP="000C2E9B">
      <w:pPr>
        <w:spacing w:line="312" w:lineRule="auto"/>
        <w:jc w:val="right"/>
        <w:rPr>
          <w:rFonts w:ascii="Trebuchet MS" w:hAnsi="Trebuchet MS"/>
          <w:b/>
          <w:sz w:val="48"/>
          <w:szCs w:val="48"/>
        </w:rPr>
      </w:pPr>
      <w:bookmarkStart w:id="0" w:name="OLE_LINK1"/>
      <w:bookmarkStart w:id="1" w:name="OLE_LINK2"/>
      <w:r w:rsidRPr="00857E53">
        <w:rPr>
          <w:rFonts w:ascii="Trebuchet MS" w:hAnsi="Trebuchet MS"/>
          <w:b/>
          <w:sz w:val="48"/>
          <w:szCs w:val="48"/>
        </w:rPr>
        <w:t xml:space="preserve">Emerging and Sustaining Practices </w:t>
      </w:r>
      <w:r w:rsidR="00CF79D2">
        <w:rPr>
          <w:rFonts w:ascii="Trebuchet MS" w:hAnsi="Trebuchet MS"/>
          <w:b/>
          <w:sz w:val="48"/>
          <w:szCs w:val="48"/>
        </w:rPr>
        <w:t>for School Turnaround</w:t>
      </w:r>
    </w:p>
    <w:bookmarkEnd w:id="0"/>
    <w:bookmarkEnd w:id="1"/>
    <w:p w:rsidR="00ED2475" w:rsidRDefault="00ED2475" w:rsidP="00ED2475">
      <w:pPr>
        <w:jc w:val="right"/>
        <w:rPr>
          <w:b/>
        </w:rPr>
      </w:pPr>
    </w:p>
    <w:p w:rsidR="00857E53" w:rsidRDefault="00857E53" w:rsidP="00ED2475">
      <w:pPr>
        <w:jc w:val="right"/>
        <w:rPr>
          <w:b/>
        </w:rPr>
      </w:pPr>
    </w:p>
    <w:tbl>
      <w:tblPr>
        <w:tblStyle w:val="TableGrid"/>
        <w:tblW w:w="0" w:type="auto"/>
        <w:tblLook w:val="04A0"/>
      </w:tblPr>
      <w:tblGrid>
        <w:gridCol w:w="10152"/>
      </w:tblGrid>
      <w:tr w:rsidR="00ED2475" w:rsidTr="00857E53">
        <w:trPr>
          <w:trHeight w:val="1723"/>
        </w:trPr>
        <w:tc>
          <w:tcPr>
            <w:tcW w:w="10152" w:type="dxa"/>
            <w:tcBorders>
              <w:top w:val="single" w:sz="2" w:space="0" w:color="800000"/>
              <w:left w:val="nil"/>
              <w:bottom w:val="single" w:sz="2" w:space="0" w:color="800000"/>
              <w:right w:val="nil"/>
            </w:tcBorders>
            <w:vAlign w:val="center"/>
          </w:tcPr>
          <w:p w:rsidR="00ED2475" w:rsidRPr="00726C38" w:rsidRDefault="00857E53" w:rsidP="00726C38">
            <w:pPr>
              <w:spacing w:line="312" w:lineRule="auto"/>
              <w:jc w:val="right"/>
              <w:rPr>
                <w:rFonts w:ascii="Trebuchet MS" w:hAnsi="Trebuchet MS"/>
                <w:b/>
                <w:sz w:val="26"/>
                <w:szCs w:val="26"/>
              </w:rPr>
            </w:pPr>
            <w:r w:rsidRPr="00726C38">
              <w:rPr>
                <w:rFonts w:ascii="Trebuchet MS" w:hAnsi="Trebuchet MS"/>
                <w:b/>
                <w:sz w:val="26"/>
                <w:szCs w:val="26"/>
              </w:rPr>
              <w:t xml:space="preserve">An Analysis of School </w:t>
            </w:r>
            <w:r w:rsidR="00726C38" w:rsidRPr="00726C38">
              <w:rPr>
                <w:rFonts w:ascii="Trebuchet MS" w:hAnsi="Trebuchet MS"/>
                <w:b/>
                <w:sz w:val="26"/>
                <w:szCs w:val="26"/>
              </w:rPr>
              <w:t xml:space="preserve">and District </w:t>
            </w:r>
            <w:r w:rsidRPr="00726C38">
              <w:rPr>
                <w:rFonts w:ascii="Trebuchet MS" w:hAnsi="Trebuchet MS"/>
                <w:b/>
                <w:sz w:val="26"/>
                <w:szCs w:val="26"/>
              </w:rPr>
              <w:t xml:space="preserve">Practices, Systems, Policies, and Use of Resources contributing to </w:t>
            </w:r>
            <w:r w:rsidR="00726C38" w:rsidRPr="00726C38">
              <w:rPr>
                <w:rFonts w:ascii="Trebuchet MS" w:hAnsi="Trebuchet MS"/>
                <w:b/>
                <w:sz w:val="26"/>
                <w:szCs w:val="26"/>
              </w:rPr>
              <w:t xml:space="preserve">the </w:t>
            </w:r>
            <w:r w:rsidRPr="00726C38">
              <w:rPr>
                <w:rFonts w:ascii="Trebuchet MS" w:hAnsi="Trebuchet MS"/>
                <w:b/>
                <w:sz w:val="26"/>
                <w:szCs w:val="26"/>
              </w:rPr>
              <w:t>successful Turnaround Efforts</w:t>
            </w:r>
            <w:r w:rsidR="0040528C" w:rsidRPr="00726C38">
              <w:rPr>
                <w:rFonts w:ascii="Trebuchet MS" w:hAnsi="Trebuchet MS"/>
                <w:b/>
                <w:sz w:val="26"/>
                <w:szCs w:val="26"/>
              </w:rPr>
              <w:t xml:space="preserve"> in Level 4 Schools</w:t>
            </w:r>
          </w:p>
        </w:tc>
      </w:tr>
    </w:tbl>
    <w:p w:rsidR="00ED2475" w:rsidRDefault="00ED2475" w:rsidP="00ED2475">
      <w:pPr>
        <w:jc w:val="right"/>
        <w:rPr>
          <w:b/>
        </w:rPr>
      </w:pPr>
    </w:p>
    <w:p w:rsidR="00857E53" w:rsidRDefault="00857E53" w:rsidP="00ED2475">
      <w:pPr>
        <w:jc w:val="right"/>
        <w:rPr>
          <w:b/>
        </w:rPr>
      </w:pPr>
    </w:p>
    <w:p w:rsidR="00857E53" w:rsidRDefault="00343C33" w:rsidP="00ED2475">
      <w:pPr>
        <w:jc w:val="right"/>
        <w:rPr>
          <w:b/>
        </w:rPr>
      </w:pPr>
      <w:r>
        <w:rPr>
          <w:b/>
        </w:rPr>
        <w:t>June</w:t>
      </w:r>
      <w:r w:rsidR="00857E53">
        <w:rPr>
          <w:b/>
        </w:rPr>
        <w:t xml:space="preserve"> 2013</w:t>
      </w:r>
    </w:p>
    <w:p w:rsidR="00857E53" w:rsidRDefault="00857E53" w:rsidP="00ED2475">
      <w:pPr>
        <w:jc w:val="right"/>
        <w:rPr>
          <w:b/>
        </w:rPr>
      </w:pPr>
    </w:p>
    <w:p w:rsidR="00857E53" w:rsidRDefault="00857E53" w:rsidP="00ED2475">
      <w:pPr>
        <w:jc w:val="right"/>
        <w:rPr>
          <w:b/>
        </w:rPr>
      </w:pPr>
    </w:p>
    <w:p w:rsidR="00857E53" w:rsidRPr="00857E53" w:rsidRDefault="00074572" w:rsidP="00ED2475">
      <w:pPr>
        <w:jc w:val="right"/>
        <w:rPr>
          <w:rFonts w:ascii="Trebuchet MS" w:hAnsi="Trebuchet MS"/>
          <w:szCs w:val="24"/>
        </w:rPr>
      </w:pPr>
      <w:r w:rsidRPr="00A63338">
        <w:rPr>
          <w:b/>
          <w:noProof/>
          <w:sz w:val="22"/>
          <w:szCs w:val="22"/>
          <w:lang w:eastAsia="zh-CN"/>
        </w:rPr>
        <w:drawing>
          <wp:anchor distT="0" distB="0" distL="114300" distR="114300" simplePos="0" relativeHeight="251715584" behindDoc="0" locked="0" layoutInCell="1" allowOverlap="1">
            <wp:simplePos x="0" y="0"/>
            <wp:positionH relativeFrom="margin">
              <wp:posOffset>2317115</wp:posOffset>
            </wp:positionH>
            <wp:positionV relativeFrom="margin">
              <wp:posOffset>7943215</wp:posOffset>
            </wp:positionV>
            <wp:extent cx="3989070" cy="645795"/>
            <wp:effectExtent l="0" t="0" r="0" b="1905"/>
            <wp:wrapSquare wrapText="bothSides"/>
            <wp:docPr id="39" name="Picture 2" descr="Logo for the Institute for Strategic Leadership and Learning: Advancing Innovation and Transformational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89070" cy="645795"/>
                    </a:xfrm>
                    <a:prstGeom prst="rect">
                      <a:avLst/>
                    </a:prstGeom>
                    <a:noFill/>
                    <a:ln>
                      <a:noFill/>
                    </a:ln>
                  </pic:spPr>
                </pic:pic>
              </a:graphicData>
            </a:graphic>
          </wp:anchor>
        </w:drawing>
      </w:r>
      <w:r w:rsidR="00857E53" w:rsidRPr="00857E53">
        <w:rPr>
          <w:rFonts w:ascii="Trebuchet MS" w:hAnsi="Trebuchet MS"/>
          <w:szCs w:val="24"/>
        </w:rPr>
        <w:t>An Evaluation and Policy Analysis conducted for the Massachusetts Department of Elementary and Secondary Education by INSTLL, LLC</w:t>
      </w:r>
    </w:p>
    <w:p w:rsidR="00ED2475" w:rsidRDefault="00ED2475" w:rsidP="00C9081C">
      <w:pPr>
        <w:rPr>
          <w:b/>
        </w:rPr>
        <w:sectPr w:rsidR="00ED2475" w:rsidSect="00E562C2">
          <w:headerReference w:type="default" r:id="rId9"/>
          <w:footerReference w:type="even" r:id="rId10"/>
          <w:footerReference w:type="default" r:id="rId11"/>
          <w:headerReference w:type="first" r:id="rId12"/>
          <w:pgSz w:w="12240" w:h="15840"/>
          <w:pgMar w:top="1152" w:right="1152" w:bottom="1152" w:left="1152" w:header="720" w:footer="720" w:gutter="0"/>
          <w:cols w:space="720"/>
        </w:sectPr>
      </w:pPr>
    </w:p>
    <w:p w:rsidR="000C2E9B" w:rsidRDefault="000C2E9B" w:rsidP="000C2E9B">
      <w:pPr>
        <w:tabs>
          <w:tab w:val="left" w:pos="1260"/>
        </w:tabs>
        <w:spacing w:before="120"/>
        <w:rPr>
          <w:b/>
          <w:sz w:val="22"/>
          <w:szCs w:val="22"/>
        </w:rPr>
      </w:pPr>
    </w:p>
    <w:p w:rsidR="000C2E9B" w:rsidRDefault="000C2E9B" w:rsidP="000C2E9B">
      <w:pPr>
        <w:tabs>
          <w:tab w:val="left" w:pos="1260"/>
        </w:tabs>
        <w:spacing w:before="120"/>
        <w:rPr>
          <w:sz w:val="22"/>
          <w:szCs w:val="22"/>
        </w:rPr>
      </w:pPr>
      <w:r w:rsidRPr="00F67222">
        <w:rPr>
          <w:b/>
          <w:sz w:val="22"/>
          <w:szCs w:val="22"/>
        </w:rPr>
        <w:t>Authors</w:t>
      </w:r>
      <w:r w:rsidRPr="00F67222">
        <w:rPr>
          <w:sz w:val="22"/>
          <w:szCs w:val="22"/>
        </w:rPr>
        <w:t xml:space="preserve">: </w:t>
      </w:r>
      <w:r>
        <w:rPr>
          <w:sz w:val="22"/>
          <w:szCs w:val="22"/>
        </w:rPr>
        <w:tab/>
      </w:r>
      <w:r w:rsidRPr="00F67222">
        <w:rPr>
          <w:sz w:val="22"/>
          <w:szCs w:val="22"/>
        </w:rPr>
        <w:t>Brett Lane,</w:t>
      </w:r>
      <w:r>
        <w:rPr>
          <w:sz w:val="22"/>
          <w:szCs w:val="22"/>
        </w:rPr>
        <w:t xml:space="preserve"> President, INSTLL</w:t>
      </w:r>
    </w:p>
    <w:p w:rsidR="000C2E9B" w:rsidRDefault="000C2E9B" w:rsidP="000C2E9B">
      <w:pPr>
        <w:tabs>
          <w:tab w:val="left" w:pos="1260"/>
        </w:tabs>
        <w:spacing w:before="120"/>
        <w:rPr>
          <w:sz w:val="22"/>
          <w:szCs w:val="22"/>
        </w:rPr>
      </w:pPr>
      <w:r>
        <w:rPr>
          <w:sz w:val="22"/>
          <w:szCs w:val="22"/>
        </w:rPr>
        <w:tab/>
        <w:t>Chris Unger,</w:t>
      </w:r>
      <w:r w:rsidRPr="00F67222">
        <w:rPr>
          <w:sz w:val="22"/>
          <w:szCs w:val="22"/>
        </w:rPr>
        <w:t xml:space="preserve"> </w:t>
      </w:r>
      <w:r>
        <w:rPr>
          <w:sz w:val="22"/>
          <w:szCs w:val="22"/>
        </w:rPr>
        <w:t xml:space="preserve">Senior Partner, INSTLL </w:t>
      </w:r>
    </w:p>
    <w:p w:rsidR="000C2E9B" w:rsidRPr="00F67222" w:rsidRDefault="000C2E9B" w:rsidP="000C2E9B">
      <w:pPr>
        <w:tabs>
          <w:tab w:val="left" w:pos="1260"/>
        </w:tabs>
        <w:spacing w:before="120"/>
        <w:rPr>
          <w:sz w:val="22"/>
          <w:szCs w:val="22"/>
        </w:rPr>
      </w:pPr>
      <w:r>
        <w:rPr>
          <w:sz w:val="22"/>
          <w:szCs w:val="22"/>
        </w:rPr>
        <w:tab/>
        <w:t xml:space="preserve">Lauren </w:t>
      </w:r>
      <w:proofErr w:type="spellStart"/>
      <w:r>
        <w:rPr>
          <w:sz w:val="22"/>
          <w:szCs w:val="22"/>
        </w:rPr>
        <w:t>Morando</w:t>
      </w:r>
      <w:proofErr w:type="spellEnd"/>
      <w:r>
        <w:rPr>
          <w:sz w:val="22"/>
          <w:szCs w:val="22"/>
        </w:rPr>
        <w:t xml:space="preserve"> </w:t>
      </w:r>
      <w:proofErr w:type="spellStart"/>
      <w:r>
        <w:rPr>
          <w:sz w:val="22"/>
          <w:szCs w:val="22"/>
        </w:rPr>
        <w:t>Rhim</w:t>
      </w:r>
      <w:proofErr w:type="spellEnd"/>
      <w:r>
        <w:rPr>
          <w:sz w:val="22"/>
          <w:szCs w:val="22"/>
        </w:rPr>
        <w:t>,</w:t>
      </w:r>
      <w:r w:rsidRPr="00F67222">
        <w:rPr>
          <w:sz w:val="22"/>
          <w:szCs w:val="22"/>
        </w:rPr>
        <w:t xml:space="preserve"> LMR Consulting</w:t>
      </w: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Default="000C2E9B" w:rsidP="000C2E9B">
      <w:pPr>
        <w:spacing w:line="288" w:lineRule="auto"/>
        <w:rPr>
          <w:b/>
          <w:sz w:val="22"/>
          <w:szCs w:val="22"/>
        </w:rPr>
      </w:pPr>
    </w:p>
    <w:p w:rsidR="000C2E9B" w:rsidRPr="00F67222" w:rsidRDefault="000C2E9B" w:rsidP="000C2E9B">
      <w:pPr>
        <w:spacing w:line="288" w:lineRule="auto"/>
        <w:rPr>
          <w:b/>
          <w:sz w:val="22"/>
          <w:szCs w:val="22"/>
        </w:rPr>
      </w:pPr>
      <w:r w:rsidRPr="00F67222">
        <w:rPr>
          <w:b/>
          <w:sz w:val="22"/>
          <w:szCs w:val="22"/>
        </w:rPr>
        <w:t>INSTLL, LLC</w:t>
      </w:r>
    </w:p>
    <w:tbl>
      <w:tblPr>
        <w:tblStyle w:val="TableGrid"/>
        <w:tblW w:w="0" w:type="auto"/>
        <w:tblLook w:val="04A0"/>
      </w:tblPr>
      <w:tblGrid>
        <w:gridCol w:w="10152"/>
      </w:tblGrid>
      <w:tr w:rsidR="000C2E9B" w:rsidRPr="00F67222" w:rsidTr="000C2E9B">
        <w:trPr>
          <w:trHeight w:val="3635"/>
        </w:trPr>
        <w:tc>
          <w:tcPr>
            <w:tcW w:w="10152" w:type="dxa"/>
            <w:tcBorders>
              <w:left w:val="nil"/>
              <w:bottom w:val="nil"/>
              <w:right w:val="nil"/>
            </w:tcBorders>
          </w:tcPr>
          <w:p w:rsidR="000C2E9B" w:rsidRPr="00F67222" w:rsidRDefault="000C2E9B" w:rsidP="000C2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0C2E9B" w:rsidRPr="00F67222" w:rsidRDefault="000C2E9B" w:rsidP="000C2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F67222">
              <w:rPr>
                <w:rFonts w:ascii="Times New Roman" w:hAnsi="Times New Roman" w:cs="Times New Roman"/>
                <w:sz w:val="22"/>
                <w:szCs w:val="22"/>
              </w:rPr>
              <w:t>The Institute for Strategic Leadership and Learning (INSTLL, LLC) is an education research and consulting firm that works with educational organizations, state education agencies, districts, and schools to promote meaningful improvements to our system of public education.</w:t>
            </w:r>
          </w:p>
          <w:p w:rsidR="000C2E9B" w:rsidRPr="00F67222" w:rsidRDefault="000C2E9B" w:rsidP="000C2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0C2E9B" w:rsidRPr="00F67222" w:rsidRDefault="000C2E9B" w:rsidP="000C2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F67222">
              <w:rPr>
                <w:rFonts w:ascii="Times New Roman" w:hAnsi="Times New Roman" w:cs="Times New Roman"/>
                <w:sz w:val="22"/>
                <w:szCs w:val="22"/>
              </w:rPr>
              <w:t xml:space="preserve">INSTLL works to support the development and spread of innovative ideas to improve public education by </w:t>
            </w:r>
            <w:r w:rsidRPr="00F67222">
              <w:rPr>
                <w:rFonts w:ascii="Times New Roman" w:hAnsi="Times New Roman" w:cs="Times New Roman"/>
                <w:i/>
                <w:iCs/>
                <w:sz w:val="22"/>
                <w:szCs w:val="22"/>
              </w:rPr>
              <w:t xml:space="preserve">cultivating strategic leadership and learning, </w:t>
            </w:r>
            <w:r w:rsidRPr="00F67222">
              <w:rPr>
                <w:rFonts w:ascii="Times New Roman" w:hAnsi="Times New Roman" w:cs="Times New Roman"/>
                <w:sz w:val="22"/>
                <w:szCs w:val="22"/>
              </w:rPr>
              <w:t xml:space="preserve">supporting the </w:t>
            </w:r>
            <w:r w:rsidRPr="00F67222">
              <w:rPr>
                <w:rFonts w:ascii="Times New Roman" w:hAnsi="Times New Roman" w:cs="Times New Roman"/>
                <w:i/>
                <w:iCs/>
                <w:sz w:val="22"/>
                <w:szCs w:val="22"/>
              </w:rPr>
              <w:t xml:space="preserve">construction of a policy environment </w:t>
            </w:r>
            <w:r w:rsidRPr="00F67222">
              <w:rPr>
                <w:rFonts w:ascii="Times New Roman" w:hAnsi="Times New Roman" w:cs="Times New Roman"/>
                <w:sz w:val="22"/>
                <w:szCs w:val="22"/>
              </w:rPr>
              <w:t xml:space="preserve">conducive to innovation and successful implementation of powerful ideas, and </w:t>
            </w:r>
            <w:r w:rsidRPr="00F67222">
              <w:rPr>
                <w:rFonts w:ascii="Times New Roman" w:hAnsi="Times New Roman" w:cs="Times New Roman"/>
                <w:i/>
                <w:iCs/>
                <w:sz w:val="22"/>
                <w:szCs w:val="22"/>
              </w:rPr>
              <w:t xml:space="preserve">engaging in meaningful evaluations </w:t>
            </w:r>
            <w:r w:rsidRPr="00F67222">
              <w:rPr>
                <w:rFonts w:ascii="Times New Roman" w:hAnsi="Times New Roman" w:cs="Times New Roman"/>
                <w:sz w:val="22"/>
                <w:szCs w:val="22"/>
              </w:rPr>
              <w:t xml:space="preserve">of the various strategies and interventions employed to support teaching and learning. </w:t>
            </w:r>
          </w:p>
          <w:p w:rsidR="000C2E9B" w:rsidRPr="00F67222" w:rsidRDefault="000C2E9B" w:rsidP="000C2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0C2E9B" w:rsidRPr="00F67222" w:rsidRDefault="0011041D" w:rsidP="000C2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hyperlink r:id="rId13" w:history="1">
              <w:r w:rsidR="000C2E9B" w:rsidRPr="00F67222">
                <w:rPr>
                  <w:rFonts w:ascii="Times New Roman" w:hAnsi="Times New Roman" w:cs="Times New Roman"/>
                  <w:color w:val="000099"/>
                  <w:sz w:val="22"/>
                  <w:szCs w:val="22"/>
                  <w:u w:val="single" w:color="000099"/>
                </w:rPr>
                <w:t>www.instll.com</w:t>
              </w:r>
            </w:hyperlink>
            <w:r w:rsidR="000C2E9B" w:rsidRPr="00F67222">
              <w:rPr>
                <w:rFonts w:ascii="Times New Roman" w:hAnsi="Times New Roman" w:cs="Times New Roman"/>
                <w:sz w:val="22"/>
                <w:szCs w:val="22"/>
              </w:rPr>
              <w:t xml:space="preserve">    </w:t>
            </w:r>
          </w:p>
          <w:p w:rsidR="000C2E9B" w:rsidRPr="00F67222" w:rsidRDefault="000C2E9B" w:rsidP="000C2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0C2E9B" w:rsidRPr="000A2343" w:rsidRDefault="000C2E9B" w:rsidP="000C2E9B">
            <w:pPr>
              <w:rPr>
                <w:rFonts w:ascii="Times New Roman" w:hAnsi="Times New Roman" w:cs="Times New Roman"/>
                <w:sz w:val="22"/>
                <w:szCs w:val="22"/>
              </w:rPr>
            </w:pPr>
            <w:r>
              <w:rPr>
                <w:rFonts w:ascii="Times New Roman" w:hAnsi="Times New Roman" w:cs="Times New Roman"/>
                <w:sz w:val="22"/>
                <w:szCs w:val="22"/>
              </w:rPr>
              <w:t>Copyright © 2013</w:t>
            </w:r>
            <w:r w:rsidRPr="000A2343">
              <w:rPr>
                <w:rFonts w:ascii="Times New Roman" w:hAnsi="Times New Roman" w:cs="Times New Roman"/>
                <w:sz w:val="22"/>
                <w:szCs w:val="22"/>
              </w:rPr>
              <w:t xml:space="preserve"> by the Institute for Strategic Leadership and Learning. Permission is granted to print or copy portions of or this entire document. </w:t>
            </w:r>
          </w:p>
        </w:tc>
      </w:tr>
    </w:tbl>
    <w:p w:rsidR="00E562C2" w:rsidRPr="00C675C4" w:rsidRDefault="000C2E9B" w:rsidP="000C2E9B">
      <w:pPr>
        <w:spacing w:before="480"/>
        <w:jc w:val="center"/>
        <w:rPr>
          <w:b/>
        </w:rPr>
      </w:pPr>
      <w:r>
        <w:rPr>
          <w:b/>
        </w:rPr>
        <w:br w:type="page"/>
      </w:r>
      <w:r>
        <w:rPr>
          <w:b/>
        </w:rPr>
        <w:lastRenderedPageBreak/>
        <w:t>Table of Contents</w:t>
      </w:r>
    </w:p>
    <w:p w:rsidR="00E562C2" w:rsidRDefault="00E562C2" w:rsidP="00E562C2">
      <w:pPr>
        <w:spacing w:before="80" w:after="8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38"/>
        <w:gridCol w:w="1314"/>
      </w:tblGrid>
      <w:tr w:rsidR="00C83BE8" w:rsidTr="00100BF5">
        <w:tc>
          <w:tcPr>
            <w:tcW w:w="8838" w:type="dxa"/>
          </w:tcPr>
          <w:p w:rsidR="000C2E9B" w:rsidRPr="00FB52FC" w:rsidRDefault="000C2E9B" w:rsidP="00E562C2">
            <w:pPr>
              <w:spacing w:before="80" w:after="80"/>
              <w:rPr>
                <w:rFonts w:ascii="Times New Roman" w:hAnsi="Times New Roman" w:cs="Times New Roman"/>
                <w:b/>
                <w:sz w:val="23"/>
                <w:szCs w:val="23"/>
              </w:rPr>
            </w:pPr>
            <w:r w:rsidRPr="00FB52FC">
              <w:rPr>
                <w:rFonts w:ascii="Times New Roman" w:hAnsi="Times New Roman" w:cs="Times New Roman"/>
                <w:b/>
                <w:sz w:val="23"/>
                <w:szCs w:val="23"/>
              </w:rPr>
              <w:t>Executive Summary</w:t>
            </w:r>
          </w:p>
        </w:tc>
        <w:tc>
          <w:tcPr>
            <w:tcW w:w="1314" w:type="dxa"/>
            <w:vAlign w:val="center"/>
          </w:tcPr>
          <w:p w:rsidR="000C2E9B" w:rsidRPr="00FB52FC" w:rsidRDefault="00100BF5" w:rsidP="00100BF5">
            <w:pPr>
              <w:spacing w:before="80" w:after="80"/>
              <w:rPr>
                <w:sz w:val="23"/>
                <w:szCs w:val="23"/>
              </w:rPr>
            </w:pPr>
            <w:proofErr w:type="spellStart"/>
            <w:r w:rsidRPr="00FB52FC">
              <w:rPr>
                <w:sz w:val="23"/>
                <w:szCs w:val="23"/>
              </w:rPr>
              <w:t>i</w:t>
            </w:r>
            <w:proofErr w:type="spellEnd"/>
          </w:p>
        </w:tc>
      </w:tr>
      <w:tr w:rsidR="00C83BE8" w:rsidTr="00100BF5">
        <w:tc>
          <w:tcPr>
            <w:tcW w:w="8838" w:type="dxa"/>
          </w:tcPr>
          <w:p w:rsidR="000C2E9B" w:rsidRPr="00FB52FC" w:rsidRDefault="000C2E9B" w:rsidP="00F52747">
            <w:pPr>
              <w:spacing w:before="240" w:after="120"/>
              <w:rPr>
                <w:rFonts w:ascii="Times New Roman" w:hAnsi="Times New Roman" w:cs="Times New Roman"/>
                <w:b/>
                <w:sz w:val="23"/>
                <w:szCs w:val="23"/>
              </w:rPr>
            </w:pPr>
            <w:r w:rsidRPr="00FB52FC">
              <w:rPr>
                <w:rFonts w:ascii="Times New Roman" w:hAnsi="Times New Roman" w:cs="Times New Roman"/>
                <w:b/>
                <w:sz w:val="23"/>
                <w:szCs w:val="23"/>
              </w:rPr>
              <w:t>Introduction</w:t>
            </w:r>
          </w:p>
        </w:tc>
        <w:tc>
          <w:tcPr>
            <w:tcW w:w="1314" w:type="dxa"/>
            <w:vAlign w:val="center"/>
          </w:tcPr>
          <w:p w:rsidR="000C2E9B" w:rsidRPr="00FB52FC" w:rsidRDefault="00100BF5" w:rsidP="00100BF5">
            <w:pPr>
              <w:spacing w:before="80" w:after="80"/>
              <w:rPr>
                <w:sz w:val="23"/>
                <w:szCs w:val="23"/>
              </w:rPr>
            </w:pPr>
            <w:r w:rsidRPr="00FB52FC">
              <w:rPr>
                <w:sz w:val="23"/>
                <w:szCs w:val="23"/>
              </w:rPr>
              <w:t>1</w:t>
            </w:r>
          </w:p>
        </w:tc>
      </w:tr>
      <w:tr w:rsidR="00C83BE8" w:rsidTr="00100BF5">
        <w:tc>
          <w:tcPr>
            <w:tcW w:w="8838" w:type="dxa"/>
          </w:tcPr>
          <w:p w:rsidR="000C2E9B" w:rsidRPr="00FB52FC" w:rsidRDefault="000C2E9B" w:rsidP="00F52747">
            <w:pPr>
              <w:spacing w:before="240" w:after="120"/>
              <w:rPr>
                <w:rFonts w:ascii="Times New Roman" w:hAnsi="Times New Roman" w:cs="Times New Roman"/>
                <w:b/>
                <w:sz w:val="23"/>
                <w:szCs w:val="23"/>
              </w:rPr>
            </w:pPr>
            <w:r w:rsidRPr="00FB52FC">
              <w:rPr>
                <w:rFonts w:ascii="Times New Roman" w:hAnsi="Times New Roman" w:cs="Times New Roman"/>
                <w:b/>
                <w:sz w:val="23"/>
                <w:szCs w:val="23"/>
              </w:rPr>
              <w:t>Purposed, Methods, and Organization</w:t>
            </w:r>
          </w:p>
        </w:tc>
        <w:tc>
          <w:tcPr>
            <w:tcW w:w="1314" w:type="dxa"/>
            <w:vAlign w:val="center"/>
          </w:tcPr>
          <w:p w:rsidR="000C2E9B" w:rsidRPr="00FB52FC" w:rsidRDefault="00100BF5" w:rsidP="00100BF5">
            <w:pPr>
              <w:spacing w:before="80" w:after="80"/>
              <w:rPr>
                <w:sz w:val="23"/>
                <w:szCs w:val="23"/>
              </w:rPr>
            </w:pPr>
            <w:r w:rsidRPr="00FB52FC">
              <w:rPr>
                <w:sz w:val="23"/>
                <w:szCs w:val="23"/>
              </w:rPr>
              <w:t>2</w:t>
            </w:r>
          </w:p>
        </w:tc>
      </w:tr>
      <w:tr w:rsidR="00C83BE8" w:rsidTr="00100BF5">
        <w:tc>
          <w:tcPr>
            <w:tcW w:w="8838" w:type="dxa"/>
          </w:tcPr>
          <w:p w:rsidR="000C2E9B" w:rsidRPr="00FB52FC" w:rsidRDefault="000C2E9B" w:rsidP="00F52747">
            <w:pPr>
              <w:spacing w:before="240" w:after="120"/>
              <w:rPr>
                <w:rFonts w:ascii="Times New Roman" w:hAnsi="Times New Roman" w:cs="Times New Roman"/>
                <w:b/>
                <w:sz w:val="23"/>
                <w:szCs w:val="23"/>
              </w:rPr>
            </w:pPr>
            <w:r w:rsidRPr="00FB52FC">
              <w:rPr>
                <w:rFonts w:ascii="Times New Roman" w:hAnsi="Times New Roman" w:cs="Times New Roman"/>
                <w:b/>
                <w:sz w:val="23"/>
                <w:szCs w:val="23"/>
              </w:rPr>
              <w:t>Achievement Trends in Level 4 Schools</w:t>
            </w:r>
          </w:p>
        </w:tc>
        <w:tc>
          <w:tcPr>
            <w:tcW w:w="1314" w:type="dxa"/>
            <w:vAlign w:val="center"/>
          </w:tcPr>
          <w:p w:rsidR="000C2E9B" w:rsidRPr="00FB52FC" w:rsidRDefault="00100BF5" w:rsidP="00100BF5">
            <w:pPr>
              <w:spacing w:before="80" w:after="80"/>
              <w:rPr>
                <w:sz w:val="23"/>
                <w:szCs w:val="23"/>
              </w:rPr>
            </w:pPr>
            <w:r w:rsidRPr="00FB52FC">
              <w:rPr>
                <w:sz w:val="23"/>
                <w:szCs w:val="23"/>
              </w:rPr>
              <w:t>3</w:t>
            </w:r>
          </w:p>
        </w:tc>
      </w:tr>
      <w:tr w:rsidR="00C83BE8" w:rsidTr="00100BF5">
        <w:tc>
          <w:tcPr>
            <w:tcW w:w="8838" w:type="dxa"/>
          </w:tcPr>
          <w:p w:rsidR="000C2E9B" w:rsidRPr="00FB52FC" w:rsidRDefault="000C2E9B" w:rsidP="00F52747">
            <w:pPr>
              <w:spacing w:before="240" w:after="120"/>
              <w:rPr>
                <w:rFonts w:ascii="Times New Roman" w:hAnsi="Times New Roman" w:cs="Times New Roman"/>
                <w:b/>
                <w:sz w:val="23"/>
                <w:szCs w:val="23"/>
              </w:rPr>
            </w:pPr>
            <w:r w:rsidRPr="00FB52FC">
              <w:rPr>
                <w:rFonts w:ascii="Times New Roman" w:hAnsi="Times New Roman" w:cs="Times New Roman"/>
                <w:b/>
                <w:sz w:val="23"/>
                <w:szCs w:val="23"/>
              </w:rPr>
              <w:t>Emerging Practices for Sustained Turnaround</w:t>
            </w:r>
          </w:p>
          <w:p w:rsidR="00C83BE8" w:rsidRPr="00FB52FC" w:rsidRDefault="00C83BE8" w:rsidP="00C83BE8">
            <w:pPr>
              <w:pStyle w:val="ListParagraph"/>
              <w:spacing w:before="160" w:after="160"/>
              <w:ind w:left="360"/>
              <w:contextualSpacing w:val="0"/>
              <w:rPr>
                <w:rFonts w:ascii="Times New Roman" w:hAnsi="Times New Roman" w:cs="Times New Roman"/>
                <w:b/>
                <w:sz w:val="23"/>
                <w:szCs w:val="23"/>
              </w:rPr>
            </w:pPr>
            <w:r w:rsidRPr="00FB52FC">
              <w:rPr>
                <w:rFonts w:ascii="Times New Roman" w:hAnsi="Times New Roman" w:cs="Times New Roman"/>
                <w:sz w:val="23"/>
                <w:szCs w:val="23"/>
              </w:rPr>
              <w:t xml:space="preserve">Sustaining Practice #1: Building a Community of Practice </w:t>
            </w:r>
            <w:r w:rsidR="00BF59E6" w:rsidRPr="00FB52FC">
              <w:rPr>
                <w:rFonts w:ascii="Times New Roman" w:hAnsi="Times New Roman" w:cs="Times New Roman"/>
                <w:sz w:val="23"/>
                <w:szCs w:val="23"/>
              </w:rPr>
              <w:t>through</w:t>
            </w:r>
            <w:r w:rsidRPr="00FB52FC">
              <w:rPr>
                <w:rFonts w:ascii="Times New Roman" w:hAnsi="Times New Roman" w:cs="Times New Roman"/>
                <w:sz w:val="23"/>
                <w:szCs w:val="23"/>
              </w:rPr>
              <w:t xml:space="preserve"> Leadership, Shared Responsibility, and Professional Collaboration</w:t>
            </w:r>
          </w:p>
          <w:p w:rsidR="00C83BE8" w:rsidRPr="00FB52FC" w:rsidRDefault="00C83BE8" w:rsidP="00C83BE8">
            <w:pPr>
              <w:spacing w:before="120" w:after="120"/>
              <w:ind w:left="360" w:right="1242"/>
              <w:rPr>
                <w:rFonts w:ascii="Times New Roman" w:hAnsi="Times New Roman" w:cs="Times New Roman"/>
                <w:sz w:val="23"/>
                <w:szCs w:val="23"/>
              </w:rPr>
            </w:pPr>
            <w:r w:rsidRPr="00FB52FC">
              <w:rPr>
                <w:rFonts w:ascii="Times New Roman" w:hAnsi="Times New Roman" w:cs="Times New Roman"/>
                <w:sz w:val="23"/>
                <w:szCs w:val="23"/>
              </w:rPr>
              <w:t>Sus</w:t>
            </w:r>
            <w:r w:rsidR="00BF59E6" w:rsidRPr="00FB52FC">
              <w:rPr>
                <w:rFonts w:ascii="Times New Roman" w:hAnsi="Times New Roman" w:cs="Times New Roman"/>
                <w:sz w:val="23"/>
                <w:szCs w:val="23"/>
              </w:rPr>
              <w:t>taining Practice #2: Improving I</w:t>
            </w:r>
            <w:r w:rsidRPr="00FB52FC">
              <w:rPr>
                <w:rFonts w:ascii="Times New Roman" w:hAnsi="Times New Roman" w:cs="Times New Roman"/>
                <w:sz w:val="23"/>
                <w:szCs w:val="23"/>
              </w:rPr>
              <w:t>nstructi</w:t>
            </w:r>
            <w:r w:rsidR="00BF59E6" w:rsidRPr="00FB52FC">
              <w:rPr>
                <w:rFonts w:ascii="Times New Roman" w:hAnsi="Times New Roman" w:cs="Times New Roman"/>
                <w:sz w:val="23"/>
                <w:szCs w:val="23"/>
              </w:rPr>
              <w:t>on and Interventions through Teacher- and Student-specific D</w:t>
            </w:r>
            <w:r w:rsidRPr="00FB52FC">
              <w:rPr>
                <w:rFonts w:ascii="Times New Roman" w:hAnsi="Times New Roman" w:cs="Times New Roman"/>
                <w:sz w:val="23"/>
                <w:szCs w:val="23"/>
              </w:rPr>
              <w:t>ata</w:t>
            </w:r>
          </w:p>
          <w:p w:rsidR="00C83BE8" w:rsidRPr="00FB52FC" w:rsidRDefault="00C83BE8" w:rsidP="00C83BE8">
            <w:pPr>
              <w:spacing w:before="120" w:after="120"/>
              <w:ind w:left="360" w:right="1242"/>
              <w:rPr>
                <w:rFonts w:ascii="Times New Roman" w:hAnsi="Times New Roman" w:cs="Times New Roman"/>
                <w:sz w:val="23"/>
                <w:szCs w:val="23"/>
              </w:rPr>
            </w:pPr>
            <w:r w:rsidRPr="00FB52FC">
              <w:rPr>
                <w:rFonts w:ascii="Times New Roman" w:hAnsi="Times New Roman" w:cs="Times New Roman"/>
                <w:sz w:val="23"/>
                <w:szCs w:val="23"/>
              </w:rPr>
              <w:t xml:space="preserve">Sustaining Practice #3: </w:t>
            </w:r>
            <w:r w:rsidR="00BF59E6" w:rsidRPr="00FB52FC">
              <w:rPr>
                <w:rFonts w:ascii="Times New Roman" w:hAnsi="Times New Roman" w:cs="Times New Roman"/>
                <w:sz w:val="23"/>
                <w:szCs w:val="23"/>
              </w:rPr>
              <w:t>Providing Data-driven Tiered Instruction for All Students</w:t>
            </w:r>
          </w:p>
        </w:tc>
        <w:tc>
          <w:tcPr>
            <w:tcW w:w="1314" w:type="dxa"/>
          </w:tcPr>
          <w:p w:rsidR="000C2E9B" w:rsidRPr="00FB52FC" w:rsidRDefault="00100BF5" w:rsidP="00100BF5">
            <w:pPr>
              <w:spacing w:before="240" w:after="80"/>
              <w:rPr>
                <w:sz w:val="23"/>
                <w:szCs w:val="23"/>
              </w:rPr>
            </w:pPr>
            <w:r w:rsidRPr="00FB52FC">
              <w:rPr>
                <w:sz w:val="23"/>
                <w:szCs w:val="23"/>
              </w:rPr>
              <w:t>4</w:t>
            </w:r>
          </w:p>
        </w:tc>
      </w:tr>
      <w:tr w:rsidR="00C83BE8" w:rsidTr="00100BF5">
        <w:tc>
          <w:tcPr>
            <w:tcW w:w="8838" w:type="dxa"/>
          </w:tcPr>
          <w:p w:rsidR="000C2E9B" w:rsidRPr="00FB52FC" w:rsidRDefault="00BF59E6" w:rsidP="00F52747">
            <w:pPr>
              <w:spacing w:before="240" w:after="80"/>
              <w:rPr>
                <w:rFonts w:ascii="Times New Roman" w:hAnsi="Times New Roman" w:cs="Times New Roman"/>
                <w:b/>
                <w:sz w:val="23"/>
                <w:szCs w:val="23"/>
              </w:rPr>
            </w:pPr>
            <w:r w:rsidRPr="00FB52FC">
              <w:rPr>
                <w:rFonts w:ascii="Times New Roman" w:hAnsi="Times New Roman" w:cs="Times New Roman"/>
                <w:b/>
                <w:sz w:val="23"/>
                <w:szCs w:val="23"/>
              </w:rPr>
              <w:t>District Systems and Practices</w:t>
            </w:r>
          </w:p>
          <w:p w:rsidR="00BF59E6" w:rsidRPr="00FB52FC" w:rsidRDefault="00BF59E6" w:rsidP="00B20377">
            <w:pPr>
              <w:spacing w:before="80" w:after="80"/>
              <w:ind w:left="360"/>
              <w:rPr>
                <w:rFonts w:ascii="Times New Roman" w:hAnsi="Times New Roman" w:cs="Times New Roman"/>
                <w:sz w:val="23"/>
                <w:szCs w:val="23"/>
              </w:rPr>
            </w:pPr>
            <w:r w:rsidRPr="00FB52FC">
              <w:rPr>
                <w:rFonts w:ascii="Times New Roman" w:hAnsi="Times New Roman" w:cs="Times New Roman"/>
                <w:sz w:val="23"/>
                <w:szCs w:val="23"/>
              </w:rPr>
              <w:t>District Actions Supporting School Turnaround</w:t>
            </w:r>
          </w:p>
          <w:p w:rsidR="00BF59E6" w:rsidRPr="00FB52FC" w:rsidRDefault="00BF59E6" w:rsidP="00B20377">
            <w:pPr>
              <w:spacing w:before="80" w:after="80"/>
              <w:ind w:left="360"/>
              <w:rPr>
                <w:rFonts w:ascii="Times New Roman" w:hAnsi="Times New Roman" w:cs="Times New Roman"/>
                <w:sz w:val="23"/>
                <w:szCs w:val="23"/>
              </w:rPr>
            </w:pPr>
            <w:r w:rsidRPr="00FB52FC">
              <w:rPr>
                <w:rFonts w:ascii="Times New Roman" w:hAnsi="Times New Roman" w:cs="Times New Roman"/>
                <w:sz w:val="23"/>
                <w:szCs w:val="23"/>
              </w:rPr>
              <w:t>District Actions Identified as Hindering Turnaround Efforts</w:t>
            </w:r>
          </w:p>
        </w:tc>
        <w:tc>
          <w:tcPr>
            <w:tcW w:w="1314" w:type="dxa"/>
          </w:tcPr>
          <w:p w:rsidR="000C2E9B" w:rsidRPr="00FB52FC" w:rsidRDefault="00100BF5" w:rsidP="00100BF5">
            <w:pPr>
              <w:spacing w:before="160" w:after="80"/>
              <w:rPr>
                <w:sz w:val="23"/>
                <w:szCs w:val="23"/>
              </w:rPr>
            </w:pPr>
            <w:r w:rsidRPr="00FB52FC">
              <w:rPr>
                <w:sz w:val="23"/>
                <w:szCs w:val="23"/>
              </w:rPr>
              <w:t>13</w:t>
            </w:r>
          </w:p>
        </w:tc>
      </w:tr>
      <w:tr w:rsidR="00C83BE8" w:rsidTr="00100BF5">
        <w:tc>
          <w:tcPr>
            <w:tcW w:w="8838" w:type="dxa"/>
          </w:tcPr>
          <w:p w:rsidR="000C2E9B" w:rsidRPr="00FB52FC" w:rsidRDefault="00B20377" w:rsidP="00F52747">
            <w:pPr>
              <w:spacing w:before="240" w:after="80"/>
              <w:rPr>
                <w:rFonts w:ascii="Times New Roman" w:hAnsi="Times New Roman" w:cs="Times New Roman"/>
                <w:b/>
                <w:sz w:val="23"/>
                <w:szCs w:val="23"/>
              </w:rPr>
            </w:pPr>
            <w:r w:rsidRPr="00FB52FC">
              <w:rPr>
                <w:rFonts w:ascii="Times New Roman" w:hAnsi="Times New Roman" w:cs="Times New Roman"/>
                <w:b/>
                <w:sz w:val="23"/>
                <w:szCs w:val="23"/>
              </w:rPr>
              <w:t xml:space="preserve">Trends </w:t>
            </w:r>
            <w:r w:rsidR="001F157B" w:rsidRPr="00FB52FC">
              <w:rPr>
                <w:rFonts w:ascii="Times New Roman" w:hAnsi="Times New Roman" w:cs="Times New Roman"/>
                <w:b/>
                <w:sz w:val="23"/>
                <w:szCs w:val="23"/>
              </w:rPr>
              <w:t>in District and School Use of SR</w:t>
            </w:r>
            <w:r w:rsidRPr="00FB52FC">
              <w:rPr>
                <w:rFonts w:ascii="Times New Roman" w:hAnsi="Times New Roman" w:cs="Times New Roman"/>
                <w:b/>
                <w:sz w:val="23"/>
                <w:szCs w:val="23"/>
              </w:rPr>
              <w:t xml:space="preserve">G and Bridge Grant Funds </w:t>
            </w:r>
          </w:p>
          <w:p w:rsidR="00B20377" w:rsidRPr="00FB52FC" w:rsidRDefault="00B20377" w:rsidP="00B20377">
            <w:pPr>
              <w:spacing w:before="80" w:after="80"/>
              <w:ind w:left="360"/>
              <w:rPr>
                <w:rFonts w:ascii="Times New Roman" w:hAnsi="Times New Roman" w:cs="Times New Roman"/>
                <w:sz w:val="23"/>
                <w:szCs w:val="23"/>
              </w:rPr>
            </w:pPr>
            <w:r w:rsidRPr="00FB52FC">
              <w:rPr>
                <w:rFonts w:ascii="Times New Roman" w:hAnsi="Times New Roman" w:cs="Times New Roman"/>
                <w:sz w:val="23"/>
                <w:szCs w:val="23"/>
              </w:rPr>
              <w:t>Staffing, Time, and Resources: How and where did schools allocate funds?</w:t>
            </w:r>
          </w:p>
          <w:p w:rsidR="00B20377" w:rsidRPr="00FB52FC" w:rsidRDefault="00B20377" w:rsidP="00B20377">
            <w:pPr>
              <w:spacing w:before="80" w:after="80"/>
              <w:ind w:left="360"/>
              <w:rPr>
                <w:b/>
                <w:sz w:val="23"/>
                <w:szCs w:val="23"/>
              </w:rPr>
            </w:pPr>
            <w:r w:rsidRPr="00FB52FC">
              <w:rPr>
                <w:rFonts w:ascii="Times New Roman" w:hAnsi="Times New Roman" w:cs="Times New Roman"/>
                <w:sz w:val="23"/>
                <w:szCs w:val="23"/>
              </w:rPr>
              <w:t>Improvement Focus: Wha</w:t>
            </w:r>
            <w:r w:rsidR="001F157B" w:rsidRPr="00FB52FC">
              <w:rPr>
                <w:rFonts w:ascii="Times New Roman" w:hAnsi="Times New Roman" w:cs="Times New Roman"/>
                <w:sz w:val="23"/>
                <w:szCs w:val="23"/>
              </w:rPr>
              <w:t>t was the focus and target of SR</w:t>
            </w:r>
            <w:r w:rsidRPr="00FB52FC">
              <w:rPr>
                <w:rFonts w:ascii="Times New Roman" w:hAnsi="Times New Roman" w:cs="Times New Roman"/>
                <w:sz w:val="23"/>
                <w:szCs w:val="23"/>
              </w:rPr>
              <w:t>G funds?</w:t>
            </w:r>
          </w:p>
        </w:tc>
        <w:tc>
          <w:tcPr>
            <w:tcW w:w="1314" w:type="dxa"/>
          </w:tcPr>
          <w:p w:rsidR="000C2E9B" w:rsidRPr="00FB52FC" w:rsidRDefault="00100BF5" w:rsidP="00100BF5">
            <w:pPr>
              <w:spacing w:before="220" w:after="80"/>
              <w:rPr>
                <w:sz w:val="23"/>
                <w:szCs w:val="23"/>
              </w:rPr>
            </w:pPr>
            <w:r w:rsidRPr="00FB52FC">
              <w:rPr>
                <w:sz w:val="23"/>
                <w:szCs w:val="23"/>
              </w:rPr>
              <w:t>17</w:t>
            </w:r>
          </w:p>
        </w:tc>
      </w:tr>
      <w:tr w:rsidR="00C83BE8" w:rsidTr="00100BF5">
        <w:tc>
          <w:tcPr>
            <w:tcW w:w="8838" w:type="dxa"/>
          </w:tcPr>
          <w:p w:rsidR="000C2E9B" w:rsidRPr="00FB52FC" w:rsidRDefault="00B20377" w:rsidP="00F52747">
            <w:pPr>
              <w:spacing w:before="240"/>
              <w:rPr>
                <w:rFonts w:ascii="Times New Roman" w:hAnsi="Times New Roman" w:cs="Times New Roman"/>
                <w:b/>
                <w:sz w:val="23"/>
                <w:szCs w:val="23"/>
              </w:rPr>
            </w:pPr>
            <w:r w:rsidRPr="00FB52FC">
              <w:rPr>
                <w:rFonts w:ascii="Times New Roman" w:hAnsi="Times New Roman" w:cs="Times New Roman"/>
                <w:b/>
                <w:sz w:val="23"/>
                <w:szCs w:val="23"/>
              </w:rPr>
              <w:t>Use of Turnaround Approaches and Flexibilities: Federal Intervention Models and Teacher Turnover Rates</w:t>
            </w:r>
          </w:p>
        </w:tc>
        <w:tc>
          <w:tcPr>
            <w:tcW w:w="1314" w:type="dxa"/>
          </w:tcPr>
          <w:p w:rsidR="000C2E9B" w:rsidRPr="00FB52FC" w:rsidRDefault="00100BF5" w:rsidP="00100BF5">
            <w:pPr>
              <w:spacing w:before="220" w:after="80"/>
              <w:rPr>
                <w:sz w:val="23"/>
                <w:szCs w:val="23"/>
              </w:rPr>
            </w:pPr>
            <w:r w:rsidRPr="00FB52FC">
              <w:rPr>
                <w:sz w:val="23"/>
                <w:szCs w:val="23"/>
              </w:rPr>
              <w:t>23</w:t>
            </w:r>
          </w:p>
        </w:tc>
      </w:tr>
      <w:tr w:rsidR="00B20377" w:rsidTr="00100BF5">
        <w:tc>
          <w:tcPr>
            <w:tcW w:w="8838" w:type="dxa"/>
          </w:tcPr>
          <w:p w:rsidR="00B20377" w:rsidRPr="00FB52FC" w:rsidRDefault="00B20377" w:rsidP="004F0734">
            <w:pPr>
              <w:spacing w:before="240" w:after="120"/>
              <w:rPr>
                <w:rFonts w:ascii="Times New Roman" w:hAnsi="Times New Roman" w:cs="Times New Roman"/>
                <w:sz w:val="23"/>
                <w:szCs w:val="23"/>
              </w:rPr>
            </w:pPr>
            <w:r w:rsidRPr="00FB52FC">
              <w:rPr>
                <w:rFonts w:ascii="Times New Roman" w:hAnsi="Times New Roman" w:cs="Times New Roman"/>
                <w:sz w:val="23"/>
                <w:szCs w:val="23"/>
              </w:rPr>
              <w:t xml:space="preserve">Appendix A: </w:t>
            </w:r>
            <w:r w:rsidR="004F0734" w:rsidRPr="00FB52FC">
              <w:rPr>
                <w:rFonts w:ascii="Times New Roman" w:hAnsi="Times New Roman" w:cs="Times New Roman"/>
                <w:b/>
                <w:sz w:val="23"/>
                <w:szCs w:val="23"/>
              </w:rPr>
              <w:t>List of Indicators of</w:t>
            </w:r>
            <w:r w:rsidRPr="00FB52FC">
              <w:rPr>
                <w:rFonts w:ascii="Times New Roman" w:hAnsi="Times New Roman" w:cs="Times New Roman"/>
                <w:b/>
                <w:sz w:val="23"/>
                <w:szCs w:val="23"/>
              </w:rPr>
              <w:t xml:space="preserve"> Measurable Annual Goals </w:t>
            </w:r>
          </w:p>
        </w:tc>
        <w:tc>
          <w:tcPr>
            <w:tcW w:w="1314" w:type="dxa"/>
            <w:vAlign w:val="center"/>
          </w:tcPr>
          <w:p w:rsidR="00B20377" w:rsidRPr="00FB52FC" w:rsidRDefault="00D350B1" w:rsidP="00100BF5">
            <w:pPr>
              <w:spacing w:before="80" w:after="80"/>
              <w:rPr>
                <w:sz w:val="23"/>
                <w:szCs w:val="23"/>
              </w:rPr>
            </w:pPr>
            <w:r w:rsidRPr="00FB52FC">
              <w:rPr>
                <w:sz w:val="23"/>
                <w:szCs w:val="23"/>
              </w:rPr>
              <w:t>A</w:t>
            </w:r>
          </w:p>
        </w:tc>
      </w:tr>
      <w:tr w:rsidR="00B20377" w:rsidTr="00100BF5">
        <w:tc>
          <w:tcPr>
            <w:tcW w:w="8838" w:type="dxa"/>
          </w:tcPr>
          <w:p w:rsidR="00B20377" w:rsidRPr="00FB52FC" w:rsidRDefault="00B20377" w:rsidP="00B20377">
            <w:pPr>
              <w:spacing w:before="120" w:after="120"/>
              <w:rPr>
                <w:rFonts w:ascii="Times New Roman" w:hAnsi="Times New Roman" w:cs="Times New Roman"/>
                <w:sz w:val="23"/>
                <w:szCs w:val="23"/>
              </w:rPr>
            </w:pPr>
            <w:r w:rsidRPr="00FB52FC">
              <w:rPr>
                <w:rFonts w:ascii="Times New Roman" w:hAnsi="Times New Roman" w:cs="Times New Roman"/>
                <w:sz w:val="23"/>
                <w:szCs w:val="23"/>
              </w:rPr>
              <w:t xml:space="preserve">Appendix B: </w:t>
            </w:r>
            <w:r w:rsidRPr="00FB52FC">
              <w:rPr>
                <w:rFonts w:ascii="Times New Roman" w:hAnsi="Times New Roman" w:cs="Times New Roman"/>
                <w:b/>
                <w:sz w:val="23"/>
                <w:szCs w:val="23"/>
              </w:rPr>
              <w:t>Description of Data Sources and Methodology</w:t>
            </w:r>
          </w:p>
        </w:tc>
        <w:tc>
          <w:tcPr>
            <w:tcW w:w="1314" w:type="dxa"/>
            <w:vAlign w:val="center"/>
          </w:tcPr>
          <w:p w:rsidR="00B20377" w:rsidRPr="00FB52FC" w:rsidRDefault="00D350B1" w:rsidP="00100BF5">
            <w:pPr>
              <w:spacing w:before="80" w:after="80"/>
              <w:rPr>
                <w:sz w:val="23"/>
                <w:szCs w:val="23"/>
              </w:rPr>
            </w:pPr>
            <w:r w:rsidRPr="00FB52FC">
              <w:rPr>
                <w:sz w:val="23"/>
                <w:szCs w:val="23"/>
              </w:rPr>
              <w:t>B</w:t>
            </w:r>
          </w:p>
        </w:tc>
      </w:tr>
      <w:tr w:rsidR="00B20377" w:rsidTr="00100BF5">
        <w:tc>
          <w:tcPr>
            <w:tcW w:w="8838" w:type="dxa"/>
          </w:tcPr>
          <w:p w:rsidR="00B20377" w:rsidRPr="00FB52FC" w:rsidRDefault="00AF593F" w:rsidP="00B20377">
            <w:pPr>
              <w:spacing w:before="120" w:after="120"/>
              <w:rPr>
                <w:rFonts w:ascii="Times New Roman" w:hAnsi="Times New Roman" w:cs="Times New Roman"/>
                <w:sz w:val="23"/>
                <w:szCs w:val="23"/>
              </w:rPr>
            </w:pPr>
            <w:r w:rsidRPr="00FB52FC">
              <w:rPr>
                <w:rFonts w:ascii="Times New Roman" w:hAnsi="Times New Roman" w:cs="Times New Roman"/>
                <w:sz w:val="23"/>
                <w:szCs w:val="23"/>
              </w:rPr>
              <w:t>Appendix C</w:t>
            </w:r>
            <w:r w:rsidR="00B20377" w:rsidRPr="00FB52FC">
              <w:rPr>
                <w:rFonts w:ascii="Times New Roman" w:hAnsi="Times New Roman" w:cs="Times New Roman"/>
                <w:sz w:val="23"/>
                <w:szCs w:val="23"/>
              </w:rPr>
              <w:t xml:space="preserve">: </w:t>
            </w:r>
            <w:r w:rsidR="00B20377" w:rsidRPr="00FB52FC">
              <w:rPr>
                <w:rFonts w:ascii="Times New Roman" w:hAnsi="Times New Roman" w:cs="Times New Roman"/>
                <w:b/>
                <w:sz w:val="23"/>
                <w:szCs w:val="23"/>
              </w:rPr>
              <w:t>Listing of Achievement Gain and Non-Gain schools</w:t>
            </w:r>
            <w:r w:rsidR="00B20377" w:rsidRPr="00FB52FC">
              <w:rPr>
                <w:rFonts w:ascii="Times New Roman" w:hAnsi="Times New Roman" w:cs="Times New Roman"/>
                <w:sz w:val="23"/>
                <w:szCs w:val="23"/>
              </w:rPr>
              <w:t xml:space="preserve"> </w:t>
            </w:r>
          </w:p>
        </w:tc>
        <w:tc>
          <w:tcPr>
            <w:tcW w:w="1314" w:type="dxa"/>
            <w:vAlign w:val="center"/>
          </w:tcPr>
          <w:p w:rsidR="00B20377" w:rsidRPr="00FB52FC" w:rsidRDefault="00D350B1" w:rsidP="00100BF5">
            <w:pPr>
              <w:spacing w:before="80" w:after="80"/>
              <w:rPr>
                <w:sz w:val="23"/>
                <w:szCs w:val="23"/>
              </w:rPr>
            </w:pPr>
            <w:r w:rsidRPr="00FB52FC">
              <w:rPr>
                <w:sz w:val="23"/>
                <w:szCs w:val="23"/>
              </w:rPr>
              <w:t>C</w:t>
            </w:r>
          </w:p>
        </w:tc>
      </w:tr>
      <w:tr w:rsidR="00B20377" w:rsidTr="009F1462">
        <w:tc>
          <w:tcPr>
            <w:tcW w:w="8838" w:type="dxa"/>
          </w:tcPr>
          <w:p w:rsidR="00B20377" w:rsidRPr="00B20377" w:rsidRDefault="00B20377" w:rsidP="00B20377">
            <w:pPr>
              <w:spacing w:before="120" w:after="120"/>
              <w:rPr>
                <w:rFonts w:ascii="Times New Roman" w:hAnsi="Times New Roman" w:cs="Times New Roman"/>
              </w:rPr>
            </w:pPr>
          </w:p>
        </w:tc>
        <w:tc>
          <w:tcPr>
            <w:tcW w:w="1314" w:type="dxa"/>
          </w:tcPr>
          <w:p w:rsidR="00B20377" w:rsidRDefault="00B20377" w:rsidP="00E562C2">
            <w:pPr>
              <w:spacing w:before="80" w:after="80"/>
            </w:pPr>
          </w:p>
        </w:tc>
      </w:tr>
    </w:tbl>
    <w:p w:rsidR="007E7203" w:rsidRDefault="007E7203" w:rsidP="00F1284D">
      <w:pPr>
        <w:jc w:val="center"/>
        <w:rPr>
          <w:b/>
        </w:rPr>
        <w:sectPr w:rsidR="007E7203" w:rsidSect="00ED2475">
          <w:headerReference w:type="default" r:id="rId14"/>
          <w:footerReference w:type="first" r:id="rId15"/>
          <w:pgSz w:w="12240" w:h="15840"/>
          <w:pgMar w:top="1152" w:right="1152" w:bottom="1152" w:left="1152" w:header="720" w:footer="720" w:gutter="0"/>
          <w:pgNumType w:start="1"/>
          <w:cols w:space="720"/>
          <w:titlePg/>
        </w:sectPr>
      </w:pPr>
    </w:p>
    <w:p w:rsidR="00074572" w:rsidRDefault="00074572" w:rsidP="002014BD">
      <w:pPr>
        <w:spacing w:line="288" w:lineRule="auto"/>
        <w:rPr>
          <w:sz w:val="22"/>
          <w:szCs w:val="22"/>
        </w:rPr>
      </w:pPr>
    </w:p>
    <w:p w:rsidR="00074572" w:rsidRDefault="00074572">
      <w:pPr>
        <w:rPr>
          <w:sz w:val="22"/>
          <w:szCs w:val="22"/>
        </w:rPr>
      </w:pPr>
      <w:r>
        <w:rPr>
          <w:sz w:val="22"/>
          <w:szCs w:val="22"/>
        </w:rPr>
        <w:br w:type="page"/>
      </w:r>
    </w:p>
    <w:p w:rsidR="00074572" w:rsidRDefault="00074572" w:rsidP="002014BD">
      <w:pPr>
        <w:spacing w:line="288" w:lineRule="auto"/>
        <w:rPr>
          <w:sz w:val="22"/>
          <w:szCs w:val="22"/>
        </w:rPr>
      </w:pPr>
    </w:p>
    <w:p w:rsidR="00074572" w:rsidRDefault="00074572">
      <w:pPr>
        <w:rPr>
          <w:sz w:val="22"/>
          <w:szCs w:val="22"/>
        </w:rPr>
      </w:pPr>
      <w:r>
        <w:rPr>
          <w:sz w:val="22"/>
          <w:szCs w:val="22"/>
        </w:rPr>
        <w:t>This page intentionally left blank</w:t>
      </w:r>
      <w:r>
        <w:rPr>
          <w:sz w:val="22"/>
          <w:szCs w:val="22"/>
        </w:rPr>
        <w:br w:type="page"/>
      </w:r>
    </w:p>
    <w:p w:rsidR="00100BF5" w:rsidRDefault="00100BF5" w:rsidP="002014BD">
      <w:pPr>
        <w:spacing w:line="288" w:lineRule="auto"/>
        <w:rPr>
          <w:sz w:val="22"/>
          <w:szCs w:val="22"/>
        </w:rPr>
        <w:sectPr w:rsidR="00100BF5" w:rsidSect="00074572">
          <w:headerReference w:type="default" r:id="rId16"/>
          <w:footerReference w:type="default" r:id="rId17"/>
          <w:headerReference w:type="first" r:id="rId18"/>
          <w:footerReference w:type="first" r:id="rId19"/>
          <w:type w:val="continuous"/>
          <w:pgSz w:w="12240" w:h="15840"/>
          <w:pgMar w:top="1440" w:right="1152" w:bottom="1152" w:left="1152" w:header="720" w:footer="576" w:gutter="0"/>
          <w:pgNumType w:fmt="lowerRoman" w:start="1"/>
          <w:cols w:space="720"/>
        </w:sectPr>
      </w:pPr>
    </w:p>
    <w:p w:rsidR="00F1284D" w:rsidRPr="001A487A" w:rsidRDefault="007E7203" w:rsidP="002014BD">
      <w:pPr>
        <w:spacing w:line="288" w:lineRule="auto"/>
        <w:rPr>
          <w:sz w:val="22"/>
          <w:szCs w:val="22"/>
        </w:rPr>
      </w:pPr>
      <w:r w:rsidRPr="004F0734">
        <w:rPr>
          <w:b/>
          <w:i/>
          <w:sz w:val="22"/>
          <w:szCs w:val="22"/>
        </w:rPr>
        <w:lastRenderedPageBreak/>
        <w:t>The experience of Massachusetts’ Level 4 schools</w:t>
      </w:r>
      <w:r w:rsidRPr="001A487A">
        <w:rPr>
          <w:sz w:val="22"/>
          <w:szCs w:val="22"/>
        </w:rPr>
        <w:t xml:space="preserve"> provides a compelling test case of what it takes to leverage, support, and sustain turnaround efforts in our lowest performing schools. Changes in state law (e.g., the </w:t>
      </w:r>
      <w:r w:rsidR="00FA0929">
        <w:rPr>
          <w:i/>
          <w:sz w:val="22"/>
          <w:szCs w:val="22"/>
        </w:rPr>
        <w:t>2010</w:t>
      </w:r>
      <w:r w:rsidRPr="001A487A">
        <w:rPr>
          <w:i/>
          <w:sz w:val="22"/>
          <w:szCs w:val="22"/>
        </w:rPr>
        <w:t xml:space="preserve"> Act Relative to the Achievement Gap</w:t>
      </w:r>
      <w:r w:rsidRPr="001A487A">
        <w:rPr>
          <w:sz w:val="22"/>
          <w:szCs w:val="22"/>
        </w:rPr>
        <w:t xml:space="preserve">) provided districts and Level 4 schools with unprecedented ability to change the </w:t>
      </w:r>
      <w:r w:rsidRPr="001A487A">
        <w:rPr>
          <w:sz w:val="22"/>
          <w:szCs w:val="22"/>
          <w:u w:val="single"/>
        </w:rPr>
        <w:t>conditions</w:t>
      </w:r>
      <w:r w:rsidR="001A487A" w:rsidRPr="001A487A">
        <w:rPr>
          <w:sz w:val="22"/>
          <w:szCs w:val="22"/>
        </w:rPr>
        <w:t xml:space="preserve"> in and around schools, as needed to directly improve teachers’ instruction and create a school </w:t>
      </w:r>
      <w:r w:rsidR="00FC37EA">
        <w:rPr>
          <w:sz w:val="22"/>
          <w:szCs w:val="22"/>
        </w:rPr>
        <w:t>climate conducive to accelerating</w:t>
      </w:r>
      <w:r w:rsidR="001A487A" w:rsidRPr="001A487A">
        <w:rPr>
          <w:sz w:val="22"/>
          <w:szCs w:val="22"/>
        </w:rPr>
        <w:t xml:space="preserve"> learning. School Redesign Grant (SRG) funding provides </w:t>
      </w:r>
      <w:r w:rsidR="001A487A" w:rsidRPr="001A487A">
        <w:rPr>
          <w:sz w:val="22"/>
          <w:szCs w:val="22"/>
          <w:u w:val="single"/>
        </w:rPr>
        <w:t>resources</w:t>
      </w:r>
      <w:r w:rsidR="001A487A" w:rsidRPr="001A487A">
        <w:rPr>
          <w:sz w:val="22"/>
          <w:szCs w:val="22"/>
        </w:rPr>
        <w:t xml:space="preserve"> to accelerate turnaround efforts, as well as build district capacity to support such efforts. </w:t>
      </w:r>
    </w:p>
    <w:p w:rsidR="001A487A" w:rsidRPr="000A6DB7" w:rsidRDefault="001A487A" w:rsidP="002014BD">
      <w:pPr>
        <w:spacing w:line="288" w:lineRule="auto"/>
        <w:rPr>
          <w:sz w:val="22"/>
          <w:szCs w:val="22"/>
        </w:rPr>
      </w:pPr>
    </w:p>
    <w:p w:rsidR="00A9787C" w:rsidRDefault="000A6DB7" w:rsidP="002014BD">
      <w:pPr>
        <w:spacing w:line="288" w:lineRule="auto"/>
        <w:rPr>
          <w:sz w:val="22"/>
          <w:szCs w:val="22"/>
        </w:rPr>
      </w:pPr>
      <w:r w:rsidRPr="000A6DB7">
        <w:rPr>
          <w:sz w:val="22"/>
          <w:szCs w:val="22"/>
        </w:rPr>
        <w:t>After two years</w:t>
      </w:r>
      <w:r>
        <w:rPr>
          <w:sz w:val="22"/>
          <w:szCs w:val="22"/>
        </w:rPr>
        <w:t xml:space="preserve"> (through the 2011-12 school year), some of the Level 4 schools are clearly on a path to rapid improvement while other school</w:t>
      </w:r>
      <w:r w:rsidR="00FB52FC">
        <w:rPr>
          <w:sz w:val="22"/>
          <w:szCs w:val="22"/>
        </w:rPr>
        <w:t>s</w:t>
      </w:r>
      <w:r>
        <w:rPr>
          <w:sz w:val="22"/>
          <w:szCs w:val="22"/>
        </w:rPr>
        <w:t xml:space="preserve"> are not—the glass </w:t>
      </w:r>
      <w:r w:rsidR="00FB52FC">
        <w:rPr>
          <w:sz w:val="22"/>
          <w:szCs w:val="22"/>
        </w:rPr>
        <w:t>is half full and half empty. While i</w:t>
      </w:r>
      <w:r>
        <w:rPr>
          <w:sz w:val="22"/>
          <w:szCs w:val="22"/>
        </w:rPr>
        <w:t>t is too early to judge whether or not the “turnaround</w:t>
      </w:r>
      <w:r w:rsidR="00FC37EA">
        <w:rPr>
          <w:sz w:val="22"/>
          <w:szCs w:val="22"/>
        </w:rPr>
        <w:t>” experiment is a success</w:t>
      </w:r>
      <w:r w:rsidR="00FB52FC">
        <w:rPr>
          <w:sz w:val="22"/>
          <w:szCs w:val="22"/>
        </w:rPr>
        <w:t>,</w:t>
      </w:r>
      <w:r>
        <w:rPr>
          <w:sz w:val="22"/>
          <w:szCs w:val="22"/>
        </w:rPr>
        <w:t xml:space="preserve"> we </w:t>
      </w:r>
      <w:r w:rsidR="007C0088">
        <w:rPr>
          <w:sz w:val="22"/>
          <w:szCs w:val="22"/>
        </w:rPr>
        <w:t>have the opportunity to use</w:t>
      </w:r>
      <w:r>
        <w:rPr>
          <w:sz w:val="22"/>
          <w:szCs w:val="22"/>
        </w:rPr>
        <w:t xml:space="preserve"> the rich data provided by these schools to </w:t>
      </w:r>
      <w:r w:rsidR="00FC37EA">
        <w:rPr>
          <w:sz w:val="22"/>
          <w:szCs w:val="22"/>
        </w:rPr>
        <w:t>explore</w:t>
      </w:r>
      <w:r>
        <w:rPr>
          <w:sz w:val="22"/>
          <w:szCs w:val="22"/>
        </w:rPr>
        <w:t xml:space="preserve"> why </w:t>
      </w:r>
      <w:r w:rsidR="00FC37EA">
        <w:rPr>
          <w:sz w:val="22"/>
          <w:szCs w:val="22"/>
        </w:rPr>
        <w:t xml:space="preserve">and how </w:t>
      </w:r>
      <w:r w:rsidR="00726C38">
        <w:rPr>
          <w:sz w:val="22"/>
          <w:szCs w:val="22"/>
        </w:rPr>
        <w:t xml:space="preserve">some </w:t>
      </w:r>
      <w:r w:rsidR="00FC37EA">
        <w:rPr>
          <w:sz w:val="22"/>
          <w:szCs w:val="22"/>
        </w:rPr>
        <w:t>have been able to make significant improvements through</w:t>
      </w:r>
      <w:r>
        <w:rPr>
          <w:sz w:val="22"/>
          <w:szCs w:val="22"/>
        </w:rPr>
        <w:t xml:space="preserve"> two years and </w:t>
      </w:r>
      <w:r w:rsidR="00726C38">
        <w:rPr>
          <w:sz w:val="22"/>
          <w:szCs w:val="22"/>
        </w:rPr>
        <w:t xml:space="preserve">to </w:t>
      </w:r>
      <w:r>
        <w:rPr>
          <w:sz w:val="22"/>
          <w:szCs w:val="22"/>
        </w:rPr>
        <w:t xml:space="preserve">learn from their experience. </w:t>
      </w:r>
      <w:r w:rsidR="00726C38">
        <w:rPr>
          <w:sz w:val="22"/>
          <w:szCs w:val="22"/>
        </w:rPr>
        <w:t xml:space="preserve">The question is: </w:t>
      </w:r>
      <w:r>
        <w:rPr>
          <w:sz w:val="22"/>
          <w:szCs w:val="22"/>
        </w:rPr>
        <w:t>What have we learned?</w:t>
      </w:r>
    </w:p>
    <w:p w:rsidR="00A9787C" w:rsidRDefault="00A9787C" w:rsidP="002014BD">
      <w:pPr>
        <w:spacing w:line="288" w:lineRule="auto"/>
        <w:rPr>
          <w:sz w:val="22"/>
          <w:szCs w:val="22"/>
        </w:rPr>
      </w:pPr>
    </w:p>
    <w:p w:rsidR="00F1284D" w:rsidRPr="00DF40C0" w:rsidRDefault="00F1284D" w:rsidP="00DF40C0">
      <w:pPr>
        <w:spacing w:line="288" w:lineRule="auto"/>
        <w:jc w:val="center"/>
        <w:rPr>
          <w:i/>
          <w:sz w:val="22"/>
          <w:szCs w:val="22"/>
        </w:rPr>
      </w:pPr>
      <w:r w:rsidRPr="00DF40C0">
        <w:rPr>
          <w:i/>
          <w:sz w:val="22"/>
          <w:szCs w:val="22"/>
        </w:rPr>
        <w:t xml:space="preserve">Of the original 34 schools designated as Level 4 in 2009, 14 schools are on target to meet their 3-year </w:t>
      </w:r>
      <w:r w:rsidR="00A9787C" w:rsidRPr="00DF40C0">
        <w:rPr>
          <w:i/>
          <w:sz w:val="22"/>
          <w:szCs w:val="22"/>
        </w:rPr>
        <w:t xml:space="preserve">goals </w:t>
      </w:r>
      <w:r w:rsidRPr="00DF40C0">
        <w:rPr>
          <w:i/>
          <w:sz w:val="22"/>
          <w:szCs w:val="22"/>
        </w:rPr>
        <w:t>(</w:t>
      </w:r>
      <w:r w:rsidR="00A9787C" w:rsidRPr="00DF40C0">
        <w:rPr>
          <w:i/>
          <w:sz w:val="22"/>
          <w:szCs w:val="22"/>
        </w:rPr>
        <w:t xml:space="preserve">we call these schools </w:t>
      </w:r>
      <w:r w:rsidRPr="00DF40C0">
        <w:rPr>
          <w:i/>
          <w:sz w:val="22"/>
          <w:szCs w:val="22"/>
        </w:rPr>
        <w:t>Achievement Gain</w:t>
      </w:r>
      <w:r w:rsidR="00A9787C" w:rsidRPr="00DF40C0">
        <w:rPr>
          <w:i/>
          <w:sz w:val="22"/>
          <w:szCs w:val="22"/>
        </w:rPr>
        <w:t xml:space="preserve"> s</w:t>
      </w:r>
      <w:r w:rsidRPr="00DF40C0">
        <w:rPr>
          <w:i/>
          <w:sz w:val="22"/>
          <w:szCs w:val="22"/>
        </w:rPr>
        <w:t>chools), 9 schools have made little progress a</w:t>
      </w:r>
      <w:r w:rsidR="00A9787C" w:rsidRPr="00DF40C0">
        <w:rPr>
          <w:i/>
          <w:sz w:val="22"/>
          <w:szCs w:val="22"/>
        </w:rPr>
        <w:t>nd are not on target (Non-Gain s</w:t>
      </w:r>
      <w:r w:rsidRPr="00DF40C0">
        <w:rPr>
          <w:i/>
          <w:sz w:val="22"/>
          <w:szCs w:val="22"/>
        </w:rPr>
        <w:t>chools), and 11 s</w:t>
      </w:r>
      <w:r w:rsidR="00DF40C0">
        <w:rPr>
          <w:i/>
          <w:sz w:val="22"/>
          <w:szCs w:val="22"/>
        </w:rPr>
        <w:t xml:space="preserve">chools are partially on target to </w:t>
      </w:r>
      <w:r w:rsidR="00A9787C" w:rsidRPr="00DF40C0">
        <w:rPr>
          <w:i/>
          <w:sz w:val="22"/>
          <w:szCs w:val="22"/>
        </w:rPr>
        <w:t>meet their goals</w:t>
      </w:r>
      <w:r w:rsidRPr="00DF40C0">
        <w:rPr>
          <w:i/>
          <w:sz w:val="22"/>
          <w:szCs w:val="22"/>
        </w:rPr>
        <w:t>.</w:t>
      </w:r>
    </w:p>
    <w:p w:rsidR="00F1284D" w:rsidRPr="00AC381B" w:rsidRDefault="00F1284D" w:rsidP="002014BD">
      <w:pPr>
        <w:spacing w:line="288" w:lineRule="auto"/>
        <w:rPr>
          <w:sz w:val="22"/>
          <w:szCs w:val="22"/>
        </w:rPr>
      </w:pPr>
    </w:p>
    <w:p w:rsidR="00F1284D" w:rsidRPr="00AC381B" w:rsidRDefault="0011041D" w:rsidP="002014BD">
      <w:pPr>
        <w:spacing w:line="288" w:lineRule="auto"/>
        <w:rPr>
          <w:sz w:val="22"/>
          <w:szCs w:val="22"/>
        </w:rPr>
      </w:pPr>
      <w:r w:rsidRPr="0011041D">
        <w:rPr>
          <w:noProof/>
        </w:rPr>
        <w:pict>
          <v:shapetype id="_x0000_t202" coordsize="21600,21600" o:spt="202" path="m,l,21600r21600,l21600,xe">
            <v:stroke joinstyle="miter"/>
            <v:path gradientshapeok="t" o:connecttype="rect"/>
          </v:shapetype>
          <v:shape id="Text Box 2" o:spid="_x0000_s1026" type="#_x0000_t202" style="position:absolute;margin-left:289.2pt;margin-top:259.2pt;width:205.8pt;height:342pt;z-index:251726848;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" fillcolor="white [3201]" strokecolor="#1f497d [3215]" strokeweight=".5pt">
            <v:textbox>
              <w:txbxContent>
                <w:p w:rsidR="0090743D" w:rsidRDefault="0090743D" w:rsidP="00425467">
                  <w:pPr>
                    <w:jc w:val="center"/>
                    <w:rPr>
                      <w:b/>
                      <w:color w:val="365F91" w:themeColor="accent1" w:themeShade="BF"/>
                    </w:rPr>
                  </w:pPr>
                  <w:r>
                    <w:rPr>
                      <w:b/>
                      <w:color w:val="365F91" w:themeColor="accent1" w:themeShade="BF"/>
                    </w:rPr>
                    <w:t>Strategies, Policies, and Use of Resources: A Roadmap to Sustainable Turnaround</w:t>
                  </w:r>
                </w:p>
                <w:p w:rsidR="0090743D" w:rsidRDefault="0090743D">
                  <w:pPr>
                    <w:rPr>
                      <w:b/>
                      <w:color w:val="365F91" w:themeColor="accent1" w:themeShade="BF"/>
                    </w:rPr>
                  </w:pPr>
                </w:p>
                <w:p w:rsidR="0090743D" w:rsidRPr="002C48F0" w:rsidRDefault="0090743D" w:rsidP="002C48F0">
                  <w:pPr>
                    <w:rPr>
                      <w:i/>
                      <w:iCs/>
                      <w:color w:val="000000" w:themeColor="text1"/>
                      <w:sz w:val="22"/>
                      <w:szCs w:val="22"/>
                    </w:rPr>
                  </w:pPr>
                  <w:r w:rsidRPr="002C48F0">
                    <w:rPr>
                      <w:i/>
                      <w:iCs/>
                      <w:color w:val="000000" w:themeColor="text1"/>
                      <w:sz w:val="22"/>
                      <w:szCs w:val="22"/>
                    </w:rPr>
                    <w:t xml:space="preserve">Get the </w:t>
                  </w:r>
                  <w:r w:rsidRPr="00425467">
                    <w:rPr>
                      <w:b/>
                      <w:i/>
                      <w:iCs/>
                      <w:color w:val="000000" w:themeColor="text1"/>
                      <w:sz w:val="22"/>
                      <w:szCs w:val="22"/>
                    </w:rPr>
                    <w:t>right leaders and teachers in place</w:t>
                  </w:r>
                  <w:r w:rsidRPr="002C48F0">
                    <w:rPr>
                      <w:i/>
                      <w:iCs/>
                      <w:color w:val="000000" w:themeColor="text1"/>
                      <w:sz w:val="22"/>
                      <w:szCs w:val="22"/>
                    </w:rPr>
                    <w:t>, with the expertise, willingness and skill to improve.</w:t>
                  </w:r>
                </w:p>
                <w:p w:rsidR="0090743D" w:rsidRPr="002C48F0" w:rsidRDefault="0090743D" w:rsidP="002C48F0">
                  <w:pPr>
                    <w:rPr>
                      <w:i/>
                      <w:iCs/>
                      <w:color w:val="000000" w:themeColor="text1"/>
                      <w:sz w:val="22"/>
                      <w:szCs w:val="22"/>
                    </w:rPr>
                  </w:pPr>
                </w:p>
                <w:p w:rsidR="0090743D" w:rsidRPr="002C48F0" w:rsidRDefault="0090743D" w:rsidP="002C48F0">
                  <w:pPr>
                    <w:rPr>
                      <w:i/>
                      <w:iCs/>
                      <w:color w:val="000000" w:themeColor="text1"/>
                      <w:sz w:val="22"/>
                      <w:szCs w:val="22"/>
                    </w:rPr>
                  </w:pPr>
                  <w:r w:rsidRPr="002C48F0">
                    <w:rPr>
                      <w:i/>
                      <w:iCs/>
                      <w:color w:val="000000" w:themeColor="text1"/>
                      <w:sz w:val="22"/>
                      <w:szCs w:val="22"/>
                    </w:rPr>
                    <w:t xml:space="preserve">Establish a </w:t>
                  </w:r>
                  <w:r w:rsidRPr="00425467">
                    <w:rPr>
                      <w:b/>
                      <w:i/>
                      <w:iCs/>
                      <w:color w:val="000000" w:themeColor="text1"/>
                      <w:sz w:val="22"/>
                      <w:szCs w:val="22"/>
                    </w:rPr>
                    <w:t>safe and orderly environment</w:t>
                  </w:r>
                  <w:r w:rsidRPr="002C48F0">
                    <w:rPr>
                      <w:i/>
                      <w:iCs/>
                      <w:color w:val="000000" w:themeColor="text1"/>
                      <w:sz w:val="22"/>
                      <w:szCs w:val="22"/>
                    </w:rPr>
                    <w:t xml:space="preserve"> for learning.</w:t>
                  </w:r>
                </w:p>
                <w:p w:rsidR="0090743D" w:rsidRPr="002C48F0" w:rsidRDefault="0090743D" w:rsidP="002C48F0">
                  <w:pPr>
                    <w:rPr>
                      <w:i/>
                      <w:iCs/>
                      <w:color w:val="000000" w:themeColor="text1"/>
                      <w:sz w:val="22"/>
                      <w:szCs w:val="22"/>
                    </w:rPr>
                  </w:pPr>
                </w:p>
                <w:p w:rsidR="0090743D" w:rsidRPr="002C48F0" w:rsidRDefault="0090743D" w:rsidP="002C48F0">
                  <w:pPr>
                    <w:rPr>
                      <w:i/>
                      <w:iCs/>
                      <w:color w:val="000000" w:themeColor="text1"/>
                      <w:sz w:val="22"/>
                      <w:szCs w:val="22"/>
                    </w:rPr>
                  </w:pPr>
                  <w:r w:rsidRPr="002C48F0">
                    <w:rPr>
                      <w:i/>
                      <w:iCs/>
                      <w:color w:val="000000" w:themeColor="text1"/>
                      <w:sz w:val="22"/>
                      <w:szCs w:val="22"/>
                    </w:rPr>
                    <w:t xml:space="preserve">Employ </w:t>
                  </w:r>
                  <w:r>
                    <w:rPr>
                      <w:i/>
                      <w:iCs/>
                      <w:color w:val="000000" w:themeColor="text1"/>
                      <w:sz w:val="22"/>
                      <w:szCs w:val="22"/>
                    </w:rPr>
                    <w:t xml:space="preserve">intentional and </w:t>
                  </w:r>
                  <w:r w:rsidRPr="002C48F0">
                    <w:rPr>
                      <w:i/>
                      <w:iCs/>
                      <w:color w:val="000000" w:themeColor="text1"/>
                      <w:sz w:val="22"/>
                      <w:szCs w:val="22"/>
                    </w:rPr>
                    <w:t xml:space="preserve">deliberate practices and data-driven systems to: (1) </w:t>
                  </w:r>
                  <w:r w:rsidRPr="00425467">
                    <w:rPr>
                      <w:b/>
                      <w:i/>
                      <w:iCs/>
                      <w:color w:val="000000" w:themeColor="text1"/>
                      <w:sz w:val="22"/>
                      <w:szCs w:val="22"/>
                    </w:rPr>
                    <w:t>provide</w:t>
                  </w:r>
                  <w:r w:rsidRPr="002C48F0">
                    <w:rPr>
                      <w:i/>
                      <w:iCs/>
                      <w:color w:val="000000" w:themeColor="text1"/>
                      <w:sz w:val="22"/>
                      <w:szCs w:val="22"/>
                    </w:rPr>
                    <w:t xml:space="preserve"> students with tiered instruction, (2) </w:t>
                  </w:r>
                  <w:r w:rsidRPr="00425467">
                    <w:rPr>
                      <w:b/>
                      <w:i/>
                      <w:iCs/>
                      <w:color w:val="000000" w:themeColor="text1"/>
                      <w:sz w:val="22"/>
                      <w:szCs w:val="22"/>
                    </w:rPr>
                    <w:t>improve</w:t>
                  </w:r>
                  <w:r w:rsidRPr="002C48F0">
                    <w:rPr>
                      <w:i/>
                      <w:iCs/>
                      <w:color w:val="000000" w:themeColor="text1"/>
                      <w:sz w:val="22"/>
                      <w:szCs w:val="22"/>
                    </w:rPr>
                    <w:t xml:space="preserve"> teachers’ instruction, and (3) </w:t>
                  </w:r>
                  <w:r w:rsidRPr="00425467">
                    <w:rPr>
                      <w:b/>
                      <w:i/>
                      <w:iCs/>
                      <w:color w:val="000000" w:themeColor="text1"/>
                      <w:sz w:val="22"/>
                      <w:szCs w:val="22"/>
                    </w:rPr>
                    <w:t>cultivate</w:t>
                  </w:r>
                  <w:r w:rsidRPr="002C48F0">
                    <w:rPr>
                      <w:i/>
                      <w:iCs/>
                      <w:color w:val="000000" w:themeColor="text1"/>
                      <w:sz w:val="22"/>
                      <w:szCs w:val="22"/>
                    </w:rPr>
                    <w:t xml:space="preserve"> a community of practice with shared responsibility for the achievement of all students.</w:t>
                  </w:r>
                </w:p>
                <w:p w:rsidR="0090743D" w:rsidRPr="002C48F0" w:rsidRDefault="0090743D" w:rsidP="002C48F0">
                  <w:pPr>
                    <w:rPr>
                      <w:i/>
                      <w:iCs/>
                      <w:color w:val="000000" w:themeColor="text1"/>
                      <w:sz w:val="22"/>
                      <w:szCs w:val="22"/>
                    </w:rPr>
                  </w:pPr>
                </w:p>
                <w:p w:rsidR="0090743D" w:rsidRPr="002C48F0" w:rsidRDefault="0090743D" w:rsidP="002C48F0">
                  <w:pPr>
                    <w:rPr>
                      <w:i/>
                      <w:iCs/>
                      <w:color w:val="000000" w:themeColor="text1"/>
                      <w:sz w:val="22"/>
                      <w:szCs w:val="22"/>
                    </w:rPr>
                  </w:pPr>
                  <w:r w:rsidRPr="00425467">
                    <w:rPr>
                      <w:b/>
                      <w:i/>
                      <w:iCs/>
                      <w:color w:val="000000" w:themeColor="text1"/>
                      <w:sz w:val="22"/>
                      <w:szCs w:val="22"/>
                    </w:rPr>
                    <w:t xml:space="preserve">Organize district </w:t>
                  </w:r>
                  <w:r>
                    <w:rPr>
                      <w:b/>
                      <w:i/>
                      <w:iCs/>
                      <w:color w:val="000000" w:themeColor="text1"/>
                      <w:sz w:val="22"/>
                      <w:szCs w:val="22"/>
                    </w:rPr>
                    <w:t>staff</w:t>
                  </w:r>
                  <w:r w:rsidRPr="00425467">
                    <w:rPr>
                      <w:b/>
                      <w:i/>
                      <w:iCs/>
                      <w:color w:val="000000" w:themeColor="text1"/>
                      <w:sz w:val="22"/>
                      <w:szCs w:val="22"/>
                    </w:rPr>
                    <w:t xml:space="preserve"> and resources</w:t>
                  </w:r>
                  <w:r w:rsidRPr="002C48F0">
                    <w:rPr>
                      <w:i/>
                      <w:iCs/>
                      <w:color w:val="000000" w:themeColor="text1"/>
                      <w:sz w:val="22"/>
                      <w:szCs w:val="22"/>
                    </w:rPr>
                    <w:t xml:space="preserve"> to support turnaround schools</w:t>
                  </w:r>
                  <w:r>
                    <w:rPr>
                      <w:i/>
                      <w:iCs/>
                      <w:color w:val="000000" w:themeColor="text1"/>
                      <w:sz w:val="22"/>
                      <w:szCs w:val="22"/>
                    </w:rPr>
                    <w:t>.</w:t>
                  </w:r>
                </w:p>
                <w:p w:rsidR="0090743D" w:rsidRPr="002C48F0" w:rsidRDefault="0090743D" w:rsidP="002C48F0">
                  <w:pPr>
                    <w:rPr>
                      <w:i/>
                      <w:iCs/>
                      <w:color w:val="000000" w:themeColor="text1"/>
                      <w:sz w:val="22"/>
                      <w:szCs w:val="22"/>
                    </w:rPr>
                  </w:pPr>
                </w:p>
                <w:p w:rsidR="0090743D" w:rsidRPr="002C48F0" w:rsidRDefault="0090743D">
                  <w:pPr>
                    <w:rPr>
                      <w:color w:val="000000" w:themeColor="text1"/>
                      <w:sz w:val="22"/>
                      <w:szCs w:val="22"/>
                    </w:rPr>
                  </w:pPr>
                  <w:r w:rsidRPr="002C48F0">
                    <w:rPr>
                      <w:i/>
                      <w:iCs/>
                      <w:color w:val="000000" w:themeColor="text1"/>
                      <w:sz w:val="22"/>
                      <w:szCs w:val="22"/>
                    </w:rPr>
                    <w:t xml:space="preserve">Strategically allocate resources, including partners and external expertise, towards </w:t>
                  </w:r>
                  <w:r w:rsidRPr="00425467">
                    <w:rPr>
                      <w:b/>
                      <w:i/>
                      <w:iCs/>
                      <w:color w:val="000000" w:themeColor="text1"/>
                      <w:sz w:val="22"/>
                      <w:szCs w:val="22"/>
                    </w:rPr>
                    <w:t>direct instruction and support</w:t>
                  </w:r>
                  <w:r w:rsidRPr="002C48F0">
                    <w:rPr>
                      <w:i/>
                      <w:iCs/>
                      <w:color w:val="000000" w:themeColor="text1"/>
                      <w:sz w:val="22"/>
                      <w:szCs w:val="22"/>
                    </w:rPr>
                    <w:t xml:space="preserve"> for students.</w:t>
                  </w:r>
                </w:p>
              </w:txbxContent>
            </v:textbox>
            <w10:wrap type="square" anchorx="margin" anchory="margin"/>
          </v:shape>
        </w:pict>
      </w:r>
      <w:r w:rsidR="00A9787C">
        <w:rPr>
          <w:sz w:val="22"/>
          <w:szCs w:val="22"/>
        </w:rPr>
        <w:t>Looking closely at the experience of all of the Level 4 schools, we found</w:t>
      </w:r>
      <w:r w:rsidR="00F1284D" w:rsidRPr="00AC381B">
        <w:rPr>
          <w:sz w:val="22"/>
          <w:szCs w:val="22"/>
        </w:rPr>
        <w:t xml:space="preserve"> clear differences in how Achievement Gain schools are approaching and </w:t>
      </w:r>
      <w:r w:rsidR="00726C38">
        <w:rPr>
          <w:sz w:val="22"/>
          <w:szCs w:val="22"/>
        </w:rPr>
        <w:t xml:space="preserve">implementing turnaround efforts </w:t>
      </w:r>
      <w:r w:rsidR="00F1284D" w:rsidRPr="00AC381B">
        <w:rPr>
          <w:sz w:val="22"/>
          <w:szCs w:val="22"/>
        </w:rPr>
        <w:t xml:space="preserve">in </w:t>
      </w:r>
      <w:r w:rsidR="006D18DA">
        <w:rPr>
          <w:sz w:val="22"/>
          <w:szCs w:val="22"/>
        </w:rPr>
        <w:t xml:space="preserve">comparison to Non-Gain schools. In providing these findings, we remind readers that these are </w:t>
      </w:r>
      <w:r w:rsidR="00726C38">
        <w:rPr>
          <w:sz w:val="22"/>
          <w:szCs w:val="22"/>
        </w:rPr>
        <w:t xml:space="preserve">generally </w:t>
      </w:r>
      <w:r w:rsidR="006D18DA">
        <w:rPr>
          <w:sz w:val="22"/>
          <w:szCs w:val="22"/>
        </w:rPr>
        <w:t xml:space="preserve">descriptive </w:t>
      </w:r>
      <w:r w:rsidR="00DF40C0">
        <w:rPr>
          <w:sz w:val="22"/>
          <w:szCs w:val="22"/>
        </w:rPr>
        <w:t>trends</w:t>
      </w:r>
      <w:r w:rsidR="00726C38">
        <w:rPr>
          <w:sz w:val="22"/>
          <w:szCs w:val="22"/>
        </w:rPr>
        <w:t xml:space="preserve"> and that there are some </w:t>
      </w:r>
      <w:r w:rsidR="006D18DA">
        <w:rPr>
          <w:sz w:val="22"/>
          <w:szCs w:val="22"/>
        </w:rPr>
        <w:t>schools that have taken different path</w:t>
      </w:r>
      <w:r w:rsidR="00425467">
        <w:rPr>
          <w:sz w:val="22"/>
          <w:szCs w:val="22"/>
        </w:rPr>
        <w:t>s</w:t>
      </w:r>
      <w:r w:rsidR="006D18DA">
        <w:rPr>
          <w:sz w:val="22"/>
          <w:szCs w:val="22"/>
        </w:rPr>
        <w:t xml:space="preserve"> to success. </w:t>
      </w:r>
      <w:r w:rsidR="00F1284D" w:rsidRPr="00AC381B">
        <w:rPr>
          <w:sz w:val="22"/>
          <w:szCs w:val="22"/>
        </w:rPr>
        <w:t>The “recipe” for each school is different, but the ingredients</w:t>
      </w:r>
      <w:r w:rsidR="00A9787C">
        <w:rPr>
          <w:sz w:val="22"/>
          <w:szCs w:val="22"/>
        </w:rPr>
        <w:t xml:space="preserve"> and supports, summarized here and presented in detail in the full report, are consistent and merit consideration as to how these </w:t>
      </w:r>
      <w:r w:rsidR="00726C38">
        <w:rPr>
          <w:sz w:val="22"/>
          <w:szCs w:val="22"/>
        </w:rPr>
        <w:t>efforts</w:t>
      </w:r>
      <w:r w:rsidR="00A9787C">
        <w:rPr>
          <w:sz w:val="22"/>
          <w:szCs w:val="22"/>
        </w:rPr>
        <w:t xml:space="preserve"> can be leveraged and further supported across all schools needing to accelerate </w:t>
      </w:r>
      <w:r w:rsidR="003F11BB">
        <w:rPr>
          <w:sz w:val="22"/>
          <w:szCs w:val="22"/>
        </w:rPr>
        <w:t>student</w:t>
      </w:r>
      <w:r w:rsidR="00A9787C">
        <w:rPr>
          <w:sz w:val="22"/>
          <w:szCs w:val="22"/>
        </w:rPr>
        <w:t xml:space="preserve"> academic achievement. </w:t>
      </w:r>
    </w:p>
    <w:p w:rsidR="00F1284D" w:rsidRPr="00AC381B" w:rsidRDefault="00F1284D" w:rsidP="002014BD">
      <w:pPr>
        <w:spacing w:line="288" w:lineRule="auto"/>
        <w:rPr>
          <w:sz w:val="22"/>
          <w:szCs w:val="22"/>
        </w:rPr>
      </w:pPr>
    </w:p>
    <w:p w:rsidR="00FC37EA" w:rsidRDefault="00F1284D" w:rsidP="002014BD">
      <w:pPr>
        <w:spacing w:line="288" w:lineRule="auto"/>
        <w:rPr>
          <w:sz w:val="22"/>
          <w:szCs w:val="22"/>
        </w:rPr>
      </w:pPr>
      <w:proofErr w:type="gramStart"/>
      <w:r w:rsidRPr="00AC381B">
        <w:rPr>
          <w:b/>
          <w:sz w:val="22"/>
          <w:szCs w:val="22"/>
        </w:rPr>
        <w:t xml:space="preserve">Staffing and </w:t>
      </w:r>
      <w:r w:rsidR="00806051">
        <w:rPr>
          <w:b/>
          <w:sz w:val="22"/>
          <w:szCs w:val="22"/>
        </w:rPr>
        <w:t>Teacher Turnover</w:t>
      </w:r>
      <w:r w:rsidR="00425467">
        <w:rPr>
          <w:sz w:val="22"/>
          <w:szCs w:val="22"/>
        </w:rPr>
        <w:t>.</w:t>
      </w:r>
      <w:proofErr w:type="gramEnd"/>
      <w:r w:rsidRPr="00F1284D">
        <w:rPr>
          <w:sz w:val="22"/>
          <w:szCs w:val="22"/>
        </w:rPr>
        <w:t xml:space="preserve"> </w:t>
      </w:r>
      <w:r w:rsidR="006D18DA">
        <w:rPr>
          <w:sz w:val="22"/>
          <w:szCs w:val="22"/>
        </w:rPr>
        <w:t>Achievement Gain schools</w:t>
      </w:r>
      <w:r w:rsidRPr="00DB5185">
        <w:rPr>
          <w:sz w:val="22"/>
          <w:szCs w:val="22"/>
        </w:rPr>
        <w:t xml:space="preserve"> are more likely to have actively used</w:t>
      </w:r>
      <w:r w:rsidR="006D18DA">
        <w:rPr>
          <w:sz w:val="22"/>
          <w:szCs w:val="22"/>
        </w:rPr>
        <w:t xml:space="preserve"> staffing flexibility</w:t>
      </w:r>
      <w:r w:rsidR="00A56439">
        <w:rPr>
          <w:sz w:val="22"/>
          <w:szCs w:val="22"/>
        </w:rPr>
        <w:t xml:space="preserve"> prior to (or during) the first year of turnaround, to ensure that the school would have </w:t>
      </w:r>
      <w:r w:rsidRPr="00DB5185">
        <w:rPr>
          <w:sz w:val="22"/>
          <w:szCs w:val="22"/>
        </w:rPr>
        <w:t xml:space="preserve">teachers in place </w:t>
      </w:r>
      <w:r w:rsidR="00DB5185" w:rsidRPr="00DB5185">
        <w:rPr>
          <w:sz w:val="22"/>
          <w:szCs w:val="22"/>
        </w:rPr>
        <w:t>with</w:t>
      </w:r>
      <w:r w:rsidRPr="00DB5185">
        <w:rPr>
          <w:sz w:val="22"/>
          <w:szCs w:val="22"/>
        </w:rPr>
        <w:t xml:space="preserve"> the capacity, willingness, and skill to move forward.</w:t>
      </w:r>
      <w:r w:rsidR="00DB5185" w:rsidRPr="00DB5185">
        <w:rPr>
          <w:sz w:val="22"/>
          <w:szCs w:val="22"/>
        </w:rPr>
        <w:t xml:space="preserve"> </w:t>
      </w:r>
      <w:r w:rsidR="00A56439">
        <w:rPr>
          <w:sz w:val="22"/>
          <w:szCs w:val="22"/>
        </w:rPr>
        <w:t xml:space="preserve">Of those schools that replaced </w:t>
      </w:r>
      <w:r w:rsidR="00A56439" w:rsidRPr="00532337">
        <w:rPr>
          <w:i/>
          <w:sz w:val="22"/>
          <w:szCs w:val="22"/>
        </w:rPr>
        <w:t>over 50% of it</w:t>
      </w:r>
      <w:r w:rsidR="00532337" w:rsidRPr="00532337">
        <w:rPr>
          <w:i/>
          <w:sz w:val="22"/>
          <w:szCs w:val="22"/>
        </w:rPr>
        <w:t>s teachers</w:t>
      </w:r>
      <w:r w:rsidR="00532337">
        <w:rPr>
          <w:sz w:val="22"/>
          <w:szCs w:val="22"/>
        </w:rPr>
        <w:t xml:space="preserve"> in the first year, 89</w:t>
      </w:r>
      <w:r w:rsidR="00A56439">
        <w:rPr>
          <w:sz w:val="22"/>
          <w:szCs w:val="22"/>
        </w:rPr>
        <w:t xml:space="preserve">% (8 of 9 schools) are Achievement Gain schools. </w:t>
      </w:r>
      <w:r w:rsidR="00532337">
        <w:rPr>
          <w:sz w:val="22"/>
          <w:szCs w:val="22"/>
        </w:rPr>
        <w:t>In contrast, a</w:t>
      </w:r>
      <w:r w:rsidR="00A56439">
        <w:rPr>
          <w:sz w:val="22"/>
          <w:szCs w:val="22"/>
        </w:rPr>
        <w:t xml:space="preserve">ll nine of the Non-Gain schools </w:t>
      </w:r>
      <w:r w:rsidR="00A56439" w:rsidRPr="00532337">
        <w:rPr>
          <w:i/>
          <w:sz w:val="22"/>
          <w:szCs w:val="22"/>
        </w:rPr>
        <w:t>had teacher turnover rates of 35% or less</w:t>
      </w:r>
      <w:r w:rsidR="00A56439">
        <w:rPr>
          <w:sz w:val="22"/>
          <w:szCs w:val="22"/>
        </w:rPr>
        <w:t xml:space="preserve"> in their first year (2010-11).</w:t>
      </w:r>
    </w:p>
    <w:p w:rsidR="00FC37EA" w:rsidRDefault="00FC37EA" w:rsidP="002014BD">
      <w:pPr>
        <w:spacing w:line="288" w:lineRule="auto"/>
        <w:rPr>
          <w:sz w:val="22"/>
          <w:szCs w:val="22"/>
        </w:rPr>
      </w:pPr>
    </w:p>
    <w:p w:rsidR="00406139" w:rsidRDefault="00425467" w:rsidP="005F7898">
      <w:pPr>
        <w:spacing w:line="288" w:lineRule="auto"/>
        <w:rPr>
          <w:sz w:val="22"/>
          <w:szCs w:val="22"/>
        </w:rPr>
      </w:pPr>
      <w:r>
        <w:rPr>
          <w:noProof/>
          <w:sz w:val="22"/>
          <w:szCs w:val="22"/>
          <w:lang w:eastAsia="zh-CN"/>
        </w:rPr>
        <w:lastRenderedPageBreak/>
        <w:drawing>
          <wp:anchor distT="0" distB="0" distL="114300" distR="114300" simplePos="0" relativeHeight="251722752" behindDoc="0" locked="0" layoutInCell="1" allowOverlap="1">
            <wp:simplePos x="0" y="0"/>
            <wp:positionH relativeFrom="margin">
              <wp:posOffset>3252470</wp:posOffset>
            </wp:positionH>
            <wp:positionV relativeFrom="margin">
              <wp:posOffset>448945</wp:posOffset>
            </wp:positionV>
            <wp:extent cx="2994660" cy="2202180"/>
            <wp:effectExtent l="57150" t="76200" r="72390" b="121920"/>
            <wp:wrapSquare wrapText="bothSides"/>
            <wp:docPr id="2" name="Diagram 2" descr="Leadership and culture that enables Turnaround&#10;Improving instruction and interventions through teacher and student specific data&#10;Providing data driven and tiered instruction for all student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roofErr w:type="gramStart"/>
      <w:r w:rsidR="00FC37EA" w:rsidRPr="00AC381B">
        <w:rPr>
          <w:b/>
          <w:sz w:val="22"/>
          <w:szCs w:val="22"/>
        </w:rPr>
        <w:t>Emerging and Sustaining Practices</w:t>
      </w:r>
      <w:r>
        <w:rPr>
          <w:sz w:val="22"/>
          <w:szCs w:val="22"/>
        </w:rPr>
        <w:t>.</w:t>
      </w:r>
      <w:proofErr w:type="gramEnd"/>
      <w:r w:rsidR="00FC37EA">
        <w:rPr>
          <w:sz w:val="22"/>
          <w:szCs w:val="22"/>
        </w:rPr>
        <w:t xml:space="preserve"> Achievement Gain s</w:t>
      </w:r>
      <w:r w:rsidR="00FC37EA" w:rsidRPr="00FC37EA">
        <w:rPr>
          <w:sz w:val="22"/>
          <w:szCs w:val="22"/>
        </w:rPr>
        <w:t xml:space="preserve">chools are characterized by a </w:t>
      </w:r>
      <w:r w:rsidR="00FC37EA" w:rsidRPr="00FC37EA">
        <w:rPr>
          <w:i/>
          <w:sz w:val="22"/>
          <w:szCs w:val="22"/>
        </w:rPr>
        <w:t xml:space="preserve">sophisticated </w:t>
      </w:r>
      <w:r w:rsidR="00346920">
        <w:rPr>
          <w:i/>
          <w:sz w:val="22"/>
          <w:szCs w:val="22"/>
        </w:rPr>
        <w:t xml:space="preserve">and aligned </w:t>
      </w:r>
      <w:r w:rsidR="00FC37EA" w:rsidRPr="00FC37EA">
        <w:rPr>
          <w:i/>
          <w:sz w:val="22"/>
          <w:szCs w:val="22"/>
        </w:rPr>
        <w:t>use of key practices</w:t>
      </w:r>
      <w:r w:rsidR="00FC37EA" w:rsidRPr="00FC37EA">
        <w:rPr>
          <w:sz w:val="22"/>
          <w:szCs w:val="22"/>
        </w:rPr>
        <w:t xml:space="preserve"> while schools not on a positive achievement trajectory may be lacking </w:t>
      </w:r>
      <w:r w:rsidR="00FB52FC">
        <w:rPr>
          <w:sz w:val="22"/>
          <w:szCs w:val="22"/>
        </w:rPr>
        <w:t>essential</w:t>
      </w:r>
      <w:r w:rsidR="00FC37EA" w:rsidRPr="00FC37EA">
        <w:rPr>
          <w:sz w:val="22"/>
          <w:szCs w:val="22"/>
        </w:rPr>
        <w:t xml:space="preserve"> practices or exhibit a general or uncoordinated use of existing structures and systems.</w:t>
      </w:r>
    </w:p>
    <w:p w:rsidR="00425467" w:rsidRDefault="0011041D" w:rsidP="00425467">
      <w:pPr>
        <w:spacing w:before="160" w:line="288" w:lineRule="auto"/>
        <w:ind w:right="432"/>
        <w:rPr>
          <w:sz w:val="22"/>
          <w:szCs w:val="22"/>
        </w:rPr>
      </w:pPr>
      <w:r w:rsidRPr="0011041D">
        <w:rPr>
          <w:noProof/>
        </w:rPr>
        <w:pict>
          <v:shape id="Text Box 5" o:spid="_x0000_s1027" type="#_x0000_t202" style="position:absolute;margin-left:253.2pt;margin-top:144.45pt;width:235.8pt;height:11.95pt;z-index:2517248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" stroked="f">
            <v:path arrowok="t"/>
            <v:textbox inset="0,0,0,0">
              <w:txbxContent>
                <w:p w:rsidR="0090743D" w:rsidRPr="00144547" w:rsidRDefault="0090743D" w:rsidP="00406139">
                  <w:pPr>
                    <w:pStyle w:val="Caption"/>
                    <w:jc w:val="center"/>
                    <w:rPr>
                      <w:noProof/>
                    </w:rPr>
                  </w:pPr>
                  <w:proofErr w:type="gramStart"/>
                  <w:r>
                    <w:t xml:space="preserve">Figure </w:t>
                  </w:r>
                  <w:r w:rsidR="0011041D">
                    <w:fldChar w:fldCharType="begin"/>
                  </w:r>
                  <w:r w:rsidR="006E0F04">
                    <w:instrText xml:space="preserve"> SEQ Figure \* ARABIC </w:instrText>
                  </w:r>
                  <w:r w:rsidR="0011041D">
                    <w:fldChar w:fldCharType="separate"/>
                  </w:r>
                  <w:r w:rsidR="00343C33">
                    <w:rPr>
                      <w:noProof/>
                    </w:rPr>
                    <w:t>1</w:t>
                  </w:r>
                  <w:r w:rsidR="0011041D">
                    <w:rPr>
                      <w:noProof/>
                    </w:rPr>
                    <w:fldChar w:fldCharType="end"/>
                  </w:r>
                  <w:r>
                    <w:t>.</w:t>
                  </w:r>
                  <w:proofErr w:type="gramEnd"/>
                  <w:r>
                    <w:t xml:space="preserve"> Emerging and Sustaining Practices</w:t>
                  </w:r>
                </w:p>
              </w:txbxContent>
            </v:textbox>
            <w10:wrap type="square"/>
          </v:shape>
        </w:pict>
      </w:r>
      <w:r w:rsidR="00406139">
        <w:rPr>
          <w:sz w:val="22"/>
          <w:szCs w:val="22"/>
        </w:rPr>
        <w:t xml:space="preserve">The intentionality and intensity of these </w:t>
      </w:r>
      <w:r w:rsidR="00FB52FC">
        <w:rPr>
          <w:sz w:val="22"/>
          <w:szCs w:val="22"/>
        </w:rPr>
        <w:t xml:space="preserve">key </w:t>
      </w:r>
      <w:r w:rsidR="00406139">
        <w:rPr>
          <w:sz w:val="22"/>
          <w:szCs w:val="22"/>
        </w:rPr>
        <w:t xml:space="preserve">practices is what distinguishes the work in Achievement Gain schools. After establishing a safe and positive climate for learning, Achievement Gain schools </w:t>
      </w:r>
      <w:r w:rsidR="002014BD" w:rsidRPr="00372AFA">
        <w:rPr>
          <w:sz w:val="22"/>
          <w:szCs w:val="22"/>
        </w:rPr>
        <w:t>galvanize</w:t>
      </w:r>
      <w:r w:rsidR="00425467">
        <w:rPr>
          <w:sz w:val="22"/>
          <w:szCs w:val="22"/>
        </w:rPr>
        <w:t>d</w:t>
      </w:r>
      <w:r w:rsidR="002014BD" w:rsidRPr="00372AFA">
        <w:rPr>
          <w:sz w:val="22"/>
          <w:szCs w:val="22"/>
        </w:rPr>
        <w:t xml:space="preserve"> a collective focus on student achievement </w:t>
      </w:r>
      <w:r w:rsidR="002014BD">
        <w:rPr>
          <w:sz w:val="22"/>
          <w:szCs w:val="22"/>
        </w:rPr>
        <w:t>and employ</w:t>
      </w:r>
      <w:r w:rsidR="00425467">
        <w:rPr>
          <w:sz w:val="22"/>
          <w:szCs w:val="22"/>
        </w:rPr>
        <w:t>ed</w:t>
      </w:r>
      <w:r w:rsidR="002014BD">
        <w:rPr>
          <w:sz w:val="22"/>
          <w:szCs w:val="22"/>
        </w:rPr>
        <w:t xml:space="preserve"> </w:t>
      </w:r>
      <w:r w:rsidR="002014BD" w:rsidRPr="00372AFA">
        <w:rPr>
          <w:sz w:val="22"/>
          <w:szCs w:val="22"/>
        </w:rPr>
        <w:t>deliberate syste</w:t>
      </w:r>
      <w:r w:rsidR="002014BD">
        <w:rPr>
          <w:sz w:val="22"/>
          <w:szCs w:val="22"/>
        </w:rPr>
        <w:t xml:space="preserve">ms to improve instruction (e.g., intensive coaching for teachers, </w:t>
      </w:r>
      <w:r w:rsidR="00726C38">
        <w:rPr>
          <w:sz w:val="22"/>
          <w:szCs w:val="22"/>
        </w:rPr>
        <w:t xml:space="preserve">useful </w:t>
      </w:r>
      <w:r w:rsidR="002014BD">
        <w:rPr>
          <w:sz w:val="22"/>
          <w:szCs w:val="22"/>
        </w:rPr>
        <w:t xml:space="preserve">principal and peer classroom observations), </w:t>
      </w:r>
      <w:r w:rsidR="00726C38">
        <w:rPr>
          <w:sz w:val="22"/>
          <w:szCs w:val="22"/>
        </w:rPr>
        <w:t>and</w:t>
      </w:r>
      <w:r w:rsidR="002014BD">
        <w:rPr>
          <w:sz w:val="22"/>
          <w:szCs w:val="22"/>
        </w:rPr>
        <w:t xml:space="preserve"> a </w:t>
      </w:r>
      <w:r w:rsidR="002014BD" w:rsidRPr="00372AFA">
        <w:rPr>
          <w:sz w:val="22"/>
          <w:szCs w:val="22"/>
        </w:rPr>
        <w:t>substantive tiered approach to instruction (for students and for teachers)</w:t>
      </w:r>
      <w:r w:rsidR="002014BD">
        <w:rPr>
          <w:sz w:val="22"/>
          <w:szCs w:val="22"/>
        </w:rPr>
        <w:t>.</w:t>
      </w:r>
    </w:p>
    <w:p w:rsidR="00C70562" w:rsidRDefault="00425467" w:rsidP="00425467">
      <w:pPr>
        <w:spacing w:before="160" w:line="288" w:lineRule="auto"/>
        <w:ind w:right="432"/>
        <w:rPr>
          <w:sz w:val="22"/>
          <w:szCs w:val="22"/>
        </w:rPr>
      </w:pPr>
      <w:proofErr w:type="gramStart"/>
      <w:r w:rsidRPr="00AC381B">
        <w:rPr>
          <w:b/>
          <w:sz w:val="22"/>
          <w:szCs w:val="22"/>
        </w:rPr>
        <w:t xml:space="preserve">District </w:t>
      </w:r>
      <w:r w:rsidR="00806051">
        <w:rPr>
          <w:b/>
          <w:sz w:val="22"/>
          <w:szCs w:val="22"/>
        </w:rPr>
        <w:t>Actions Supporting School Turnaround</w:t>
      </w:r>
      <w:r w:rsidR="00806051">
        <w:rPr>
          <w:sz w:val="22"/>
          <w:szCs w:val="22"/>
        </w:rPr>
        <w:t>.</w:t>
      </w:r>
      <w:proofErr w:type="gramEnd"/>
      <w:r>
        <w:rPr>
          <w:sz w:val="22"/>
          <w:szCs w:val="22"/>
        </w:rPr>
        <w:t xml:space="preserve"> </w:t>
      </w:r>
      <w:r w:rsidR="003F11BB">
        <w:rPr>
          <w:sz w:val="22"/>
          <w:szCs w:val="22"/>
        </w:rPr>
        <w:t>The actions and policy shifts enacted by districts have played a crucial role in supporting school-level turnaround efforts. Overall, d</w:t>
      </w:r>
      <w:r>
        <w:rPr>
          <w:sz w:val="22"/>
          <w:szCs w:val="22"/>
        </w:rPr>
        <w:t xml:space="preserve">istricts </w:t>
      </w:r>
      <w:r w:rsidR="003F11BB">
        <w:rPr>
          <w:sz w:val="22"/>
          <w:szCs w:val="22"/>
        </w:rPr>
        <w:t>have used changes in state law and funding opportunities (e.g., Race to</w:t>
      </w:r>
      <w:r w:rsidR="0077157A">
        <w:rPr>
          <w:sz w:val="22"/>
          <w:szCs w:val="22"/>
        </w:rPr>
        <w:t xml:space="preserve"> the T</w:t>
      </w:r>
      <w:r w:rsidR="003F11BB">
        <w:rPr>
          <w:sz w:val="22"/>
          <w:szCs w:val="22"/>
        </w:rPr>
        <w:t xml:space="preserve">op </w:t>
      </w:r>
      <w:r>
        <w:rPr>
          <w:sz w:val="22"/>
          <w:szCs w:val="22"/>
        </w:rPr>
        <w:t>and SRG</w:t>
      </w:r>
      <w:r w:rsidR="003F11BB">
        <w:rPr>
          <w:sz w:val="22"/>
          <w:szCs w:val="22"/>
        </w:rPr>
        <w:t>)</w:t>
      </w:r>
      <w:r>
        <w:rPr>
          <w:sz w:val="22"/>
          <w:szCs w:val="22"/>
        </w:rPr>
        <w:t xml:space="preserve"> </w:t>
      </w:r>
      <w:r w:rsidR="003F11BB">
        <w:rPr>
          <w:sz w:val="22"/>
          <w:szCs w:val="22"/>
        </w:rPr>
        <w:t>as</w:t>
      </w:r>
      <w:r>
        <w:rPr>
          <w:sz w:val="22"/>
          <w:szCs w:val="22"/>
        </w:rPr>
        <w:t xml:space="preserve"> an opportunity to </w:t>
      </w:r>
      <w:r w:rsidR="00806051">
        <w:rPr>
          <w:sz w:val="22"/>
          <w:szCs w:val="22"/>
        </w:rPr>
        <w:t>build district capacity and change policies that directly impact school-based turnaround effort</w:t>
      </w:r>
      <w:r w:rsidR="00532337">
        <w:rPr>
          <w:sz w:val="22"/>
          <w:szCs w:val="22"/>
        </w:rPr>
        <w:t>s</w:t>
      </w:r>
      <w:r w:rsidR="00806051">
        <w:rPr>
          <w:sz w:val="22"/>
          <w:szCs w:val="22"/>
        </w:rPr>
        <w:t xml:space="preserve">. </w:t>
      </w:r>
      <w:r w:rsidR="003F11BB">
        <w:rPr>
          <w:sz w:val="22"/>
          <w:szCs w:val="22"/>
        </w:rPr>
        <w:t>These shifts</w:t>
      </w:r>
      <w:r w:rsidR="00806051">
        <w:rPr>
          <w:sz w:val="22"/>
          <w:szCs w:val="22"/>
        </w:rPr>
        <w:t xml:space="preserve"> </w:t>
      </w:r>
      <w:r w:rsidR="00532337">
        <w:rPr>
          <w:sz w:val="22"/>
          <w:szCs w:val="22"/>
        </w:rPr>
        <w:t xml:space="preserve">in </w:t>
      </w:r>
      <w:r w:rsidR="00806051">
        <w:rPr>
          <w:sz w:val="22"/>
          <w:szCs w:val="22"/>
        </w:rPr>
        <w:t>actions</w:t>
      </w:r>
      <w:r w:rsidR="009F64F0">
        <w:rPr>
          <w:sz w:val="22"/>
          <w:szCs w:val="22"/>
        </w:rPr>
        <w:t xml:space="preserve"> and policies</w:t>
      </w:r>
      <w:r w:rsidR="00806051">
        <w:rPr>
          <w:sz w:val="22"/>
          <w:szCs w:val="22"/>
        </w:rPr>
        <w:t xml:space="preserve"> should not be minimized, as previous efforts to improve low performing schools (in Massachusetts and across the nation) have often </w:t>
      </w:r>
      <w:r w:rsidR="009F64F0">
        <w:rPr>
          <w:sz w:val="22"/>
          <w:szCs w:val="22"/>
        </w:rPr>
        <w:t>ignored</w:t>
      </w:r>
      <w:r w:rsidR="00806051">
        <w:rPr>
          <w:sz w:val="22"/>
          <w:szCs w:val="22"/>
        </w:rPr>
        <w:t xml:space="preserve"> the importance of district actions as a catalyst and as </w:t>
      </w:r>
      <w:r w:rsidR="00FB52FC">
        <w:rPr>
          <w:sz w:val="22"/>
          <w:szCs w:val="22"/>
        </w:rPr>
        <w:t xml:space="preserve">a </w:t>
      </w:r>
      <w:r w:rsidR="00806051">
        <w:rPr>
          <w:sz w:val="22"/>
          <w:szCs w:val="22"/>
        </w:rPr>
        <w:t>means of sustaining turnaround efforts.</w:t>
      </w:r>
      <w:r w:rsidR="003F11BB">
        <w:rPr>
          <w:sz w:val="22"/>
          <w:szCs w:val="22"/>
        </w:rPr>
        <w:t xml:space="preserve"> </w:t>
      </w:r>
      <w:r w:rsidR="00C70562">
        <w:rPr>
          <w:sz w:val="22"/>
          <w:szCs w:val="22"/>
        </w:rPr>
        <w:t>D</w:t>
      </w:r>
      <w:r w:rsidR="00806051">
        <w:rPr>
          <w:sz w:val="22"/>
          <w:szCs w:val="22"/>
        </w:rPr>
        <w:t xml:space="preserve">istrict actions </w:t>
      </w:r>
      <w:r w:rsidR="00C70562">
        <w:rPr>
          <w:sz w:val="22"/>
          <w:szCs w:val="22"/>
        </w:rPr>
        <w:t>that appear to</w:t>
      </w:r>
      <w:r w:rsidR="00806051">
        <w:rPr>
          <w:sz w:val="22"/>
          <w:szCs w:val="22"/>
        </w:rPr>
        <w:t xml:space="preserve"> s</w:t>
      </w:r>
      <w:r w:rsidR="00C70562">
        <w:rPr>
          <w:sz w:val="22"/>
          <w:szCs w:val="22"/>
        </w:rPr>
        <w:t>upport school turnaround include f</w:t>
      </w:r>
      <w:r w:rsidR="00806051">
        <w:rPr>
          <w:sz w:val="22"/>
          <w:szCs w:val="22"/>
        </w:rPr>
        <w:t xml:space="preserve">ocusing district resources </w:t>
      </w:r>
      <w:r w:rsidR="003F11BB">
        <w:rPr>
          <w:sz w:val="22"/>
          <w:szCs w:val="22"/>
        </w:rPr>
        <w:t>and</w:t>
      </w:r>
      <w:r w:rsidR="00806051">
        <w:rPr>
          <w:sz w:val="22"/>
          <w:szCs w:val="22"/>
        </w:rPr>
        <w:t xml:space="preserve"> organizing staff to support</w:t>
      </w:r>
      <w:r w:rsidR="00726C38">
        <w:rPr>
          <w:sz w:val="22"/>
          <w:szCs w:val="22"/>
        </w:rPr>
        <w:t xml:space="preserve"> specific</w:t>
      </w:r>
      <w:r w:rsidR="00806051">
        <w:rPr>
          <w:sz w:val="22"/>
          <w:szCs w:val="22"/>
        </w:rPr>
        <w:t xml:space="preserve"> turnaround efforts, </w:t>
      </w:r>
      <w:r w:rsidR="00C70562">
        <w:rPr>
          <w:sz w:val="22"/>
          <w:szCs w:val="22"/>
        </w:rPr>
        <w:t>p</w:t>
      </w:r>
      <w:r w:rsidR="00806051">
        <w:rPr>
          <w:sz w:val="22"/>
          <w:szCs w:val="22"/>
        </w:rPr>
        <w:t>roviding flexibility to turnaround schools</w:t>
      </w:r>
      <w:r w:rsidR="00C70562">
        <w:rPr>
          <w:sz w:val="22"/>
          <w:szCs w:val="22"/>
        </w:rPr>
        <w:t xml:space="preserve"> aroun</w:t>
      </w:r>
      <w:r w:rsidR="003F11BB">
        <w:rPr>
          <w:sz w:val="22"/>
          <w:szCs w:val="22"/>
        </w:rPr>
        <w:t xml:space="preserve">d staffing and </w:t>
      </w:r>
      <w:r w:rsidR="00C70562">
        <w:rPr>
          <w:sz w:val="22"/>
          <w:szCs w:val="22"/>
        </w:rPr>
        <w:t xml:space="preserve">resources, and investing in and supporting the use of a coherent curriculum and meaningful, timely, and </w:t>
      </w:r>
      <w:r w:rsidR="00726C38">
        <w:rPr>
          <w:sz w:val="22"/>
          <w:szCs w:val="22"/>
        </w:rPr>
        <w:t>useful</w:t>
      </w:r>
      <w:r w:rsidR="00C70562">
        <w:rPr>
          <w:sz w:val="22"/>
          <w:szCs w:val="22"/>
        </w:rPr>
        <w:t xml:space="preserve"> assessments. There is also evidence of districts </w:t>
      </w:r>
      <w:r w:rsidR="0077157A">
        <w:rPr>
          <w:sz w:val="22"/>
          <w:szCs w:val="22"/>
        </w:rPr>
        <w:t xml:space="preserve">learning from their experience and applying effective strategies in </w:t>
      </w:r>
      <w:r w:rsidR="00C70562">
        <w:rPr>
          <w:sz w:val="22"/>
          <w:szCs w:val="22"/>
        </w:rPr>
        <w:t xml:space="preserve">other schools </w:t>
      </w:r>
      <w:r w:rsidR="003F11BB">
        <w:rPr>
          <w:sz w:val="22"/>
          <w:szCs w:val="22"/>
        </w:rPr>
        <w:t>in the district</w:t>
      </w:r>
      <w:r w:rsidR="00C70562">
        <w:rPr>
          <w:sz w:val="22"/>
          <w:szCs w:val="22"/>
        </w:rPr>
        <w:t xml:space="preserve">.  </w:t>
      </w:r>
    </w:p>
    <w:p w:rsidR="007C0088" w:rsidRDefault="00FB52FC" w:rsidP="00425467">
      <w:pPr>
        <w:spacing w:before="160" w:line="288" w:lineRule="auto"/>
        <w:ind w:right="432"/>
        <w:rPr>
          <w:sz w:val="22"/>
          <w:szCs w:val="22"/>
        </w:rPr>
      </w:pPr>
      <w:proofErr w:type="gramStart"/>
      <w:r>
        <w:rPr>
          <w:b/>
          <w:sz w:val="22"/>
          <w:szCs w:val="22"/>
        </w:rPr>
        <w:t>Strategic Use of R</w:t>
      </w:r>
      <w:r w:rsidR="00F1284D" w:rsidRPr="00AC381B">
        <w:rPr>
          <w:b/>
          <w:sz w:val="22"/>
          <w:szCs w:val="22"/>
        </w:rPr>
        <w:t>esources</w:t>
      </w:r>
      <w:r w:rsidR="00E12B07">
        <w:rPr>
          <w:sz w:val="22"/>
          <w:szCs w:val="22"/>
        </w:rPr>
        <w:t>.</w:t>
      </w:r>
      <w:proofErr w:type="gramEnd"/>
      <w:r w:rsidR="00F1284D" w:rsidRPr="00DB5185">
        <w:rPr>
          <w:sz w:val="22"/>
          <w:szCs w:val="22"/>
        </w:rPr>
        <w:t xml:space="preserve"> </w:t>
      </w:r>
      <w:r w:rsidR="009F64F0">
        <w:rPr>
          <w:sz w:val="22"/>
          <w:szCs w:val="22"/>
        </w:rPr>
        <w:t>In 2010-11 and 2011-12,</w:t>
      </w:r>
      <w:r w:rsidR="00DB5185">
        <w:rPr>
          <w:sz w:val="22"/>
          <w:szCs w:val="22"/>
        </w:rPr>
        <w:t xml:space="preserve"> 30 schools</w:t>
      </w:r>
      <w:r w:rsidR="009F64F0">
        <w:rPr>
          <w:sz w:val="22"/>
          <w:szCs w:val="22"/>
        </w:rPr>
        <w:t xml:space="preserve"> (</w:t>
      </w:r>
      <w:r w:rsidR="003F11BB">
        <w:rPr>
          <w:sz w:val="22"/>
          <w:szCs w:val="22"/>
        </w:rPr>
        <w:t xml:space="preserve">SRG </w:t>
      </w:r>
      <w:r w:rsidR="009F64F0">
        <w:rPr>
          <w:sz w:val="22"/>
          <w:szCs w:val="22"/>
        </w:rPr>
        <w:t>Cohorts 1 and 2)</w:t>
      </w:r>
      <w:r w:rsidR="0077157A">
        <w:rPr>
          <w:sz w:val="22"/>
          <w:szCs w:val="22"/>
        </w:rPr>
        <w:t xml:space="preserve"> were awarded </w:t>
      </w:r>
      <w:r w:rsidR="009F64F0">
        <w:rPr>
          <w:sz w:val="22"/>
          <w:szCs w:val="22"/>
        </w:rPr>
        <w:t xml:space="preserve">a total of $27.36 million dollars (excluding fringe benefits). The average </w:t>
      </w:r>
      <w:r w:rsidR="009F64F0" w:rsidRPr="003F11BB">
        <w:rPr>
          <w:i/>
          <w:sz w:val="22"/>
          <w:szCs w:val="22"/>
        </w:rPr>
        <w:t>annual</w:t>
      </w:r>
      <w:r w:rsidR="009F64F0">
        <w:rPr>
          <w:sz w:val="22"/>
          <w:szCs w:val="22"/>
        </w:rPr>
        <w:t xml:space="preserve"> SRG funding </w:t>
      </w:r>
      <w:r w:rsidR="007C0088">
        <w:rPr>
          <w:sz w:val="22"/>
          <w:szCs w:val="22"/>
        </w:rPr>
        <w:t xml:space="preserve">was $577 thousand per year, which translates to approximately $1077 dollars per student.  Of the $27.36 million provided to schools, </w:t>
      </w:r>
      <w:r w:rsidR="001F157B">
        <w:rPr>
          <w:sz w:val="22"/>
          <w:szCs w:val="22"/>
        </w:rPr>
        <w:t xml:space="preserve">34.5% </w:t>
      </w:r>
      <w:r w:rsidR="00DB5185">
        <w:rPr>
          <w:sz w:val="22"/>
          <w:szCs w:val="22"/>
        </w:rPr>
        <w:t xml:space="preserve">($9.44 million) </w:t>
      </w:r>
      <w:r w:rsidR="007C0088">
        <w:rPr>
          <w:sz w:val="22"/>
          <w:szCs w:val="22"/>
        </w:rPr>
        <w:t xml:space="preserve">was used to compensate teachers and teacher assistants for extended learning time (e.g., extending the school day by approximately 300 hours over the school year). </w:t>
      </w:r>
      <w:r w:rsidR="003F11BB">
        <w:rPr>
          <w:sz w:val="22"/>
          <w:szCs w:val="22"/>
        </w:rPr>
        <w:t>Key findings from our analysis of SRG budgets are as follows:</w:t>
      </w:r>
    </w:p>
    <w:p w:rsidR="003F11BB" w:rsidRDefault="007C0088" w:rsidP="00425467">
      <w:pPr>
        <w:pStyle w:val="ListParagraph"/>
        <w:numPr>
          <w:ilvl w:val="0"/>
          <w:numId w:val="29"/>
        </w:numPr>
        <w:spacing w:before="160" w:line="288" w:lineRule="auto"/>
        <w:ind w:right="432"/>
        <w:rPr>
          <w:sz w:val="22"/>
          <w:szCs w:val="22"/>
        </w:rPr>
      </w:pPr>
      <w:r w:rsidRPr="007C0088">
        <w:rPr>
          <w:sz w:val="22"/>
          <w:szCs w:val="22"/>
        </w:rPr>
        <w:t xml:space="preserve">Districts and schools allocated SRG funds in different ways, focusing on addressing identified priorities and areas of need. The variation in how districts allocated funds suggests that there is no “best way” to allocate funds within the district; rather, </w:t>
      </w:r>
      <w:r>
        <w:rPr>
          <w:sz w:val="22"/>
          <w:szCs w:val="22"/>
        </w:rPr>
        <w:t>there a</w:t>
      </w:r>
      <w:r w:rsidR="00726C38">
        <w:rPr>
          <w:sz w:val="22"/>
          <w:szCs w:val="22"/>
        </w:rPr>
        <w:t>re</w:t>
      </w:r>
      <w:r>
        <w:rPr>
          <w:sz w:val="22"/>
          <w:szCs w:val="22"/>
        </w:rPr>
        <w:t xml:space="preserve"> multiple routes to providing the Conditions for School Effectiveness and supporting school turnaround. </w:t>
      </w:r>
    </w:p>
    <w:p w:rsidR="00726C38" w:rsidRDefault="00AC381B" w:rsidP="00726C38">
      <w:pPr>
        <w:pStyle w:val="ListParagraph"/>
        <w:numPr>
          <w:ilvl w:val="0"/>
          <w:numId w:val="29"/>
        </w:numPr>
        <w:spacing w:before="160" w:line="288" w:lineRule="auto"/>
        <w:ind w:right="432"/>
        <w:rPr>
          <w:sz w:val="22"/>
          <w:szCs w:val="22"/>
        </w:rPr>
      </w:pPr>
      <w:r w:rsidRPr="003F11BB">
        <w:rPr>
          <w:sz w:val="22"/>
          <w:szCs w:val="22"/>
        </w:rPr>
        <w:t>Achievement Gain schools tended to allocate higher percentages of funds towards the</w:t>
      </w:r>
      <w:r w:rsidR="003F11BB">
        <w:rPr>
          <w:sz w:val="22"/>
          <w:szCs w:val="22"/>
        </w:rPr>
        <w:t xml:space="preserve"> direct instruction of students and job-embedded, teacher-sp</w:t>
      </w:r>
      <w:r w:rsidR="00726C38">
        <w:rPr>
          <w:sz w:val="22"/>
          <w:szCs w:val="22"/>
        </w:rPr>
        <w:t>ecific professional development, e.g., classroom-based coaching.</w:t>
      </w:r>
    </w:p>
    <w:p w:rsidR="00ED2475" w:rsidRPr="00726C38" w:rsidRDefault="00AC381B" w:rsidP="00726C38">
      <w:pPr>
        <w:pStyle w:val="ListParagraph"/>
        <w:numPr>
          <w:ilvl w:val="0"/>
          <w:numId w:val="29"/>
        </w:numPr>
        <w:spacing w:before="160" w:line="288" w:lineRule="auto"/>
        <w:ind w:right="432"/>
        <w:rPr>
          <w:sz w:val="22"/>
          <w:szCs w:val="22"/>
        </w:rPr>
        <w:sectPr w:rsidR="00ED2475" w:rsidRPr="00726C38" w:rsidSect="00100BF5">
          <w:headerReference w:type="default" r:id="rId25"/>
          <w:footerReference w:type="default" r:id="rId26"/>
          <w:pgSz w:w="12240" w:h="15840"/>
          <w:pgMar w:top="1440" w:right="1152" w:bottom="1152" w:left="1152" w:header="720" w:footer="576" w:gutter="0"/>
          <w:pgNumType w:fmt="lowerRoman" w:start="1"/>
          <w:cols w:space="720"/>
        </w:sectPr>
      </w:pPr>
      <w:r w:rsidRPr="00726C38">
        <w:rPr>
          <w:sz w:val="22"/>
          <w:szCs w:val="22"/>
        </w:rPr>
        <w:t>In contrast, Non-Gain schools expended a higher percent</w:t>
      </w:r>
      <w:r w:rsidR="003F11BB" w:rsidRPr="00726C38">
        <w:rPr>
          <w:sz w:val="22"/>
          <w:szCs w:val="22"/>
        </w:rPr>
        <w:t>age</w:t>
      </w:r>
      <w:r w:rsidRPr="00726C38">
        <w:rPr>
          <w:sz w:val="22"/>
          <w:szCs w:val="22"/>
        </w:rPr>
        <w:t xml:space="preserve"> of funding to address </w:t>
      </w:r>
      <w:r w:rsidR="005F7898" w:rsidRPr="00726C38">
        <w:rPr>
          <w:sz w:val="22"/>
          <w:szCs w:val="22"/>
        </w:rPr>
        <w:t xml:space="preserve">social-emotional </w:t>
      </w:r>
      <w:r w:rsidR="00F52591" w:rsidRPr="00726C38">
        <w:rPr>
          <w:sz w:val="22"/>
          <w:szCs w:val="22"/>
        </w:rPr>
        <w:t xml:space="preserve">and behavioral </w:t>
      </w:r>
      <w:r w:rsidR="00726C38" w:rsidRPr="00726C38">
        <w:rPr>
          <w:sz w:val="22"/>
          <w:szCs w:val="22"/>
        </w:rPr>
        <w:t>issues.</w:t>
      </w:r>
    </w:p>
    <w:p w:rsidR="00F230FA" w:rsidRPr="0090743D" w:rsidRDefault="00E562C2" w:rsidP="0090743D">
      <w:pPr>
        <w:spacing w:line="288" w:lineRule="auto"/>
        <w:rPr>
          <w:color w:val="943634" w:themeColor="accent2" w:themeShade="BF"/>
          <w:sz w:val="28"/>
          <w:szCs w:val="28"/>
        </w:rPr>
        <w:sectPr w:rsidR="00F230FA" w:rsidRPr="0090743D" w:rsidSect="009F1462">
          <w:headerReference w:type="default" r:id="rId27"/>
          <w:footerReference w:type="default" r:id="rId28"/>
          <w:pgSz w:w="12240" w:h="15840"/>
          <w:pgMar w:top="1440" w:right="1152" w:bottom="1152" w:left="1152" w:header="720" w:footer="720" w:gutter="0"/>
          <w:pgNumType w:start="1"/>
          <w:cols w:space="720"/>
        </w:sectPr>
      </w:pPr>
      <w:r w:rsidRPr="001C1A5F">
        <w:rPr>
          <w:b/>
          <w:color w:val="943634" w:themeColor="accent2" w:themeShade="BF"/>
          <w:sz w:val="28"/>
          <w:szCs w:val="28"/>
        </w:rPr>
        <w:lastRenderedPageBreak/>
        <w:t>Introduction</w:t>
      </w:r>
    </w:p>
    <w:p w:rsidR="00E562C2" w:rsidRDefault="00E562C2" w:rsidP="00E562C2">
      <w:pPr>
        <w:spacing w:before="120" w:line="288" w:lineRule="auto"/>
        <w:rPr>
          <w:sz w:val="22"/>
          <w:szCs w:val="22"/>
        </w:rPr>
      </w:pPr>
      <w:r>
        <w:rPr>
          <w:noProof/>
          <w:sz w:val="22"/>
          <w:szCs w:val="22"/>
        </w:rPr>
        <w:lastRenderedPageBreak/>
        <w:t>The spring</w:t>
      </w:r>
      <w:r>
        <w:rPr>
          <w:sz w:val="22"/>
          <w:szCs w:val="22"/>
        </w:rPr>
        <w:t xml:space="preserve"> 2012 report, </w:t>
      </w:r>
      <w:r w:rsidRPr="00590EA2">
        <w:rPr>
          <w:i/>
          <w:sz w:val="22"/>
          <w:szCs w:val="22"/>
        </w:rPr>
        <w:t>Emerging Pract</w:t>
      </w:r>
      <w:r w:rsidR="00726C38">
        <w:rPr>
          <w:i/>
          <w:sz w:val="22"/>
          <w:szCs w:val="22"/>
        </w:rPr>
        <w:t>ices in Rapid Achievement Gain S</w:t>
      </w:r>
      <w:r w:rsidRPr="00590EA2">
        <w:rPr>
          <w:i/>
          <w:sz w:val="22"/>
          <w:szCs w:val="22"/>
        </w:rPr>
        <w:t>chools</w:t>
      </w:r>
      <w:r>
        <w:rPr>
          <w:sz w:val="22"/>
          <w:szCs w:val="22"/>
        </w:rPr>
        <w:t xml:space="preserve">, explored and documented a set of “emerging practices” that appeared to be contributing to the rapid achievement gains in a subset of the Level 4 schools. We found evidence that </w:t>
      </w:r>
      <w:r w:rsidR="00737B1A">
        <w:rPr>
          <w:sz w:val="22"/>
          <w:szCs w:val="22"/>
        </w:rPr>
        <w:t>schools showing rapid gains in achievement</w:t>
      </w:r>
      <w:r>
        <w:rPr>
          <w:sz w:val="22"/>
          <w:szCs w:val="22"/>
        </w:rPr>
        <w:t xml:space="preserve"> </w:t>
      </w:r>
      <w:r w:rsidRPr="001C1A5F">
        <w:rPr>
          <w:b/>
          <w:sz w:val="22"/>
          <w:szCs w:val="22"/>
        </w:rPr>
        <w:t xml:space="preserve">were leveraging the increased flexibility granted by the </w:t>
      </w:r>
      <w:r w:rsidRPr="001C1A5F">
        <w:rPr>
          <w:b/>
          <w:i/>
          <w:sz w:val="22"/>
          <w:szCs w:val="22"/>
        </w:rPr>
        <w:t>2010 Act Relative to the Achievement Gap</w:t>
      </w:r>
      <w:r>
        <w:rPr>
          <w:sz w:val="22"/>
          <w:szCs w:val="22"/>
        </w:rPr>
        <w:t xml:space="preserve"> </w:t>
      </w:r>
      <w:r w:rsidRPr="00C25629">
        <w:rPr>
          <w:b/>
          <w:sz w:val="22"/>
          <w:szCs w:val="22"/>
        </w:rPr>
        <w:t xml:space="preserve">to directly address many of the challenges that have stymied traditional school improvement efforts. </w:t>
      </w:r>
      <w:r w:rsidR="008D7927">
        <w:rPr>
          <w:sz w:val="22"/>
          <w:szCs w:val="22"/>
        </w:rPr>
        <w:t xml:space="preserve">Districts recruited and hired new </w:t>
      </w:r>
      <w:r>
        <w:rPr>
          <w:sz w:val="22"/>
          <w:szCs w:val="22"/>
        </w:rPr>
        <w:t xml:space="preserve">and dynamic </w:t>
      </w:r>
      <w:r w:rsidR="00FB52FC">
        <w:rPr>
          <w:sz w:val="22"/>
          <w:szCs w:val="22"/>
        </w:rPr>
        <w:t>principals</w:t>
      </w:r>
      <w:r>
        <w:rPr>
          <w:sz w:val="22"/>
          <w:szCs w:val="22"/>
        </w:rPr>
        <w:t xml:space="preserve"> </w:t>
      </w:r>
      <w:r w:rsidR="008D7927">
        <w:rPr>
          <w:sz w:val="22"/>
          <w:szCs w:val="22"/>
        </w:rPr>
        <w:t>to lead many of</w:t>
      </w:r>
      <w:r>
        <w:rPr>
          <w:sz w:val="22"/>
          <w:szCs w:val="22"/>
        </w:rPr>
        <w:t xml:space="preserve"> the Level 4 schools. These leaders were able to implement structures and systems that developed collective responsibility for improving student achievement and provided teachers the t</w:t>
      </w:r>
      <w:r w:rsidR="00726C38">
        <w:rPr>
          <w:sz w:val="22"/>
          <w:szCs w:val="22"/>
        </w:rPr>
        <w:t xml:space="preserve">ime and tools to quickly modify, </w:t>
      </w:r>
      <w:r>
        <w:rPr>
          <w:sz w:val="22"/>
          <w:szCs w:val="22"/>
        </w:rPr>
        <w:t>improve</w:t>
      </w:r>
      <w:r w:rsidR="00726C38">
        <w:rPr>
          <w:sz w:val="22"/>
          <w:szCs w:val="22"/>
        </w:rPr>
        <w:t xml:space="preserve"> and deliver more</w:t>
      </w:r>
      <w:r w:rsidR="00DD6FAF">
        <w:rPr>
          <w:sz w:val="22"/>
          <w:szCs w:val="22"/>
        </w:rPr>
        <w:t xml:space="preserve"> effective</w:t>
      </w:r>
      <w:r>
        <w:rPr>
          <w:sz w:val="22"/>
          <w:szCs w:val="22"/>
        </w:rPr>
        <w:t xml:space="preserve"> instruction. </w:t>
      </w:r>
    </w:p>
    <w:p w:rsidR="00E562C2" w:rsidRDefault="00E562C2" w:rsidP="00C25629">
      <w:pPr>
        <w:spacing w:before="120" w:line="288" w:lineRule="auto"/>
        <w:rPr>
          <w:sz w:val="22"/>
          <w:szCs w:val="22"/>
        </w:rPr>
      </w:pPr>
      <w:r>
        <w:rPr>
          <w:sz w:val="22"/>
          <w:szCs w:val="22"/>
        </w:rPr>
        <w:t>The original 34 Level 4 schools are now in their third year of turnaround (in 2012-13) and we have two years of dat</w:t>
      </w:r>
      <w:r w:rsidR="008D7927">
        <w:rPr>
          <w:sz w:val="22"/>
          <w:szCs w:val="22"/>
        </w:rPr>
        <w:t>a (from 2010-11 and 2011-12)</w:t>
      </w:r>
      <w:r w:rsidR="00C25629">
        <w:rPr>
          <w:sz w:val="22"/>
          <w:szCs w:val="22"/>
        </w:rPr>
        <w:t xml:space="preserve"> documenting their efforts</w:t>
      </w:r>
      <w:r w:rsidR="008D7927">
        <w:rPr>
          <w:sz w:val="22"/>
          <w:szCs w:val="22"/>
        </w:rPr>
        <w:t xml:space="preserve">. We </w:t>
      </w:r>
      <w:r>
        <w:rPr>
          <w:sz w:val="22"/>
          <w:szCs w:val="22"/>
        </w:rPr>
        <w:t>examine</w:t>
      </w:r>
      <w:r w:rsidR="008D7927">
        <w:rPr>
          <w:sz w:val="22"/>
          <w:szCs w:val="22"/>
        </w:rPr>
        <w:t>d these data</w:t>
      </w:r>
      <w:r>
        <w:rPr>
          <w:sz w:val="22"/>
          <w:szCs w:val="22"/>
        </w:rPr>
        <w:t xml:space="preserve"> </w:t>
      </w:r>
      <w:r w:rsidR="008D7927">
        <w:rPr>
          <w:sz w:val="22"/>
          <w:szCs w:val="22"/>
        </w:rPr>
        <w:t>to determine why</w:t>
      </w:r>
      <w:r>
        <w:rPr>
          <w:sz w:val="22"/>
          <w:szCs w:val="22"/>
        </w:rPr>
        <w:t xml:space="preserve"> some schools have continued or maintained a positive</w:t>
      </w:r>
      <w:r w:rsidR="008D7927">
        <w:rPr>
          <w:sz w:val="22"/>
          <w:szCs w:val="22"/>
        </w:rPr>
        <w:t xml:space="preserve"> “achievement trajectory,”</w:t>
      </w:r>
      <w:r>
        <w:rPr>
          <w:sz w:val="22"/>
          <w:szCs w:val="22"/>
        </w:rPr>
        <w:t xml:space="preserve"> while other schools have experienced two years of minimal </w:t>
      </w:r>
      <w:r w:rsidR="00C25629">
        <w:rPr>
          <w:sz w:val="22"/>
          <w:szCs w:val="22"/>
        </w:rPr>
        <w:t>gains</w:t>
      </w:r>
      <w:r>
        <w:rPr>
          <w:sz w:val="22"/>
          <w:szCs w:val="22"/>
        </w:rPr>
        <w:t xml:space="preserve"> in student achievement. </w:t>
      </w:r>
      <w:r w:rsidR="00C25629">
        <w:rPr>
          <w:sz w:val="22"/>
          <w:szCs w:val="22"/>
        </w:rPr>
        <w:t>Understanding why and how some of the Level 4</w:t>
      </w:r>
      <w:r>
        <w:rPr>
          <w:sz w:val="22"/>
          <w:szCs w:val="22"/>
        </w:rPr>
        <w:t xml:space="preserve"> schools are progressing will inform the state’s continued refinement of policies and </w:t>
      </w:r>
      <w:r w:rsidR="00FB52FC">
        <w:rPr>
          <w:sz w:val="22"/>
          <w:szCs w:val="22"/>
        </w:rPr>
        <w:t xml:space="preserve">implementation of </w:t>
      </w:r>
      <w:r>
        <w:rPr>
          <w:sz w:val="22"/>
          <w:szCs w:val="22"/>
        </w:rPr>
        <w:t>supports to dis</w:t>
      </w:r>
      <w:r w:rsidR="00FB52FC">
        <w:rPr>
          <w:sz w:val="22"/>
          <w:szCs w:val="22"/>
        </w:rPr>
        <w:t xml:space="preserve">tricts </w:t>
      </w:r>
      <w:r w:rsidR="00E14858">
        <w:rPr>
          <w:sz w:val="22"/>
          <w:szCs w:val="22"/>
        </w:rPr>
        <w:t xml:space="preserve">as they </w:t>
      </w:r>
      <w:r w:rsidR="00C25629">
        <w:rPr>
          <w:sz w:val="22"/>
          <w:szCs w:val="22"/>
        </w:rPr>
        <w:t xml:space="preserve">continue to adjust current </w:t>
      </w:r>
      <w:r>
        <w:rPr>
          <w:sz w:val="22"/>
          <w:szCs w:val="22"/>
        </w:rPr>
        <w:t xml:space="preserve">efforts to turnaround underperforming schools.  </w:t>
      </w:r>
    </w:p>
    <w:p w:rsidR="00E562C2" w:rsidRPr="00704903" w:rsidRDefault="00E562C2" w:rsidP="00C25629">
      <w:pPr>
        <w:spacing w:before="120" w:after="120" w:line="288" w:lineRule="auto"/>
        <w:rPr>
          <w:b/>
          <w:sz w:val="22"/>
          <w:szCs w:val="22"/>
        </w:rPr>
      </w:pPr>
      <w:r>
        <w:rPr>
          <w:b/>
          <w:sz w:val="22"/>
          <w:szCs w:val="22"/>
        </w:rPr>
        <w:t>Achievement Gain Schools</w:t>
      </w:r>
    </w:p>
    <w:p w:rsidR="00E562C2" w:rsidRDefault="0011041D" w:rsidP="00E562C2">
      <w:pPr>
        <w:spacing w:before="120" w:line="288" w:lineRule="auto"/>
        <w:rPr>
          <w:sz w:val="22"/>
          <w:szCs w:val="22"/>
        </w:rPr>
      </w:pPr>
      <w:r>
        <w:rPr>
          <w:noProof/>
          <w:sz w:val="22"/>
          <w:szCs w:val="22"/>
        </w:rPr>
        <w:pict>
          <v:shape id="Text Box 20" o:spid="_x0000_s1028" type="#_x0000_t202" style="position:absolute;margin-left:289.05pt;margin-top:107.2pt;width:3in;height:237.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" fillcolor="white [3201]" strokecolor="#4f81bd [3204]" strokeweight=".5pt">
            <v:path arrowok="t"/>
            <v:textbox>
              <w:txbxContent>
                <w:p w:rsidR="0090743D" w:rsidRPr="008D7927" w:rsidRDefault="0090743D" w:rsidP="008D7927">
                  <w:pPr>
                    <w:spacing w:before="80"/>
                    <w:jc w:val="center"/>
                    <w:rPr>
                      <w:b/>
                      <w:sz w:val="22"/>
                      <w:szCs w:val="22"/>
                    </w:rPr>
                  </w:pPr>
                  <w:r w:rsidRPr="008D7927">
                    <w:rPr>
                      <w:b/>
                      <w:sz w:val="22"/>
                      <w:szCs w:val="22"/>
                    </w:rPr>
                    <w:t>Primary Inquiry Questions</w:t>
                  </w:r>
                </w:p>
                <w:p w:rsidR="0090743D" w:rsidRPr="008D7927" w:rsidRDefault="0090743D" w:rsidP="008D7927">
                  <w:pPr>
                    <w:spacing w:before="80"/>
                    <w:rPr>
                      <w:b/>
                      <w:sz w:val="22"/>
                      <w:szCs w:val="22"/>
                    </w:rPr>
                  </w:pPr>
                  <w:r w:rsidRPr="008D7927">
                    <w:rPr>
                      <w:b/>
                      <w:sz w:val="22"/>
                      <w:szCs w:val="22"/>
                    </w:rPr>
                    <w:t>Sustaining Practices</w:t>
                  </w:r>
                </w:p>
                <w:p w:rsidR="0090743D" w:rsidRPr="008D7927" w:rsidRDefault="0090743D" w:rsidP="008D7927">
                  <w:pPr>
                    <w:spacing w:before="80"/>
                    <w:ind w:left="90"/>
                    <w:rPr>
                      <w:sz w:val="22"/>
                      <w:szCs w:val="22"/>
                    </w:rPr>
                  </w:pPr>
                  <w:r w:rsidRPr="008D7927">
                    <w:rPr>
                      <w:sz w:val="22"/>
                      <w:szCs w:val="22"/>
                    </w:rPr>
                    <w:t>Are there particular strategies or practices observed in achievement gain schools that explain how schools have been able to accelerate and sustain students’ academic growth?</w:t>
                  </w:r>
                </w:p>
                <w:p w:rsidR="0090743D" w:rsidRPr="008D7927" w:rsidRDefault="0090743D" w:rsidP="008D7927"/>
                <w:p w:rsidR="0090743D" w:rsidRPr="008D7927" w:rsidRDefault="0090743D" w:rsidP="008D7927">
                  <w:pPr>
                    <w:spacing w:before="120"/>
                    <w:rPr>
                      <w:b/>
                      <w:sz w:val="22"/>
                      <w:szCs w:val="22"/>
                    </w:rPr>
                  </w:pPr>
                  <w:r w:rsidRPr="008D7927">
                    <w:rPr>
                      <w:b/>
                      <w:sz w:val="22"/>
                      <w:szCs w:val="22"/>
                    </w:rPr>
                    <w:t xml:space="preserve">Levers and Use of Resources </w:t>
                  </w:r>
                </w:p>
                <w:p w:rsidR="0090743D" w:rsidRPr="008D7927" w:rsidRDefault="0090743D" w:rsidP="008D7927">
                  <w:pPr>
                    <w:spacing w:before="120" w:after="120"/>
                    <w:ind w:left="90" w:right="7"/>
                    <w:rPr>
                      <w:sz w:val="22"/>
                      <w:szCs w:val="22"/>
                    </w:rPr>
                  </w:pPr>
                  <w:r w:rsidRPr="008D7927">
                    <w:rPr>
                      <w:sz w:val="22"/>
                      <w:szCs w:val="22"/>
                    </w:rPr>
                    <w:t>What can we learn from schools that are on course to meet measurable annual goals (MAGs) in contrast to schools that are not on target, with respect to: (1) use of turnaround approaches, flexibilities, and conditions; (2) strategic use of resources; and (3) district supports?</w:t>
                  </w:r>
                </w:p>
                <w:p w:rsidR="0090743D" w:rsidRDefault="0090743D" w:rsidP="008D7927"/>
              </w:txbxContent>
            </v:textbox>
            <w10:wrap type="square"/>
          </v:shape>
        </w:pict>
      </w:r>
      <w:r w:rsidR="00E562C2">
        <w:rPr>
          <w:sz w:val="22"/>
          <w:szCs w:val="22"/>
        </w:rPr>
        <w:t>For the purpose of this report and our analysis, Achievement Gain schools are those schools that have already met, or are very close to meeting (e.g., within 20%) the academic components of their Measurable Annual Goals</w:t>
      </w:r>
      <w:r w:rsidR="0052077E">
        <w:rPr>
          <w:rStyle w:val="FootnoteReference"/>
          <w:sz w:val="22"/>
          <w:szCs w:val="22"/>
        </w:rPr>
        <w:footnoteReference w:id="1"/>
      </w:r>
      <w:r w:rsidR="008D7927">
        <w:rPr>
          <w:sz w:val="22"/>
          <w:szCs w:val="22"/>
        </w:rPr>
        <w:t xml:space="preserve"> (MAGs</w:t>
      </w:r>
      <w:r w:rsidR="00E562C2">
        <w:rPr>
          <w:sz w:val="22"/>
          <w:szCs w:val="22"/>
        </w:rPr>
        <w:t>)</w:t>
      </w:r>
      <w:r w:rsidR="008D7927">
        <w:rPr>
          <w:sz w:val="22"/>
          <w:szCs w:val="22"/>
        </w:rPr>
        <w:t>.</w:t>
      </w:r>
      <w:r w:rsidR="00E562C2" w:rsidRPr="004A39BF">
        <w:rPr>
          <w:sz w:val="22"/>
          <w:szCs w:val="22"/>
        </w:rPr>
        <w:t xml:space="preserve"> </w:t>
      </w:r>
      <w:r w:rsidR="00E562C2">
        <w:rPr>
          <w:sz w:val="22"/>
          <w:szCs w:val="22"/>
        </w:rPr>
        <w:t xml:space="preserve">To be within 20% of meeting MAGs, a school would have had to have made significantly </w:t>
      </w:r>
      <w:r w:rsidR="00E562C2" w:rsidRPr="0056696F">
        <w:rPr>
          <w:i/>
          <w:sz w:val="22"/>
          <w:szCs w:val="22"/>
        </w:rPr>
        <w:t>positive gains</w:t>
      </w:r>
      <w:r w:rsidR="00E562C2">
        <w:rPr>
          <w:sz w:val="22"/>
          <w:szCs w:val="22"/>
        </w:rPr>
        <w:t xml:space="preserve"> in student achievement in one year, and then </w:t>
      </w:r>
      <w:r w:rsidR="00E562C2" w:rsidRPr="0056696F">
        <w:rPr>
          <w:i/>
          <w:sz w:val="22"/>
          <w:szCs w:val="22"/>
        </w:rPr>
        <w:t>maintained</w:t>
      </w:r>
      <w:r w:rsidR="00E562C2">
        <w:rPr>
          <w:sz w:val="22"/>
          <w:szCs w:val="22"/>
        </w:rPr>
        <w:t xml:space="preserve"> these gains in the </w:t>
      </w:r>
      <w:r w:rsidR="00FB52FC">
        <w:rPr>
          <w:sz w:val="22"/>
          <w:szCs w:val="22"/>
        </w:rPr>
        <w:t>following</w:t>
      </w:r>
      <w:r w:rsidR="00E562C2">
        <w:rPr>
          <w:sz w:val="22"/>
          <w:szCs w:val="22"/>
        </w:rPr>
        <w:t xml:space="preserve"> year, or the school made strong gains in achievement (in math and English) for </w:t>
      </w:r>
      <w:r w:rsidR="00E562C2" w:rsidRPr="0056696F">
        <w:rPr>
          <w:i/>
          <w:sz w:val="22"/>
          <w:szCs w:val="22"/>
        </w:rPr>
        <w:t>two consecutive years</w:t>
      </w:r>
      <w:r w:rsidR="00E562C2">
        <w:rPr>
          <w:sz w:val="22"/>
          <w:szCs w:val="22"/>
        </w:rPr>
        <w:t>. We call these schools “Achievement Gain” schools.  In contra</w:t>
      </w:r>
      <w:r w:rsidR="00096B47">
        <w:rPr>
          <w:sz w:val="22"/>
          <w:szCs w:val="22"/>
        </w:rPr>
        <w:t>st, schools that are more than 6</w:t>
      </w:r>
      <w:r w:rsidR="00E562C2">
        <w:rPr>
          <w:sz w:val="22"/>
          <w:szCs w:val="22"/>
        </w:rPr>
        <w:t xml:space="preserve">0% away from meeting their MAGs </w:t>
      </w:r>
      <w:r w:rsidR="00096B47">
        <w:rPr>
          <w:sz w:val="22"/>
          <w:szCs w:val="22"/>
        </w:rPr>
        <w:t xml:space="preserve">and have </w:t>
      </w:r>
      <w:r w:rsidR="00DD6FAF">
        <w:rPr>
          <w:sz w:val="22"/>
          <w:szCs w:val="22"/>
        </w:rPr>
        <w:t>we identified as</w:t>
      </w:r>
      <w:r w:rsidR="00E562C2">
        <w:rPr>
          <w:sz w:val="22"/>
          <w:szCs w:val="22"/>
        </w:rPr>
        <w:t xml:space="preserve"> “Non-Gain” schools; these </w:t>
      </w:r>
      <w:r w:rsidR="008D7927">
        <w:rPr>
          <w:sz w:val="22"/>
          <w:szCs w:val="22"/>
        </w:rPr>
        <w:t>schools</w:t>
      </w:r>
      <w:r w:rsidR="00E562C2">
        <w:rPr>
          <w:sz w:val="22"/>
          <w:szCs w:val="22"/>
        </w:rPr>
        <w:t xml:space="preserve"> demonstrated little to no gains in achieveme</w:t>
      </w:r>
      <w:r w:rsidR="008D7927">
        <w:rPr>
          <w:sz w:val="22"/>
          <w:szCs w:val="22"/>
        </w:rPr>
        <w:t>nt over two years</w:t>
      </w:r>
      <w:r w:rsidR="00D8054F">
        <w:rPr>
          <w:sz w:val="22"/>
          <w:szCs w:val="22"/>
        </w:rPr>
        <w:t xml:space="preserve">, from </w:t>
      </w:r>
      <w:r w:rsidR="008D7927">
        <w:rPr>
          <w:sz w:val="22"/>
          <w:szCs w:val="22"/>
        </w:rPr>
        <w:t>2010 to 2012.</w:t>
      </w:r>
      <w:r w:rsidR="00096B47">
        <w:rPr>
          <w:rStyle w:val="FootnoteReference"/>
          <w:sz w:val="22"/>
          <w:szCs w:val="22"/>
        </w:rPr>
        <w:footnoteReference w:id="2"/>
      </w:r>
    </w:p>
    <w:p w:rsidR="00E562C2" w:rsidRDefault="006F7E45" w:rsidP="00C25629">
      <w:pPr>
        <w:spacing w:before="120" w:after="120" w:line="288" w:lineRule="auto"/>
        <w:rPr>
          <w:b/>
          <w:sz w:val="22"/>
          <w:szCs w:val="22"/>
        </w:rPr>
      </w:pPr>
      <w:r>
        <w:rPr>
          <w:b/>
          <w:sz w:val="22"/>
          <w:szCs w:val="22"/>
        </w:rPr>
        <w:t>Inquiry</w:t>
      </w:r>
      <w:r w:rsidR="00E562C2">
        <w:rPr>
          <w:b/>
          <w:sz w:val="22"/>
          <w:szCs w:val="22"/>
        </w:rPr>
        <w:t xml:space="preserve"> Questions</w:t>
      </w:r>
    </w:p>
    <w:p w:rsidR="00E562C2" w:rsidRPr="00E562C2" w:rsidRDefault="00E562C2" w:rsidP="00E562C2">
      <w:pPr>
        <w:spacing w:before="120" w:line="288" w:lineRule="auto"/>
        <w:rPr>
          <w:sz w:val="22"/>
          <w:szCs w:val="22"/>
        </w:rPr>
      </w:pPr>
      <w:r>
        <w:rPr>
          <w:sz w:val="22"/>
          <w:szCs w:val="22"/>
        </w:rPr>
        <w:t>This report builds</w:t>
      </w:r>
      <w:r w:rsidRPr="00CD7DA1">
        <w:rPr>
          <w:sz w:val="22"/>
          <w:szCs w:val="22"/>
        </w:rPr>
        <w:t xml:space="preserve"> upon the emerging practices identified in our previous report</w:t>
      </w:r>
      <w:r w:rsidR="008D7927">
        <w:rPr>
          <w:rStyle w:val="FootnoteReference"/>
          <w:sz w:val="22"/>
          <w:szCs w:val="22"/>
        </w:rPr>
        <w:footnoteReference w:id="3"/>
      </w:r>
      <w:r w:rsidRPr="00CD7DA1">
        <w:rPr>
          <w:sz w:val="22"/>
          <w:szCs w:val="22"/>
        </w:rPr>
        <w:t xml:space="preserve"> </w:t>
      </w:r>
      <w:r>
        <w:rPr>
          <w:sz w:val="22"/>
          <w:szCs w:val="22"/>
        </w:rPr>
        <w:t>by identifying</w:t>
      </w:r>
      <w:r w:rsidRPr="00CD7DA1">
        <w:rPr>
          <w:sz w:val="22"/>
          <w:szCs w:val="22"/>
        </w:rPr>
        <w:t xml:space="preserve"> and descr</w:t>
      </w:r>
      <w:r>
        <w:rPr>
          <w:sz w:val="22"/>
          <w:szCs w:val="22"/>
        </w:rPr>
        <w:t>ibing</w:t>
      </w:r>
      <w:r w:rsidRPr="00CD7DA1">
        <w:rPr>
          <w:sz w:val="22"/>
          <w:szCs w:val="22"/>
        </w:rPr>
        <w:t xml:space="preserve"> </w:t>
      </w:r>
      <w:r>
        <w:rPr>
          <w:sz w:val="22"/>
          <w:szCs w:val="22"/>
        </w:rPr>
        <w:t xml:space="preserve">specific </w:t>
      </w:r>
      <w:r w:rsidRPr="00CD7DA1">
        <w:rPr>
          <w:sz w:val="22"/>
          <w:szCs w:val="22"/>
        </w:rPr>
        <w:t>practices in Achievement Gain schools that</w:t>
      </w:r>
      <w:r>
        <w:rPr>
          <w:sz w:val="22"/>
          <w:szCs w:val="22"/>
        </w:rPr>
        <w:t>, after two years,</w:t>
      </w:r>
      <w:r w:rsidRPr="00CD7DA1">
        <w:rPr>
          <w:sz w:val="22"/>
          <w:szCs w:val="22"/>
        </w:rPr>
        <w:t xml:space="preserve"> appear to be contributing to schools’ ability to produce and sustain rapid growth in student achievement.</w:t>
      </w:r>
    </w:p>
    <w:p w:rsidR="00E562C2" w:rsidRDefault="00E562C2" w:rsidP="00E562C2">
      <w:pPr>
        <w:spacing w:before="120" w:line="288" w:lineRule="auto"/>
        <w:rPr>
          <w:sz w:val="22"/>
          <w:szCs w:val="22"/>
        </w:rPr>
      </w:pPr>
      <w:r>
        <w:rPr>
          <w:sz w:val="22"/>
          <w:szCs w:val="22"/>
        </w:rPr>
        <w:t xml:space="preserve">Now that schools have gone through a full two years of implementing turnaround efforts, including receiving and using School </w:t>
      </w:r>
      <w:r w:rsidR="001F157B">
        <w:rPr>
          <w:sz w:val="22"/>
          <w:szCs w:val="22"/>
        </w:rPr>
        <w:t>Redesign Grant (SR</w:t>
      </w:r>
      <w:r>
        <w:rPr>
          <w:sz w:val="22"/>
          <w:szCs w:val="22"/>
        </w:rPr>
        <w:t>G) funding</w:t>
      </w:r>
      <w:r w:rsidR="001F157B">
        <w:rPr>
          <w:rStyle w:val="FootnoteReference"/>
          <w:sz w:val="22"/>
          <w:szCs w:val="22"/>
        </w:rPr>
        <w:footnoteReference w:id="4"/>
      </w:r>
      <w:r>
        <w:rPr>
          <w:sz w:val="22"/>
          <w:szCs w:val="22"/>
        </w:rPr>
        <w:t>, this report provides an opportunity for a first look at how schools and district</w:t>
      </w:r>
      <w:r w:rsidR="00F00B22">
        <w:rPr>
          <w:sz w:val="22"/>
          <w:szCs w:val="22"/>
        </w:rPr>
        <w:t>s</w:t>
      </w:r>
      <w:r>
        <w:rPr>
          <w:sz w:val="22"/>
          <w:szCs w:val="22"/>
        </w:rPr>
        <w:t xml:space="preserve"> have </w:t>
      </w:r>
      <w:r w:rsidR="009D2DBC">
        <w:rPr>
          <w:sz w:val="22"/>
          <w:szCs w:val="22"/>
        </w:rPr>
        <w:t>leveraged</w:t>
      </w:r>
      <w:r>
        <w:rPr>
          <w:sz w:val="22"/>
          <w:szCs w:val="22"/>
        </w:rPr>
        <w:t xml:space="preserve"> the turnaround approaches and flexibilities at their disposal, and how </w:t>
      </w:r>
      <w:r w:rsidR="009D2DBC">
        <w:rPr>
          <w:sz w:val="22"/>
          <w:szCs w:val="22"/>
        </w:rPr>
        <w:t xml:space="preserve">they allocated </w:t>
      </w:r>
      <w:r w:rsidR="001F157B">
        <w:rPr>
          <w:sz w:val="22"/>
          <w:szCs w:val="22"/>
        </w:rPr>
        <w:t>SR</w:t>
      </w:r>
      <w:r>
        <w:rPr>
          <w:sz w:val="22"/>
          <w:szCs w:val="22"/>
        </w:rPr>
        <w:t xml:space="preserve">G funding to support school-level turnaround efforts. </w:t>
      </w:r>
    </w:p>
    <w:p w:rsidR="00F230FA" w:rsidRDefault="00F230FA" w:rsidP="00E562C2">
      <w:pPr>
        <w:rPr>
          <w:b/>
          <w:color w:val="943634" w:themeColor="accent2" w:themeShade="BF"/>
          <w:sz w:val="28"/>
          <w:szCs w:val="28"/>
        </w:rPr>
        <w:sectPr w:rsidR="00F230FA" w:rsidSect="009D2DBC">
          <w:type w:val="continuous"/>
          <w:pgSz w:w="12240" w:h="15840"/>
          <w:pgMar w:top="1440" w:right="1152" w:bottom="1152" w:left="1152" w:header="720" w:footer="720" w:gutter="0"/>
          <w:cols w:space="720"/>
        </w:sectPr>
      </w:pPr>
    </w:p>
    <w:p w:rsidR="00E562C2" w:rsidRPr="00AD084E" w:rsidRDefault="00E562C2" w:rsidP="00A6538F">
      <w:pPr>
        <w:spacing w:after="120"/>
        <w:rPr>
          <w:b/>
          <w:sz w:val="28"/>
          <w:szCs w:val="28"/>
        </w:rPr>
      </w:pPr>
      <w:r w:rsidRPr="001C1A5F">
        <w:rPr>
          <w:b/>
          <w:color w:val="943634" w:themeColor="accent2" w:themeShade="BF"/>
          <w:sz w:val="28"/>
          <w:szCs w:val="28"/>
        </w:rPr>
        <w:lastRenderedPageBreak/>
        <w:t xml:space="preserve">Purpose, Methods, and Organization </w:t>
      </w:r>
    </w:p>
    <w:p w:rsidR="00E562C2" w:rsidRPr="00A6538F" w:rsidRDefault="00E562C2" w:rsidP="00A6538F">
      <w:pPr>
        <w:tabs>
          <w:tab w:val="left" w:pos="-90"/>
        </w:tabs>
        <w:spacing w:before="120" w:after="120" w:line="288" w:lineRule="auto"/>
        <w:ind w:right="-29"/>
        <w:rPr>
          <w:b/>
          <w:i/>
          <w:sz w:val="22"/>
          <w:szCs w:val="22"/>
        </w:rPr>
      </w:pPr>
      <w:r>
        <w:rPr>
          <w:sz w:val="22"/>
          <w:szCs w:val="22"/>
        </w:rPr>
        <w:t>Research and experience here in Massachusetts, including the current efforts underway in Level 4 schools, tell us that turnaround</w:t>
      </w:r>
      <w:r>
        <w:rPr>
          <w:rStyle w:val="FootnoteReference"/>
          <w:sz w:val="22"/>
          <w:szCs w:val="22"/>
        </w:rPr>
        <w:footnoteReference w:id="5"/>
      </w:r>
      <w:r>
        <w:rPr>
          <w:sz w:val="22"/>
          <w:szCs w:val="22"/>
        </w:rPr>
        <w:t xml:space="preserve">—rapid and </w:t>
      </w:r>
      <w:proofErr w:type="gramStart"/>
      <w:r>
        <w:rPr>
          <w:sz w:val="22"/>
          <w:szCs w:val="22"/>
        </w:rPr>
        <w:t>dramatic improvements in school operations, culture, and student achievement—is</w:t>
      </w:r>
      <w:proofErr w:type="gramEnd"/>
      <w:r>
        <w:rPr>
          <w:sz w:val="22"/>
          <w:szCs w:val="22"/>
        </w:rPr>
        <w:t xml:space="preserve"> possible, but it does not happen by chance. Rather,</w:t>
      </w:r>
      <w:r w:rsidR="00DD6FAF">
        <w:rPr>
          <w:sz w:val="22"/>
          <w:szCs w:val="22"/>
        </w:rPr>
        <w:t xml:space="preserve"> successful turnaround efforts are</w:t>
      </w:r>
      <w:r>
        <w:rPr>
          <w:sz w:val="22"/>
          <w:szCs w:val="22"/>
        </w:rPr>
        <w:t xml:space="preserve"> </w:t>
      </w:r>
      <w:r w:rsidR="00FB52FC">
        <w:rPr>
          <w:sz w:val="22"/>
          <w:szCs w:val="22"/>
        </w:rPr>
        <w:t>strategic, planned, and require</w:t>
      </w:r>
      <w:r>
        <w:rPr>
          <w:sz w:val="22"/>
          <w:szCs w:val="22"/>
        </w:rPr>
        <w:t xml:space="preserve"> </w:t>
      </w:r>
      <w:r w:rsidR="00DD6FAF">
        <w:rPr>
          <w:sz w:val="22"/>
          <w:szCs w:val="22"/>
        </w:rPr>
        <w:t>effective</w:t>
      </w:r>
      <w:r>
        <w:rPr>
          <w:sz w:val="22"/>
          <w:szCs w:val="22"/>
        </w:rPr>
        <w:t xml:space="preserve"> leadership. </w:t>
      </w:r>
      <w:r w:rsidR="009D2DBC">
        <w:rPr>
          <w:sz w:val="22"/>
          <w:szCs w:val="22"/>
        </w:rPr>
        <w:t xml:space="preserve">In conducting </w:t>
      </w:r>
      <w:r w:rsidR="00DD6FAF">
        <w:rPr>
          <w:sz w:val="22"/>
          <w:szCs w:val="22"/>
        </w:rPr>
        <w:t>the</w:t>
      </w:r>
      <w:r w:rsidR="009D2DBC">
        <w:rPr>
          <w:sz w:val="22"/>
          <w:szCs w:val="22"/>
        </w:rPr>
        <w:t xml:space="preserve"> comparative analysis</w:t>
      </w:r>
      <w:r w:rsidR="00DD6FAF">
        <w:rPr>
          <w:sz w:val="22"/>
          <w:szCs w:val="22"/>
        </w:rPr>
        <w:t xml:space="preserve"> of turnaround efforts across identified Achievement Gain and Non-Gain schools</w:t>
      </w:r>
      <w:r w:rsidR="009D2DBC">
        <w:rPr>
          <w:sz w:val="22"/>
          <w:szCs w:val="22"/>
        </w:rPr>
        <w:t>, we intended</w:t>
      </w:r>
      <w:r>
        <w:rPr>
          <w:sz w:val="22"/>
          <w:szCs w:val="22"/>
        </w:rPr>
        <w:t xml:space="preserve"> to contribute to th</w:t>
      </w:r>
      <w:r w:rsidR="009D2DBC">
        <w:rPr>
          <w:sz w:val="22"/>
          <w:szCs w:val="22"/>
        </w:rPr>
        <w:t xml:space="preserve">e ongoing </w:t>
      </w:r>
      <w:r w:rsidR="00DD6FAF">
        <w:rPr>
          <w:sz w:val="22"/>
          <w:szCs w:val="22"/>
        </w:rPr>
        <w:t>deliberation of</w:t>
      </w:r>
      <w:r w:rsidR="009D2DBC">
        <w:rPr>
          <w:sz w:val="22"/>
          <w:szCs w:val="22"/>
        </w:rPr>
        <w:t xml:space="preserve"> how</w:t>
      </w:r>
      <w:r>
        <w:rPr>
          <w:sz w:val="22"/>
          <w:szCs w:val="22"/>
        </w:rPr>
        <w:t xml:space="preserve"> best </w:t>
      </w:r>
      <w:r w:rsidR="009D2DBC">
        <w:rPr>
          <w:sz w:val="22"/>
          <w:szCs w:val="22"/>
        </w:rPr>
        <w:t xml:space="preserve">to </w:t>
      </w:r>
      <w:r>
        <w:rPr>
          <w:sz w:val="22"/>
          <w:szCs w:val="22"/>
        </w:rPr>
        <w:t xml:space="preserve">support </w:t>
      </w:r>
      <w:r w:rsidR="00DD6FAF">
        <w:rPr>
          <w:sz w:val="22"/>
          <w:szCs w:val="22"/>
        </w:rPr>
        <w:t xml:space="preserve">turnaround </w:t>
      </w:r>
      <w:r>
        <w:rPr>
          <w:sz w:val="22"/>
          <w:szCs w:val="22"/>
        </w:rPr>
        <w:t xml:space="preserve">schools and, to the extent possible, inform </w:t>
      </w:r>
      <w:r w:rsidR="009D2DBC">
        <w:rPr>
          <w:sz w:val="22"/>
          <w:szCs w:val="22"/>
        </w:rPr>
        <w:t xml:space="preserve">the </w:t>
      </w:r>
      <w:r>
        <w:rPr>
          <w:sz w:val="22"/>
          <w:szCs w:val="22"/>
        </w:rPr>
        <w:t xml:space="preserve">strategic planning and modification of strategies in existing Level 4 schools. </w:t>
      </w:r>
    </w:p>
    <w:p w:rsidR="00A6538F" w:rsidRPr="00A6538F" w:rsidRDefault="0011041D" w:rsidP="00E562C2">
      <w:pPr>
        <w:spacing w:before="200" w:line="288" w:lineRule="auto"/>
        <w:rPr>
          <w:sz w:val="22"/>
          <w:szCs w:val="22"/>
        </w:rPr>
      </w:pPr>
      <w:r>
        <w:rPr>
          <w:noProof/>
          <w:sz w:val="22"/>
          <w:szCs w:val="22"/>
        </w:rPr>
        <w:pict>
          <v:shape id="Text Box 33" o:spid="_x0000_s1029" type="#_x0000_t202" style="position:absolute;margin-left:164.6pt;margin-top:.05pt;width:333pt;height:307.8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" fillcolor="white [3201]" strokecolor="#4f81bd [3204]" strokeweight=".5pt">
            <v:path arrowok="t"/>
            <v:textbox>
              <w:txbxContent>
                <w:p w:rsidR="0090743D" w:rsidRDefault="0090743D" w:rsidP="00A6538F">
                  <w:pPr>
                    <w:spacing w:before="120" w:after="120" w:line="288" w:lineRule="auto"/>
                    <w:rPr>
                      <w:b/>
                      <w:sz w:val="22"/>
                      <w:szCs w:val="22"/>
                    </w:rPr>
                  </w:pPr>
                  <w:r>
                    <w:rPr>
                      <w:b/>
                      <w:color w:val="365F91" w:themeColor="accent1" w:themeShade="BF"/>
                      <w:sz w:val="22"/>
                      <w:szCs w:val="22"/>
                    </w:rPr>
                    <w:t>What is different in this report?</w:t>
                  </w:r>
                  <w:r w:rsidRPr="008A6A04">
                    <w:rPr>
                      <w:b/>
                      <w:sz w:val="22"/>
                      <w:szCs w:val="22"/>
                    </w:rPr>
                    <w:t xml:space="preserve"> </w:t>
                  </w:r>
                </w:p>
                <w:p w:rsidR="0090743D" w:rsidRPr="005B562E" w:rsidRDefault="0090743D" w:rsidP="00A6538F">
                  <w:pPr>
                    <w:spacing w:before="120" w:after="120" w:line="288" w:lineRule="auto"/>
                    <w:rPr>
                      <w:b/>
                      <w:sz w:val="22"/>
                      <w:szCs w:val="22"/>
                    </w:rPr>
                  </w:pPr>
                  <w:r>
                    <w:rPr>
                      <w:sz w:val="22"/>
                      <w:szCs w:val="22"/>
                    </w:rPr>
                    <w:t xml:space="preserve">For those readers familiar with the 2012 </w:t>
                  </w:r>
                  <w:r w:rsidRPr="002871F5">
                    <w:rPr>
                      <w:i/>
                      <w:sz w:val="22"/>
                      <w:szCs w:val="22"/>
                    </w:rPr>
                    <w:t>Emerging Practices</w:t>
                  </w:r>
                  <w:r>
                    <w:rPr>
                      <w:sz w:val="22"/>
                      <w:szCs w:val="22"/>
                    </w:rPr>
                    <w:t xml:space="preserve"> report, we highlight the following distinctions in methodology and focus in this report. </w:t>
                  </w:r>
                </w:p>
                <w:p w:rsidR="0090743D" w:rsidRPr="00A6538F" w:rsidRDefault="0090743D" w:rsidP="00145FF0">
                  <w:pPr>
                    <w:pStyle w:val="ListParagraph"/>
                    <w:numPr>
                      <w:ilvl w:val="0"/>
                      <w:numId w:val="2"/>
                    </w:numPr>
                    <w:spacing w:before="120" w:after="120" w:line="288" w:lineRule="auto"/>
                    <w:ind w:left="540"/>
                    <w:rPr>
                      <w:sz w:val="22"/>
                      <w:szCs w:val="22"/>
                    </w:rPr>
                  </w:pPr>
                  <w:r>
                    <w:rPr>
                      <w:sz w:val="22"/>
                      <w:szCs w:val="22"/>
                    </w:rPr>
                    <w:t>We based identification of</w:t>
                  </w:r>
                  <w:r w:rsidRPr="00332E78">
                    <w:rPr>
                      <w:sz w:val="22"/>
                      <w:szCs w:val="22"/>
                    </w:rPr>
                    <w:t xml:space="preserve"> Achievement Gain schools and Non-</w:t>
                  </w:r>
                  <w:r w:rsidRPr="00A6538F">
                    <w:rPr>
                      <w:sz w:val="22"/>
                      <w:szCs w:val="22"/>
                    </w:rPr>
                    <w:t>Gain schools on the extent to which each school is meeting its MAGs.</w:t>
                  </w:r>
                </w:p>
                <w:p w:rsidR="0090743D" w:rsidRPr="00A6538F" w:rsidRDefault="0090743D" w:rsidP="00145FF0">
                  <w:pPr>
                    <w:pStyle w:val="ListParagraph"/>
                    <w:numPr>
                      <w:ilvl w:val="0"/>
                      <w:numId w:val="2"/>
                    </w:numPr>
                    <w:spacing w:before="120" w:after="120" w:line="288" w:lineRule="auto"/>
                    <w:ind w:left="540"/>
                    <w:rPr>
                      <w:sz w:val="22"/>
                      <w:szCs w:val="22"/>
                    </w:rPr>
                  </w:pPr>
                  <w:r w:rsidRPr="00A6538F">
                    <w:rPr>
                      <w:sz w:val="22"/>
                      <w:szCs w:val="22"/>
                    </w:rPr>
                    <w:t xml:space="preserve">We provide a detailed analysis </w:t>
                  </w:r>
                  <w:r>
                    <w:rPr>
                      <w:sz w:val="22"/>
                      <w:szCs w:val="22"/>
                    </w:rPr>
                    <w:t>of how schools have allocated SR</w:t>
                  </w:r>
                  <w:r w:rsidRPr="00A6538F">
                    <w:rPr>
                      <w:sz w:val="22"/>
                      <w:szCs w:val="22"/>
                    </w:rPr>
                    <w:t xml:space="preserve">G funding, including the extent to which consultants and providers are </w:t>
                  </w:r>
                  <w:r>
                    <w:rPr>
                      <w:sz w:val="22"/>
                      <w:szCs w:val="22"/>
                    </w:rPr>
                    <w:t>engaged</w:t>
                  </w:r>
                  <w:r w:rsidRPr="00A6538F">
                    <w:rPr>
                      <w:sz w:val="22"/>
                      <w:szCs w:val="22"/>
                    </w:rPr>
                    <w:t xml:space="preserve"> and contributing to turnaround efforts.</w:t>
                  </w:r>
                </w:p>
                <w:p w:rsidR="0090743D" w:rsidRPr="00A6538F" w:rsidRDefault="0090743D" w:rsidP="00145FF0">
                  <w:pPr>
                    <w:pStyle w:val="ListParagraph"/>
                    <w:numPr>
                      <w:ilvl w:val="0"/>
                      <w:numId w:val="2"/>
                    </w:numPr>
                    <w:spacing w:before="120" w:after="120" w:line="288" w:lineRule="auto"/>
                    <w:ind w:left="540"/>
                    <w:rPr>
                      <w:sz w:val="22"/>
                      <w:szCs w:val="22"/>
                    </w:rPr>
                  </w:pPr>
                  <w:r w:rsidRPr="00A6538F">
                    <w:rPr>
                      <w:sz w:val="22"/>
                      <w:szCs w:val="22"/>
                    </w:rPr>
                    <w:t>We examine the relationship between teacher turnover, as a particular aspect of the Turnaround and Transformation models, and two-year achievement trends (again, using MAGs as</w:t>
                  </w:r>
                  <w:r>
                    <w:rPr>
                      <w:sz w:val="22"/>
                      <w:szCs w:val="22"/>
                    </w:rPr>
                    <w:t xml:space="preserve"> a proxy for achievement gains).</w:t>
                  </w:r>
                </w:p>
                <w:p w:rsidR="0090743D" w:rsidRPr="00A6538F" w:rsidRDefault="0090743D" w:rsidP="00145FF0">
                  <w:pPr>
                    <w:pStyle w:val="ListParagraph"/>
                    <w:numPr>
                      <w:ilvl w:val="0"/>
                      <w:numId w:val="2"/>
                    </w:numPr>
                    <w:spacing w:before="120" w:after="120" w:line="288" w:lineRule="auto"/>
                    <w:ind w:left="540"/>
                    <w:rPr>
                      <w:sz w:val="22"/>
                      <w:szCs w:val="22"/>
                    </w:rPr>
                  </w:pPr>
                  <w:r>
                    <w:rPr>
                      <w:sz w:val="22"/>
                      <w:szCs w:val="22"/>
                    </w:rPr>
                    <w:t>We analyze</w:t>
                  </w:r>
                  <w:r w:rsidRPr="00A6538F">
                    <w:rPr>
                      <w:sz w:val="22"/>
                      <w:szCs w:val="22"/>
                    </w:rPr>
                    <w:t xml:space="preserve"> how districts are developing systems and providing supports to support school-level turnaround efforts.</w:t>
                  </w:r>
                </w:p>
                <w:p w:rsidR="0090743D" w:rsidRPr="00A6538F" w:rsidRDefault="0090743D" w:rsidP="00145FF0">
                  <w:pPr>
                    <w:pStyle w:val="ListParagraph"/>
                    <w:numPr>
                      <w:ilvl w:val="0"/>
                      <w:numId w:val="2"/>
                    </w:numPr>
                    <w:spacing w:before="120" w:after="120" w:line="288" w:lineRule="auto"/>
                    <w:ind w:left="540"/>
                    <w:rPr>
                      <w:sz w:val="22"/>
                      <w:szCs w:val="22"/>
                    </w:rPr>
                  </w:pPr>
                  <w:r>
                    <w:rPr>
                      <w:sz w:val="22"/>
                      <w:szCs w:val="22"/>
                    </w:rPr>
                    <w:t>Where feasible, we examine</w:t>
                  </w:r>
                  <w:r w:rsidRPr="00A6538F">
                    <w:rPr>
                      <w:sz w:val="22"/>
                      <w:szCs w:val="22"/>
                    </w:rPr>
                    <w:t xml:space="preserve"> practices that may be contributing to gains among certain populations of students.</w:t>
                  </w:r>
                </w:p>
                <w:p w:rsidR="0090743D" w:rsidRDefault="0090743D" w:rsidP="00A6538F"/>
              </w:txbxContent>
            </v:textbox>
            <w10:wrap type="square"/>
          </v:shape>
        </w:pict>
      </w:r>
      <w:proofErr w:type="gramStart"/>
      <w:r w:rsidR="00E562C2">
        <w:rPr>
          <w:b/>
          <w:sz w:val="22"/>
          <w:szCs w:val="22"/>
        </w:rPr>
        <w:t>Data S</w:t>
      </w:r>
      <w:r w:rsidR="00E562C2" w:rsidRPr="00131479">
        <w:rPr>
          <w:b/>
          <w:sz w:val="22"/>
          <w:szCs w:val="22"/>
        </w:rPr>
        <w:t>ources</w:t>
      </w:r>
      <w:r w:rsidR="00E562C2" w:rsidRPr="004A39BF">
        <w:rPr>
          <w:rStyle w:val="FootnoteReference"/>
          <w:sz w:val="22"/>
          <w:szCs w:val="22"/>
        </w:rPr>
        <w:footnoteReference w:id="6"/>
      </w:r>
      <w:r w:rsidR="00E562C2">
        <w:rPr>
          <w:sz w:val="22"/>
          <w:szCs w:val="22"/>
        </w:rPr>
        <w:t>.</w:t>
      </w:r>
      <w:proofErr w:type="gramEnd"/>
      <w:r w:rsidR="00E562C2">
        <w:rPr>
          <w:sz w:val="22"/>
          <w:szCs w:val="22"/>
        </w:rPr>
        <w:t xml:space="preserve"> </w:t>
      </w:r>
      <w:r w:rsidR="00E562C2" w:rsidRPr="004A39BF">
        <w:rPr>
          <w:sz w:val="22"/>
          <w:szCs w:val="22"/>
        </w:rPr>
        <w:t>The primary data sources</w:t>
      </w:r>
      <w:r w:rsidR="00E562C2">
        <w:rPr>
          <w:rStyle w:val="FootnoteReference"/>
          <w:sz w:val="22"/>
          <w:szCs w:val="22"/>
        </w:rPr>
        <w:t xml:space="preserve"> </w:t>
      </w:r>
      <w:r w:rsidR="00E562C2" w:rsidRPr="004A39BF">
        <w:rPr>
          <w:sz w:val="22"/>
          <w:szCs w:val="22"/>
        </w:rPr>
        <w:t xml:space="preserve">for this </w:t>
      </w:r>
      <w:r w:rsidR="00E562C2">
        <w:rPr>
          <w:sz w:val="22"/>
          <w:szCs w:val="22"/>
        </w:rPr>
        <w:t>report</w:t>
      </w:r>
      <w:r w:rsidR="00E562C2" w:rsidRPr="004A39BF">
        <w:rPr>
          <w:sz w:val="22"/>
          <w:szCs w:val="22"/>
        </w:rPr>
        <w:t xml:space="preserve"> </w:t>
      </w:r>
      <w:r w:rsidR="00E562C2">
        <w:rPr>
          <w:sz w:val="22"/>
          <w:szCs w:val="22"/>
        </w:rPr>
        <w:t>inc</w:t>
      </w:r>
      <w:r w:rsidR="00214400">
        <w:rPr>
          <w:sz w:val="22"/>
          <w:szCs w:val="22"/>
        </w:rPr>
        <w:t>lude the spring 2011 and spring 2012</w:t>
      </w:r>
      <w:r w:rsidR="00E562C2">
        <w:rPr>
          <w:sz w:val="22"/>
          <w:szCs w:val="22"/>
        </w:rPr>
        <w:t xml:space="preserve"> monitoring site visit reports (MSVs) and the </w:t>
      </w:r>
      <w:r w:rsidR="00CE1BF9">
        <w:rPr>
          <w:sz w:val="22"/>
          <w:szCs w:val="22"/>
        </w:rPr>
        <w:t>SRG</w:t>
      </w:r>
      <w:r w:rsidR="00287740">
        <w:rPr>
          <w:sz w:val="22"/>
          <w:szCs w:val="22"/>
        </w:rPr>
        <w:t xml:space="preserve"> renewal applications for C</w:t>
      </w:r>
      <w:r w:rsidR="00E562C2">
        <w:rPr>
          <w:sz w:val="22"/>
          <w:szCs w:val="22"/>
        </w:rPr>
        <w:t>ohor</w:t>
      </w:r>
      <w:r w:rsidR="00287740">
        <w:rPr>
          <w:sz w:val="22"/>
          <w:szCs w:val="22"/>
        </w:rPr>
        <w:t>t I (spring 2011 and 2012) and C</w:t>
      </w:r>
      <w:r w:rsidR="00CE1BF9">
        <w:rPr>
          <w:sz w:val="22"/>
          <w:szCs w:val="22"/>
        </w:rPr>
        <w:t>ohort II (spring 2012</w:t>
      </w:r>
      <w:r w:rsidR="00E562C2">
        <w:rPr>
          <w:sz w:val="22"/>
          <w:szCs w:val="22"/>
        </w:rPr>
        <w:t>)</w:t>
      </w:r>
      <w:r w:rsidR="00CE1BF9">
        <w:rPr>
          <w:sz w:val="22"/>
          <w:szCs w:val="22"/>
        </w:rPr>
        <w:t>.</w:t>
      </w:r>
      <w:r w:rsidR="00E562C2">
        <w:rPr>
          <w:sz w:val="22"/>
          <w:szCs w:val="22"/>
        </w:rPr>
        <w:t xml:space="preserve"> A detailed analysis of documents from Achievement Gain schools and Non-Gain schools provides the core evidence for </w:t>
      </w:r>
      <w:r w:rsidR="00F82AF5">
        <w:rPr>
          <w:sz w:val="22"/>
          <w:szCs w:val="22"/>
        </w:rPr>
        <w:t xml:space="preserve">our </w:t>
      </w:r>
      <w:hyperlink w:anchor="EmergingPractices" w:history="1">
        <w:r w:rsidR="00E562C2" w:rsidRPr="00F82AF5">
          <w:rPr>
            <w:rStyle w:val="Hyperlink"/>
            <w:sz w:val="22"/>
            <w:szCs w:val="22"/>
            <w:u w:val="none"/>
          </w:rPr>
          <w:t>Emerging and Sustaining Practices</w:t>
        </w:r>
      </w:hyperlink>
      <w:r w:rsidR="00F82AF5" w:rsidRPr="00F82AF5">
        <w:rPr>
          <w:sz w:val="22"/>
          <w:szCs w:val="22"/>
        </w:rPr>
        <w:t>.</w:t>
      </w:r>
      <w:r w:rsidR="00F82AF5">
        <w:rPr>
          <w:sz w:val="22"/>
          <w:szCs w:val="22"/>
        </w:rPr>
        <w:t xml:space="preserve"> </w:t>
      </w:r>
      <w:r w:rsidR="00E562C2">
        <w:rPr>
          <w:sz w:val="22"/>
          <w:szCs w:val="22"/>
        </w:rPr>
        <w:t xml:space="preserve">The 2010-11 and 2011-12 amended budgets for each school were used in </w:t>
      </w:r>
      <w:r w:rsidR="00287740">
        <w:rPr>
          <w:sz w:val="22"/>
          <w:szCs w:val="22"/>
        </w:rPr>
        <w:t>the</w:t>
      </w:r>
      <w:r w:rsidR="00F82AF5">
        <w:rPr>
          <w:sz w:val="22"/>
          <w:szCs w:val="22"/>
        </w:rPr>
        <w:t xml:space="preserve"> </w:t>
      </w:r>
      <w:hyperlink w:anchor="BudgetAnalysis" w:history="1">
        <w:r w:rsidR="00F82AF5" w:rsidRPr="00F82AF5">
          <w:rPr>
            <w:rStyle w:val="Hyperlink"/>
            <w:sz w:val="22"/>
            <w:szCs w:val="22"/>
            <w:u w:val="none"/>
          </w:rPr>
          <w:t>Budget Analysis</w:t>
        </w:r>
      </w:hyperlink>
      <w:r w:rsidR="00F82AF5" w:rsidRPr="00F82AF5">
        <w:rPr>
          <w:b/>
          <w:sz w:val="22"/>
          <w:szCs w:val="22"/>
        </w:rPr>
        <w:t>.</w:t>
      </w:r>
      <w:r w:rsidR="00E562C2" w:rsidRPr="00F21F4A">
        <w:rPr>
          <w:b/>
          <w:sz w:val="22"/>
          <w:szCs w:val="22"/>
        </w:rPr>
        <w:t xml:space="preserve"> </w:t>
      </w:r>
    </w:p>
    <w:p w:rsidR="00E562C2" w:rsidRPr="004A39BF" w:rsidRDefault="00E562C2" w:rsidP="00E562C2">
      <w:pPr>
        <w:spacing w:before="200" w:line="288" w:lineRule="auto"/>
        <w:rPr>
          <w:sz w:val="22"/>
          <w:szCs w:val="22"/>
        </w:rPr>
      </w:pPr>
      <w:r w:rsidRPr="004A39BF">
        <w:rPr>
          <w:b/>
          <w:sz w:val="22"/>
          <w:szCs w:val="22"/>
        </w:rPr>
        <w:t>Organization of the Report</w:t>
      </w:r>
    </w:p>
    <w:p w:rsidR="00E562C2" w:rsidRDefault="00E562C2" w:rsidP="00FE2490">
      <w:pPr>
        <w:pStyle w:val="ListParagraph"/>
        <w:numPr>
          <w:ilvl w:val="0"/>
          <w:numId w:val="1"/>
        </w:numPr>
        <w:spacing w:before="80" w:after="80" w:line="288" w:lineRule="auto"/>
        <w:ind w:left="547"/>
        <w:contextualSpacing w:val="0"/>
        <w:rPr>
          <w:sz w:val="22"/>
          <w:szCs w:val="22"/>
        </w:rPr>
      </w:pPr>
      <w:r w:rsidRPr="00332E78">
        <w:rPr>
          <w:sz w:val="22"/>
          <w:szCs w:val="22"/>
        </w:rPr>
        <w:t xml:space="preserve">Beginning on the following page, </w:t>
      </w:r>
      <w:r>
        <w:rPr>
          <w:sz w:val="22"/>
          <w:szCs w:val="22"/>
        </w:rPr>
        <w:t>we</w:t>
      </w:r>
      <w:r w:rsidRPr="00332E78">
        <w:rPr>
          <w:sz w:val="22"/>
          <w:szCs w:val="22"/>
        </w:rPr>
        <w:t xml:space="preserve"> </w:t>
      </w:r>
      <w:r>
        <w:rPr>
          <w:sz w:val="22"/>
          <w:szCs w:val="22"/>
        </w:rPr>
        <w:t>provide</w:t>
      </w:r>
      <w:r w:rsidRPr="00332E78">
        <w:rPr>
          <w:sz w:val="22"/>
          <w:szCs w:val="22"/>
        </w:rPr>
        <w:t xml:space="preserve"> an overview of </w:t>
      </w:r>
      <w:r w:rsidRPr="009913DB">
        <w:rPr>
          <w:b/>
          <w:sz w:val="22"/>
          <w:szCs w:val="22"/>
        </w:rPr>
        <w:t>achievement trends</w:t>
      </w:r>
      <w:r w:rsidRPr="00332E78">
        <w:rPr>
          <w:sz w:val="22"/>
          <w:szCs w:val="22"/>
        </w:rPr>
        <w:t xml:space="preserve"> in Level 4 schools, from 2010 to 2012. </w:t>
      </w:r>
    </w:p>
    <w:p w:rsidR="00FB52FC" w:rsidRDefault="00E562C2" w:rsidP="00FE2490">
      <w:pPr>
        <w:pStyle w:val="ListParagraph"/>
        <w:numPr>
          <w:ilvl w:val="0"/>
          <w:numId w:val="1"/>
        </w:numPr>
        <w:spacing w:before="80" w:after="80" w:line="288" w:lineRule="auto"/>
        <w:ind w:left="547"/>
        <w:contextualSpacing w:val="0"/>
        <w:rPr>
          <w:color w:val="000000" w:themeColor="text1"/>
          <w:sz w:val="22"/>
          <w:szCs w:val="22"/>
        </w:rPr>
      </w:pPr>
      <w:r>
        <w:rPr>
          <w:sz w:val="22"/>
          <w:szCs w:val="22"/>
        </w:rPr>
        <w:t xml:space="preserve">Next, we present our high-level findings around </w:t>
      </w:r>
      <w:r w:rsidRPr="009913DB">
        <w:rPr>
          <w:b/>
          <w:sz w:val="22"/>
          <w:szCs w:val="22"/>
        </w:rPr>
        <w:t>sustaining practices in Achievement Gain schools</w:t>
      </w:r>
      <w:r>
        <w:rPr>
          <w:sz w:val="22"/>
          <w:szCs w:val="22"/>
        </w:rPr>
        <w:t>, followed by</w:t>
      </w:r>
      <w:r w:rsidRPr="00332E78">
        <w:rPr>
          <w:sz w:val="22"/>
          <w:szCs w:val="22"/>
        </w:rPr>
        <w:t xml:space="preserve"> three </w:t>
      </w:r>
      <w:r w:rsidR="00D8054F">
        <w:rPr>
          <w:sz w:val="22"/>
          <w:szCs w:val="22"/>
        </w:rPr>
        <w:t>two-page overviews of each practice</w:t>
      </w:r>
      <w:r w:rsidRPr="00332E78">
        <w:rPr>
          <w:sz w:val="22"/>
          <w:szCs w:val="22"/>
        </w:rPr>
        <w:t xml:space="preserve"> that provide additional detail and a bulleted comparison of the practices in </w:t>
      </w:r>
      <w:r>
        <w:rPr>
          <w:sz w:val="22"/>
          <w:szCs w:val="22"/>
        </w:rPr>
        <w:t xml:space="preserve">the </w:t>
      </w:r>
      <w:r w:rsidRPr="00FB52FC">
        <w:rPr>
          <w:color w:val="000000" w:themeColor="text1"/>
          <w:sz w:val="22"/>
          <w:szCs w:val="22"/>
        </w:rPr>
        <w:t xml:space="preserve">Achievement Gain schools and Non-Gain schools. </w:t>
      </w:r>
    </w:p>
    <w:p w:rsidR="00F03B67" w:rsidRPr="00FB52FC" w:rsidRDefault="00E562C2" w:rsidP="00FE2490">
      <w:pPr>
        <w:pStyle w:val="ListParagraph"/>
        <w:numPr>
          <w:ilvl w:val="0"/>
          <w:numId w:val="1"/>
        </w:numPr>
        <w:spacing w:before="80" w:after="80" w:line="288" w:lineRule="auto"/>
        <w:ind w:left="547"/>
        <w:contextualSpacing w:val="0"/>
        <w:rPr>
          <w:color w:val="000000" w:themeColor="text1"/>
          <w:sz w:val="22"/>
          <w:szCs w:val="22"/>
        </w:rPr>
        <w:sectPr w:rsidR="00F03B67" w:rsidRPr="00FB52FC" w:rsidSect="009D2DBC">
          <w:pgSz w:w="12240" w:h="15840"/>
          <w:pgMar w:top="1440" w:right="1152" w:bottom="1152" w:left="1152" w:header="720" w:footer="720" w:gutter="0"/>
          <w:cols w:space="720"/>
        </w:sectPr>
      </w:pPr>
      <w:r w:rsidRPr="00FB52FC">
        <w:rPr>
          <w:color w:val="000000" w:themeColor="text1"/>
          <w:sz w:val="22"/>
          <w:szCs w:val="22"/>
        </w:rPr>
        <w:t>The remaining sections provide descriptive data and analysis of</w:t>
      </w:r>
      <w:r w:rsidR="00DD6FAF" w:rsidRPr="00FB52FC">
        <w:rPr>
          <w:b/>
          <w:color w:val="000000" w:themeColor="text1"/>
          <w:sz w:val="22"/>
          <w:szCs w:val="22"/>
        </w:rPr>
        <w:t xml:space="preserve"> district systems</w:t>
      </w:r>
      <w:r w:rsidR="00DD6FAF" w:rsidRPr="00FB52FC">
        <w:rPr>
          <w:color w:val="000000" w:themeColor="text1"/>
          <w:sz w:val="22"/>
          <w:szCs w:val="22"/>
        </w:rPr>
        <w:t xml:space="preserve"> to support school-level turnaround,</w:t>
      </w:r>
      <w:r w:rsidRPr="00FB52FC">
        <w:rPr>
          <w:color w:val="000000" w:themeColor="text1"/>
          <w:sz w:val="22"/>
          <w:szCs w:val="22"/>
        </w:rPr>
        <w:t xml:space="preserve"> how schools are </w:t>
      </w:r>
      <w:r w:rsidR="00CE1BF9" w:rsidRPr="00FB52FC">
        <w:rPr>
          <w:b/>
          <w:color w:val="000000" w:themeColor="text1"/>
          <w:sz w:val="22"/>
          <w:szCs w:val="22"/>
        </w:rPr>
        <w:t>using SR</w:t>
      </w:r>
      <w:r w:rsidRPr="00FB52FC">
        <w:rPr>
          <w:b/>
          <w:color w:val="000000" w:themeColor="text1"/>
          <w:sz w:val="22"/>
          <w:szCs w:val="22"/>
        </w:rPr>
        <w:t>G resources</w:t>
      </w:r>
      <w:r w:rsidRPr="00FB52FC">
        <w:rPr>
          <w:color w:val="000000" w:themeColor="text1"/>
          <w:sz w:val="22"/>
          <w:szCs w:val="22"/>
        </w:rPr>
        <w:t xml:space="preserve">, </w:t>
      </w:r>
      <w:r w:rsidR="00DD6FAF" w:rsidRPr="00FB52FC">
        <w:rPr>
          <w:color w:val="000000" w:themeColor="text1"/>
          <w:sz w:val="22"/>
          <w:szCs w:val="22"/>
        </w:rPr>
        <w:t xml:space="preserve">and the relationship between </w:t>
      </w:r>
      <w:r w:rsidR="00DD6FAF" w:rsidRPr="00FB52FC">
        <w:rPr>
          <w:b/>
          <w:color w:val="000000" w:themeColor="text1"/>
          <w:sz w:val="22"/>
          <w:szCs w:val="22"/>
        </w:rPr>
        <w:t>teacher turnover rates</w:t>
      </w:r>
      <w:r w:rsidR="00DD6FAF" w:rsidRPr="00FB52FC">
        <w:rPr>
          <w:color w:val="000000" w:themeColor="text1"/>
          <w:sz w:val="22"/>
          <w:szCs w:val="22"/>
        </w:rPr>
        <w:t xml:space="preserve"> and </w:t>
      </w:r>
      <w:r w:rsidR="00D8054F">
        <w:rPr>
          <w:color w:val="000000" w:themeColor="text1"/>
          <w:sz w:val="22"/>
          <w:szCs w:val="22"/>
        </w:rPr>
        <w:t>the extent to which schools have</w:t>
      </w:r>
      <w:r w:rsidR="00696058" w:rsidRPr="00FB52FC">
        <w:rPr>
          <w:color w:val="000000" w:themeColor="text1"/>
          <w:sz w:val="22"/>
          <w:szCs w:val="22"/>
        </w:rPr>
        <w:t xml:space="preserve"> quickly improve</w:t>
      </w:r>
      <w:r w:rsidR="00D8054F">
        <w:rPr>
          <w:color w:val="000000" w:themeColor="text1"/>
          <w:sz w:val="22"/>
          <w:szCs w:val="22"/>
        </w:rPr>
        <w:t>d</w:t>
      </w:r>
      <w:r w:rsidR="00696058" w:rsidRPr="00FB52FC">
        <w:rPr>
          <w:color w:val="000000" w:themeColor="text1"/>
          <w:sz w:val="22"/>
          <w:szCs w:val="22"/>
        </w:rPr>
        <w:t xml:space="preserve"> instruction and student achievement. </w:t>
      </w:r>
    </w:p>
    <w:p w:rsidR="00E562C2" w:rsidRPr="00D65848" w:rsidRDefault="00E562C2" w:rsidP="00C9081C">
      <w:pPr>
        <w:spacing w:after="120" w:line="288" w:lineRule="auto"/>
        <w:rPr>
          <w:b/>
          <w:color w:val="943634" w:themeColor="accent2" w:themeShade="BF"/>
          <w:sz w:val="28"/>
          <w:szCs w:val="28"/>
        </w:rPr>
      </w:pPr>
      <w:r w:rsidRPr="00D65848">
        <w:rPr>
          <w:b/>
          <w:color w:val="943634" w:themeColor="accent2" w:themeShade="BF"/>
          <w:sz w:val="28"/>
          <w:szCs w:val="28"/>
        </w:rPr>
        <w:lastRenderedPageBreak/>
        <w:t>Achievement Trends in Level 4 Schools: 2010 to 2012</w:t>
      </w:r>
    </w:p>
    <w:p w:rsidR="00E562C2" w:rsidRDefault="0011041D" w:rsidP="00E562C2">
      <w:pPr>
        <w:spacing w:line="288" w:lineRule="auto"/>
        <w:rPr>
          <w:sz w:val="22"/>
          <w:szCs w:val="22"/>
        </w:rPr>
      </w:pPr>
      <w:r w:rsidRPr="0011041D">
        <w:rPr>
          <w:b/>
          <w:noProof/>
          <w:sz w:val="22"/>
          <w:szCs w:val="22"/>
        </w:rPr>
        <w:pict>
          <v:shape id="Text Box 17" o:spid="_x0000_s1030" type="#_x0000_t202" style="position:absolute;margin-left:.45pt;margin-top:103.9pt;width:3in;height:60.6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" fillcolor="white [3201]" strokecolor="#4f81bd [3204]" strokeweight=".5pt">
            <v:path arrowok="t"/>
            <v:textbox>
              <w:txbxContent>
                <w:p w:rsidR="0090743D" w:rsidRPr="00F21F4A" w:rsidRDefault="0090743D" w:rsidP="00F21F4A">
                  <w:pPr>
                    <w:rPr>
                      <w:sz w:val="22"/>
                      <w:szCs w:val="22"/>
                    </w:rPr>
                  </w:pPr>
                  <w:r w:rsidRPr="00F21F4A">
                    <w:rPr>
                      <w:sz w:val="22"/>
                      <w:szCs w:val="22"/>
                    </w:rPr>
                    <w:t xml:space="preserve">After a full two years of implementation, it is clear that some schools are on a positive achievement trajectory towards successful “turnaround” while others are not. </w:t>
                  </w:r>
                </w:p>
                <w:p w:rsidR="0090743D" w:rsidRDefault="0090743D"/>
              </w:txbxContent>
            </v:textbox>
            <w10:wrap type="square"/>
          </v:shape>
        </w:pict>
      </w:r>
      <w:r w:rsidR="00E562C2" w:rsidRPr="00F21F4A">
        <w:rPr>
          <w:b/>
          <w:sz w:val="22"/>
          <w:szCs w:val="22"/>
        </w:rPr>
        <w:t xml:space="preserve">Of the original 34 schools designated as Level 4 in 2009, 14 schools are on target to meet their 3-year MAGs (Achievement Gain Schools), 9 schools have made little progress and are </w:t>
      </w:r>
      <w:r w:rsidR="00CF79AF">
        <w:rPr>
          <w:b/>
          <w:sz w:val="22"/>
          <w:szCs w:val="22"/>
        </w:rPr>
        <w:t>not on target (Non-Gain Schools</w:t>
      </w:r>
      <w:r w:rsidR="00E562C2" w:rsidRPr="00F21F4A">
        <w:rPr>
          <w:b/>
          <w:sz w:val="22"/>
          <w:szCs w:val="22"/>
        </w:rPr>
        <w:t>)</w:t>
      </w:r>
      <w:r w:rsidR="00CF79AF">
        <w:rPr>
          <w:b/>
          <w:sz w:val="22"/>
          <w:szCs w:val="22"/>
        </w:rPr>
        <w:t>,</w:t>
      </w:r>
      <w:r w:rsidR="00E562C2" w:rsidRPr="00F21F4A">
        <w:rPr>
          <w:b/>
          <w:sz w:val="22"/>
          <w:szCs w:val="22"/>
        </w:rPr>
        <w:t xml:space="preserve"> and 11 schools are partially on target, but still have much work to do to meet their </w:t>
      </w:r>
      <w:r w:rsidR="00696058">
        <w:rPr>
          <w:b/>
          <w:sz w:val="22"/>
          <w:szCs w:val="22"/>
        </w:rPr>
        <w:t xml:space="preserve">Year 3 </w:t>
      </w:r>
      <w:r w:rsidR="00E562C2" w:rsidRPr="00F21F4A">
        <w:rPr>
          <w:b/>
          <w:sz w:val="22"/>
          <w:szCs w:val="22"/>
        </w:rPr>
        <w:t>MAGs.</w:t>
      </w:r>
      <w:r w:rsidR="00E562C2" w:rsidRPr="00262452">
        <w:rPr>
          <w:sz w:val="22"/>
          <w:szCs w:val="22"/>
        </w:rPr>
        <w:t xml:space="preserve"> </w:t>
      </w:r>
      <w:r w:rsidR="00CF79AF">
        <w:rPr>
          <w:sz w:val="22"/>
          <w:szCs w:val="22"/>
        </w:rPr>
        <w:t>T</w:t>
      </w:r>
      <w:r w:rsidR="00F230FA">
        <w:rPr>
          <w:sz w:val="22"/>
          <w:szCs w:val="22"/>
        </w:rPr>
        <w:t xml:space="preserve">he </w:t>
      </w:r>
      <w:r w:rsidR="00A97869">
        <w:rPr>
          <w:sz w:val="22"/>
          <w:szCs w:val="22"/>
        </w:rPr>
        <w:t>Composite Performance Index (</w:t>
      </w:r>
      <w:r w:rsidR="00F230FA">
        <w:rPr>
          <w:sz w:val="22"/>
          <w:szCs w:val="22"/>
        </w:rPr>
        <w:t>CPI</w:t>
      </w:r>
      <w:r w:rsidR="00A97869">
        <w:rPr>
          <w:sz w:val="22"/>
          <w:szCs w:val="22"/>
        </w:rPr>
        <w:t>)</w:t>
      </w:r>
      <w:r w:rsidR="00CF79AF">
        <w:rPr>
          <w:sz w:val="22"/>
          <w:szCs w:val="22"/>
        </w:rPr>
        <w:t xml:space="preserve"> Achievement Gap—a measure of the extent to which schools have closed achievement gaps between students in their own schools and the state average—</w:t>
      </w:r>
      <w:r w:rsidR="00F230FA">
        <w:rPr>
          <w:sz w:val="22"/>
          <w:szCs w:val="22"/>
        </w:rPr>
        <w:t>illustrates the dramatically different levels of success observed across Level 4 schools. Between 2010 and 2012, Achieveme</w:t>
      </w:r>
      <w:r w:rsidR="00CF79AF">
        <w:rPr>
          <w:sz w:val="22"/>
          <w:szCs w:val="22"/>
        </w:rPr>
        <w:t xml:space="preserve">nt Gain schools have </w:t>
      </w:r>
      <w:r w:rsidR="00CF79AF" w:rsidRPr="00D8054F">
        <w:rPr>
          <w:b/>
          <w:sz w:val="22"/>
          <w:szCs w:val="22"/>
        </w:rPr>
        <w:t>decreased</w:t>
      </w:r>
      <w:r w:rsidR="00CF79AF">
        <w:rPr>
          <w:sz w:val="22"/>
          <w:szCs w:val="22"/>
        </w:rPr>
        <w:t xml:space="preserve"> </w:t>
      </w:r>
      <w:r w:rsidR="00F230FA">
        <w:rPr>
          <w:sz w:val="22"/>
          <w:szCs w:val="22"/>
        </w:rPr>
        <w:t>CPI Achievement Gap</w:t>
      </w:r>
      <w:r w:rsidR="00A97869">
        <w:rPr>
          <w:sz w:val="22"/>
          <w:szCs w:val="22"/>
        </w:rPr>
        <w:t>s</w:t>
      </w:r>
      <w:r w:rsidR="00F230FA">
        <w:rPr>
          <w:sz w:val="22"/>
          <w:szCs w:val="22"/>
        </w:rPr>
        <w:t xml:space="preserve"> by an average of 10 points in ELA and 15 points in mathematics. In contrast, Non-Gain schools have experienced an</w:t>
      </w:r>
      <w:r w:rsidR="00696058">
        <w:rPr>
          <w:sz w:val="22"/>
          <w:szCs w:val="22"/>
        </w:rPr>
        <w:t xml:space="preserve"> average</w:t>
      </w:r>
      <w:r w:rsidR="00F230FA">
        <w:rPr>
          <w:sz w:val="22"/>
          <w:szCs w:val="22"/>
        </w:rPr>
        <w:t xml:space="preserve"> </w:t>
      </w:r>
      <w:r w:rsidR="00F230FA" w:rsidRPr="00D8054F">
        <w:rPr>
          <w:b/>
          <w:sz w:val="22"/>
          <w:szCs w:val="22"/>
        </w:rPr>
        <w:t>increase</w:t>
      </w:r>
      <w:r w:rsidR="00F230FA">
        <w:rPr>
          <w:sz w:val="22"/>
          <w:szCs w:val="22"/>
        </w:rPr>
        <w:t xml:space="preserve"> in (alread</w:t>
      </w:r>
      <w:r w:rsidR="00696058">
        <w:rPr>
          <w:sz w:val="22"/>
          <w:szCs w:val="22"/>
        </w:rPr>
        <w:t>y large) CPI Achievement Gaps of</w:t>
      </w:r>
      <w:r w:rsidR="00F230FA">
        <w:rPr>
          <w:sz w:val="22"/>
          <w:szCs w:val="22"/>
        </w:rPr>
        <w:t xml:space="preserve"> 1</w:t>
      </w:r>
      <w:r w:rsidR="00A97869">
        <w:rPr>
          <w:sz w:val="22"/>
          <w:szCs w:val="22"/>
        </w:rPr>
        <w:t>.1</w:t>
      </w:r>
      <w:r w:rsidR="00F230FA">
        <w:rPr>
          <w:sz w:val="22"/>
          <w:szCs w:val="22"/>
        </w:rPr>
        <w:t xml:space="preserve"> point in ELA and </w:t>
      </w:r>
      <w:r w:rsidR="00A97869">
        <w:rPr>
          <w:sz w:val="22"/>
          <w:szCs w:val="22"/>
        </w:rPr>
        <w:t xml:space="preserve">3.7 points in mathematics. </w:t>
      </w:r>
    </w:p>
    <w:p w:rsidR="00CC5A7B" w:rsidRPr="00262452" w:rsidRDefault="00CC5A7B" w:rsidP="00E562C2">
      <w:pPr>
        <w:spacing w:line="288" w:lineRule="auto"/>
        <w:rPr>
          <w:sz w:val="22"/>
          <w:szCs w:val="22"/>
        </w:rPr>
      </w:pPr>
    </w:p>
    <w:p w:rsidR="00E562C2" w:rsidRPr="00100D8C" w:rsidRDefault="00100D8C" w:rsidP="00E562C2">
      <w:pPr>
        <w:spacing w:line="288" w:lineRule="auto"/>
        <w:rPr>
          <w:b/>
          <w:color w:val="365F91" w:themeColor="accent1" w:themeShade="BF"/>
          <w:sz w:val="22"/>
          <w:szCs w:val="22"/>
        </w:rPr>
      </w:pPr>
      <w:r w:rsidRPr="00100D8C">
        <w:rPr>
          <w:b/>
          <w:color w:val="365F91" w:themeColor="accent1" w:themeShade="BF"/>
          <w:sz w:val="22"/>
          <w:szCs w:val="22"/>
        </w:rPr>
        <w:t xml:space="preserve">Achievement Trends: </w:t>
      </w:r>
      <w:r w:rsidR="00E562C2" w:rsidRPr="00100D8C">
        <w:rPr>
          <w:b/>
          <w:color w:val="365F91" w:themeColor="accent1" w:themeShade="BF"/>
          <w:sz w:val="22"/>
          <w:szCs w:val="22"/>
        </w:rPr>
        <w:t>Observations</w:t>
      </w:r>
      <w:r w:rsidRPr="00100D8C">
        <w:rPr>
          <w:b/>
          <w:color w:val="365F91" w:themeColor="accent1" w:themeShade="BF"/>
          <w:sz w:val="22"/>
          <w:szCs w:val="22"/>
        </w:rPr>
        <w:t xml:space="preserve"> and Suggestions</w:t>
      </w:r>
    </w:p>
    <w:p w:rsidR="00A97869" w:rsidRPr="00D0481C" w:rsidRDefault="0011041D" w:rsidP="00D0481C">
      <w:pPr>
        <w:spacing w:before="120" w:line="288" w:lineRule="auto"/>
        <w:ind w:left="180"/>
        <w:rPr>
          <w:b/>
          <w:sz w:val="22"/>
          <w:szCs w:val="22"/>
        </w:rPr>
      </w:pPr>
      <w:r w:rsidRPr="0011041D">
        <w:rPr>
          <w:b/>
          <w:noProof/>
        </w:rPr>
        <w:pict>
          <v:shape id="Text Box 18" o:spid="_x0000_s1031" type="#_x0000_t202" style="position:absolute;left:0;text-align:left;margin-left:288.45pt;margin-top:26.4pt;width:3in;height:4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" fillcolor="white [3201]" strokecolor="#4f81bd [3204]" strokeweight=".5pt">
            <v:path arrowok="t"/>
            <v:textbox>
              <w:txbxContent>
                <w:p w:rsidR="0090743D" w:rsidRPr="00F21F4A" w:rsidRDefault="0090743D" w:rsidP="00D0481C">
                  <w:pPr>
                    <w:pStyle w:val="ListParagraph"/>
                    <w:ind w:left="0"/>
                    <w:contextualSpacing w:val="0"/>
                    <w:rPr>
                      <w:sz w:val="22"/>
                      <w:szCs w:val="22"/>
                    </w:rPr>
                  </w:pPr>
                  <w:r w:rsidRPr="00F21F4A">
                    <w:rPr>
                      <w:sz w:val="22"/>
                      <w:szCs w:val="22"/>
                    </w:rPr>
                    <w:t>…Which suggests that</w:t>
                  </w:r>
                  <w:r>
                    <w:rPr>
                      <w:sz w:val="22"/>
                      <w:szCs w:val="22"/>
                    </w:rPr>
                    <w:t xml:space="preserve"> an</w:t>
                  </w:r>
                  <w:r w:rsidRPr="00F21F4A">
                    <w:rPr>
                      <w:sz w:val="22"/>
                      <w:szCs w:val="22"/>
                    </w:rPr>
                    <w:t xml:space="preserve"> initial y</w:t>
                  </w:r>
                  <w:r>
                    <w:rPr>
                      <w:sz w:val="22"/>
                      <w:szCs w:val="22"/>
                    </w:rPr>
                    <w:t>ear one gain in achievement is</w:t>
                  </w:r>
                  <w:r w:rsidRPr="00F21F4A">
                    <w:rPr>
                      <w:sz w:val="22"/>
                      <w:szCs w:val="22"/>
                    </w:rPr>
                    <w:t xml:space="preserve"> a strong indicator of how schools will progress in year </w:t>
                  </w:r>
                  <w:proofErr w:type="gramStart"/>
                  <w:r w:rsidRPr="00F21F4A">
                    <w:rPr>
                      <w:sz w:val="22"/>
                      <w:szCs w:val="22"/>
                    </w:rPr>
                    <w:t>two.</w:t>
                  </w:r>
                  <w:proofErr w:type="gramEnd"/>
                </w:p>
              </w:txbxContent>
            </v:textbox>
            <w10:wrap type="square"/>
          </v:shape>
        </w:pict>
      </w:r>
      <w:r w:rsidR="00E562C2" w:rsidRPr="00F21F4A">
        <w:rPr>
          <w:b/>
          <w:sz w:val="22"/>
          <w:szCs w:val="22"/>
        </w:rPr>
        <w:t xml:space="preserve">There is a consistent achievement trajectory among many of the Achievement Gain and Non-Gain schools. </w:t>
      </w:r>
      <w:r w:rsidR="00E562C2" w:rsidRPr="00F21F4A">
        <w:rPr>
          <w:sz w:val="22"/>
          <w:szCs w:val="22"/>
        </w:rPr>
        <w:t>Eight</w:t>
      </w:r>
      <w:r w:rsidR="00E562C2" w:rsidRPr="00CE41AA">
        <w:rPr>
          <w:sz w:val="22"/>
          <w:szCs w:val="22"/>
        </w:rPr>
        <w:t xml:space="preserve"> of the schools identified as making rapid gains in 2010-11 have continued to remain on target to meet </w:t>
      </w:r>
      <w:r w:rsidR="00696058">
        <w:rPr>
          <w:sz w:val="22"/>
          <w:szCs w:val="22"/>
        </w:rPr>
        <w:t xml:space="preserve">their </w:t>
      </w:r>
      <w:r w:rsidR="00E562C2" w:rsidRPr="00CE41AA">
        <w:rPr>
          <w:sz w:val="22"/>
          <w:szCs w:val="22"/>
        </w:rPr>
        <w:t xml:space="preserve">MAGs; similarly, seven of the schools that failed to make gains in 2010-11 continued to have difficulty, and did not make significant gains in 2011-12. </w:t>
      </w:r>
    </w:p>
    <w:p w:rsidR="00CE41AA" w:rsidRDefault="0011041D" w:rsidP="00A97869">
      <w:pPr>
        <w:spacing w:before="120" w:after="120" w:line="288" w:lineRule="auto"/>
        <w:ind w:left="180"/>
        <w:rPr>
          <w:b/>
          <w:sz w:val="22"/>
          <w:szCs w:val="22"/>
        </w:rPr>
      </w:pPr>
      <w:r w:rsidRPr="0011041D">
        <w:rPr>
          <w:noProof/>
        </w:rPr>
        <w:pict>
          <v:shape id="Text Box 23" o:spid="_x0000_s1032" type="#_x0000_t202" style="position:absolute;left:0;text-align:left;margin-left:288.45pt;margin-top:46.3pt;width:3in;height:1in;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" fillcolor="white [3201]" strokecolor="#4f81bd [3204]" strokeweight=".5pt">
            <v:path arrowok="t"/>
            <v:textbox>
              <w:txbxContent>
                <w:p w:rsidR="0090743D" w:rsidRPr="00D0481C" w:rsidRDefault="0090743D" w:rsidP="00D0481C">
                  <w:pPr>
                    <w:pStyle w:val="ListParagraph"/>
                    <w:ind w:left="0"/>
                    <w:contextualSpacing w:val="0"/>
                    <w:rPr>
                      <w:sz w:val="22"/>
                      <w:szCs w:val="22"/>
                    </w:rPr>
                  </w:pPr>
                  <w:r w:rsidRPr="00D0481C">
                    <w:rPr>
                      <w:sz w:val="22"/>
                      <w:szCs w:val="22"/>
                    </w:rPr>
                    <w:t xml:space="preserve">We see evidence of schools making mid-course corrections to accelerate achievement; but there are also examples of schools failing to maintain initial gains in student achievement.  </w:t>
                  </w:r>
                </w:p>
                <w:p w:rsidR="0090743D" w:rsidRPr="00CC5A7B" w:rsidRDefault="0090743D" w:rsidP="00CC5A7B">
                  <w:pPr>
                    <w:pStyle w:val="ListParagraph"/>
                    <w:spacing w:line="288" w:lineRule="auto"/>
                    <w:ind w:left="0"/>
                    <w:contextualSpacing w:val="0"/>
                    <w:rPr>
                      <w:b/>
                      <w:sz w:val="22"/>
                      <w:szCs w:val="22"/>
                    </w:rPr>
                  </w:pPr>
                </w:p>
              </w:txbxContent>
            </v:textbox>
            <w10:wrap type="square"/>
          </v:shape>
        </w:pict>
      </w:r>
      <w:r w:rsidR="00E562C2" w:rsidRPr="00D0481C">
        <w:rPr>
          <w:b/>
          <w:sz w:val="22"/>
          <w:szCs w:val="22"/>
        </w:rPr>
        <w:t xml:space="preserve">However, there are few cases of schools changing their improvement trajectory from 2010-11 to 2011-12, which leads to the question of why schools making gains would have trouble sustaining </w:t>
      </w:r>
      <w:r w:rsidR="00FE2490">
        <w:rPr>
          <w:b/>
          <w:sz w:val="22"/>
          <w:szCs w:val="22"/>
        </w:rPr>
        <w:t>improvements</w:t>
      </w:r>
      <w:r w:rsidR="00E562C2" w:rsidRPr="00D0481C">
        <w:rPr>
          <w:b/>
          <w:sz w:val="22"/>
          <w:szCs w:val="22"/>
        </w:rPr>
        <w:t>, or why it took schools two</w:t>
      </w:r>
      <w:r w:rsidR="00287740" w:rsidRPr="00D0481C">
        <w:rPr>
          <w:b/>
          <w:sz w:val="22"/>
          <w:szCs w:val="22"/>
        </w:rPr>
        <w:t xml:space="preserve"> years to see a jump in student</w:t>
      </w:r>
      <w:r w:rsidR="00E562C2" w:rsidRPr="00D0481C">
        <w:rPr>
          <w:b/>
          <w:sz w:val="22"/>
          <w:szCs w:val="22"/>
        </w:rPr>
        <w:t xml:space="preserve"> achievement.</w:t>
      </w:r>
      <w:r w:rsidR="00E562C2" w:rsidRPr="00D0481C">
        <w:rPr>
          <w:rStyle w:val="FootnoteReference"/>
          <w:b/>
          <w:sz w:val="22"/>
          <w:szCs w:val="22"/>
        </w:rPr>
        <w:footnoteReference w:id="7"/>
      </w:r>
      <w:r w:rsidR="00E562C2" w:rsidRPr="00CE41AA">
        <w:rPr>
          <w:b/>
          <w:sz w:val="22"/>
          <w:szCs w:val="22"/>
        </w:rPr>
        <w:t xml:space="preserve">  </w:t>
      </w:r>
      <w:r w:rsidR="00E562C2" w:rsidRPr="00CE41AA">
        <w:rPr>
          <w:sz w:val="22"/>
          <w:szCs w:val="22"/>
        </w:rPr>
        <w:t>Some schools that ma</w:t>
      </w:r>
      <w:r w:rsidR="00D8054F">
        <w:rPr>
          <w:sz w:val="22"/>
          <w:szCs w:val="22"/>
        </w:rPr>
        <w:t>de significant gains in ELA or m</w:t>
      </w:r>
      <w:r w:rsidR="00E562C2" w:rsidRPr="00CE41AA">
        <w:rPr>
          <w:sz w:val="22"/>
          <w:szCs w:val="22"/>
        </w:rPr>
        <w:t xml:space="preserve">ath in 2010-11 saw those gains erased the following year. Similarly, some schools not making gains in 2010-11 were able to improve in 2011-12. Using the CPI achievement gap as </w:t>
      </w:r>
      <w:r w:rsidR="00696058">
        <w:rPr>
          <w:sz w:val="22"/>
          <w:szCs w:val="22"/>
        </w:rPr>
        <w:t>the standard measure for</w:t>
      </w:r>
      <w:r w:rsidR="00E562C2" w:rsidRPr="00CE41AA">
        <w:rPr>
          <w:sz w:val="22"/>
          <w:szCs w:val="22"/>
        </w:rPr>
        <w:t xml:space="preserve"> achievement gains, we identified five “gain-loss” schools that made gains in 2010-11 and then experienced declining achievement in 2011-12 (in either math or ELA) and three “loss-gain” schools that made minimal gains in 2010-11 and then experienced substantial gains in 2011-12. </w:t>
      </w:r>
    </w:p>
    <w:p w:rsidR="00E562C2" w:rsidRPr="00CE41AA" w:rsidRDefault="0011041D" w:rsidP="00CE41AA">
      <w:pPr>
        <w:spacing w:line="288" w:lineRule="auto"/>
        <w:ind w:left="180"/>
        <w:rPr>
          <w:b/>
          <w:sz w:val="22"/>
          <w:szCs w:val="22"/>
        </w:rPr>
      </w:pPr>
      <w:r w:rsidRPr="0011041D">
        <w:rPr>
          <w:noProof/>
        </w:rPr>
        <w:pict>
          <v:shape id="Text Box 24" o:spid="_x0000_s1033" type="#_x0000_t202" style="position:absolute;left:0;text-align:left;margin-left:288.45pt;margin-top:20.35pt;width:3in;height:81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" fillcolor="white [3201]" strokecolor="#4f81bd [3204]" strokeweight=".5pt">
            <v:path arrowok="t"/>
            <v:textbox>
              <w:txbxContent>
                <w:p w:rsidR="0090743D" w:rsidRPr="00D0481C" w:rsidRDefault="0090743D" w:rsidP="00D0481C">
                  <w:pPr>
                    <w:rPr>
                      <w:sz w:val="22"/>
                      <w:szCs w:val="22"/>
                    </w:rPr>
                  </w:pPr>
                  <w:r w:rsidRPr="00D0481C">
                    <w:rPr>
                      <w:sz w:val="22"/>
                      <w:szCs w:val="22"/>
                    </w:rPr>
                    <w:t xml:space="preserve">…Which suggests that driving dramatic improvement in urban high schools and middle schools may require a fundamentally different approach to school turnaround than what is currently being used in Level 4 </w:t>
                  </w:r>
                  <w:proofErr w:type="gramStart"/>
                  <w:r w:rsidRPr="00D0481C">
                    <w:rPr>
                      <w:sz w:val="22"/>
                      <w:szCs w:val="22"/>
                    </w:rPr>
                    <w:t>schools.</w:t>
                  </w:r>
                  <w:proofErr w:type="gramEnd"/>
                  <w:r w:rsidRPr="00D0481C">
                    <w:rPr>
                      <w:sz w:val="22"/>
                      <w:szCs w:val="22"/>
                    </w:rPr>
                    <w:t xml:space="preserve"> </w:t>
                  </w:r>
                </w:p>
                <w:p w:rsidR="0090743D" w:rsidRPr="00CC5A7B" w:rsidRDefault="0090743D" w:rsidP="00CC5A7B">
                  <w:pPr>
                    <w:pStyle w:val="ListParagraph"/>
                    <w:spacing w:line="288" w:lineRule="auto"/>
                    <w:ind w:left="0"/>
                    <w:contextualSpacing w:val="0"/>
                    <w:rPr>
                      <w:b/>
                      <w:sz w:val="22"/>
                      <w:szCs w:val="22"/>
                    </w:rPr>
                  </w:pPr>
                </w:p>
              </w:txbxContent>
            </v:textbox>
            <w10:wrap type="square"/>
          </v:shape>
        </w:pict>
      </w:r>
      <w:r w:rsidR="00E562C2" w:rsidRPr="00CE41AA">
        <w:rPr>
          <w:b/>
          <w:sz w:val="22"/>
          <w:szCs w:val="22"/>
        </w:rPr>
        <w:t>Middle school</w:t>
      </w:r>
      <w:r w:rsidR="00696058">
        <w:rPr>
          <w:b/>
          <w:sz w:val="22"/>
          <w:szCs w:val="22"/>
        </w:rPr>
        <w:t>s</w:t>
      </w:r>
      <w:r w:rsidR="00E562C2" w:rsidRPr="00CE41AA">
        <w:rPr>
          <w:b/>
          <w:sz w:val="22"/>
          <w:szCs w:val="22"/>
        </w:rPr>
        <w:t xml:space="preserve"> and high schools (with one exception) continue to have the most difficultly engaging in successful turnaround </w:t>
      </w:r>
      <w:r w:rsidR="00696058">
        <w:rPr>
          <w:b/>
          <w:sz w:val="22"/>
          <w:szCs w:val="22"/>
        </w:rPr>
        <w:t>as evidenced by their lack of improvement</w:t>
      </w:r>
      <w:r w:rsidR="00E562C2" w:rsidRPr="00CE41AA">
        <w:rPr>
          <w:b/>
          <w:sz w:val="22"/>
          <w:szCs w:val="22"/>
        </w:rPr>
        <w:t xml:space="preserve"> </w:t>
      </w:r>
      <w:r w:rsidR="00696058">
        <w:rPr>
          <w:b/>
          <w:sz w:val="22"/>
          <w:szCs w:val="22"/>
        </w:rPr>
        <w:t>in</w:t>
      </w:r>
      <w:r w:rsidR="00E562C2" w:rsidRPr="00CE41AA">
        <w:rPr>
          <w:b/>
          <w:sz w:val="22"/>
          <w:szCs w:val="22"/>
        </w:rPr>
        <w:t xml:space="preserve"> student achievement</w:t>
      </w:r>
      <w:r w:rsidR="00D8054F">
        <w:rPr>
          <w:sz w:val="22"/>
          <w:szCs w:val="22"/>
        </w:rPr>
        <w:t>.</w:t>
      </w:r>
      <w:r w:rsidR="00E562C2" w:rsidRPr="00CE41AA">
        <w:rPr>
          <w:sz w:val="22"/>
          <w:szCs w:val="22"/>
        </w:rPr>
        <w:t xml:space="preserve"> Of the 10 schools that are more than two-thirds, or 66% away from meeting their MAGs, 7 are middle or high schools.</w:t>
      </w:r>
      <w:r w:rsidR="00CC5A7B" w:rsidRPr="00CE41AA">
        <w:rPr>
          <w:noProof/>
          <w:sz w:val="22"/>
          <w:szCs w:val="22"/>
        </w:rPr>
        <w:t xml:space="preserve"> </w:t>
      </w:r>
      <w:r w:rsidR="00100D8C">
        <w:rPr>
          <w:noProof/>
          <w:sz w:val="22"/>
          <w:szCs w:val="22"/>
        </w:rPr>
        <w:t xml:space="preserve">In the one high school demonstrating progress, acheivement gains are evident among English Language Learners (ELLs), which is clearly important; however, little to no gains have been observed in other students in the school. </w:t>
      </w:r>
    </w:p>
    <w:p w:rsidR="00E562C2" w:rsidRPr="00CB7517" w:rsidRDefault="00E562C2" w:rsidP="00C9081C">
      <w:pPr>
        <w:rPr>
          <w:b/>
          <w:color w:val="943634" w:themeColor="accent2" w:themeShade="BF"/>
          <w:sz w:val="28"/>
          <w:szCs w:val="28"/>
        </w:rPr>
      </w:pPr>
      <w:bookmarkStart w:id="2" w:name="EmergingPractices"/>
      <w:bookmarkEnd w:id="2"/>
      <w:r w:rsidRPr="00CB7517">
        <w:rPr>
          <w:b/>
          <w:color w:val="943634" w:themeColor="accent2" w:themeShade="BF"/>
          <w:sz w:val="28"/>
          <w:szCs w:val="28"/>
        </w:rPr>
        <w:lastRenderedPageBreak/>
        <w:t>Emerging Practices for Sustained Turnaround</w:t>
      </w:r>
    </w:p>
    <w:p w:rsidR="00E562C2" w:rsidRPr="00100D8C" w:rsidRDefault="00100D8C" w:rsidP="00DD44E3">
      <w:pPr>
        <w:spacing w:before="160" w:line="288" w:lineRule="auto"/>
        <w:rPr>
          <w:b/>
          <w:color w:val="365F91" w:themeColor="accent1" w:themeShade="BF"/>
          <w:sz w:val="22"/>
          <w:szCs w:val="22"/>
        </w:rPr>
      </w:pPr>
      <w:r w:rsidRPr="00100D8C">
        <w:rPr>
          <w:b/>
          <w:color w:val="365F91" w:themeColor="accent1" w:themeShade="BF"/>
          <w:sz w:val="22"/>
          <w:szCs w:val="22"/>
        </w:rPr>
        <w:t>Significant</w:t>
      </w:r>
      <w:r w:rsidR="00E562C2" w:rsidRPr="00100D8C">
        <w:rPr>
          <w:b/>
          <w:color w:val="365F91" w:themeColor="accent1" w:themeShade="BF"/>
          <w:sz w:val="22"/>
          <w:szCs w:val="22"/>
        </w:rPr>
        <w:t xml:space="preserve"> Finding </w:t>
      </w:r>
    </w:p>
    <w:p w:rsidR="00CF79AF" w:rsidRPr="00CF79AF" w:rsidRDefault="00E562C2" w:rsidP="00CF79AF">
      <w:pPr>
        <w:spacing w:before="120" w:line="288" w:lineRule="auto"/>
        <w:rPr>
          <w:sz w:val="22"/>
          <w:szCs w:val="22"/>
        </w:rPr>
      </w:pPr>
      <w:r w:rsidRPr="00C86AEC">
        <w:rPr>
          <w:sz w:val="22"/>
          <w:szCs w:val="22"/>
        </w:rPr>
        <w:t xml:space="preserve">There remains a high degree of correlation between </w:t>
      </w:r>
      <w:r w:rsidRPr="00CB7517">
        <w:rPr>
          <w:sz w:val="22"/>
          <w:szCs w:val="22"/>
        </w:rPr>
        <w:t>the use of the key practices</w:t>
      </w:r>
      <w:r w:rsidR="00D8054F">
        <w:rPr>
          <w:sz w:val="22"/>
          <w:szCs w:val="22"/>
        </w:rPr>
        <w:t xml:space="preserve"> </w:t>
      </w:r>
      <w:r w:rsidRPr="00CB7517">
        <w:rPr>
          <w:sz w:val="22"/>
          <w:szCs w:val="22"/>
        </w:rPr>
        <w:t>identified in the 20</w:t>
      </w:r>
      <w:r w:rsidR="00CF79AF">
        <w:rPr>
          <w:sz w:val="22"/>
          <w:szCs w:val="22"/>
        </w:rPr>
        <w:t xml:space="preserve">12 </w:t>
      </w:r>
      <w:r w:rsidR="00CF79AF" w:rsidRPr="00CF79AF">
        <w:rPr>
          <w:i/>
          <w:sz w:val="22"/>
          <w:szCs w:val="22"/>
        </w:rPr>
        <w:t>Emerging Practices</w:t>
      </w:r>
      <w:r w:rsidR="00CF79AF">
        <w:rPr>
          <w:sz w:val="22"/>
          <w:szCs w:val="22"/>
        </w:rPr>
        <w:t xml:space="preserve"> report</w:t>
      </w:r>
      <w:r w:rsidRPr="00CB7517">
        <w:rPr>
          <w:sz w:val="22"/>
          <w:szCs w:val="22"/>
        </w:rPr>
        <w:t xml:space="preserve"> and a school’s achievement trajectory</w:t>
      </w:r>
      <w:r w:rsidRPr="00C86AEC">
        <w:rPr>
          <w:sz w:val="22"/>
          <w:szCs w:val="22"/>
        </w:rPr>
        <w:t xml:space="preserve">. </w:t>
      </w:r>
    </w:p>
    <w:p w:rsidR="00CF79AF" w:rsidRPr="00CF79AF" w:rsidRDefault="00CF79AF" w:rsidP="00A1256E">
      <w:pPr>
        <w:spacing w:before="240" w:after="240" w:line="288" w:lineRule="auto"/>
        <w:ind w:left="630" w:right="1116"/>
        <w:jc w:val="center"/>
        <w:rPr>
          <w:i/>
          <w:sz w:val="22"/>
          <w:szCs w:val="22"/>
        </w:rPr>
      </w:pPr>
      <w:r w:rsidRPr="00CF79AF">
        <w:rPr>
          <w:i/>
          <w:sz w:val="22"/>
          <w:szCs w:val="22"/>
        </w:rPr>
        <w:t xml:space="preserve">Achievement Gain Schools with positive movement towards meeting MAGs and closing achievement gaps are characterized by a sophisticated use of key practices while schools not on a positive achievement trajectory </w:t>
      </w:r>
      <w:r w:rsidR="00696058">
        <w:rPr>
          <w:i/>
          <w:sz w:val="22"/>
          <w:szCs w:val="22"/>
        </w:rPr>
        <w:t>are</w:t>
      </w:r>
      <w:r w:rsidRPr="00CF79AF">
        <w:rPr>
          <w:i/>
          <w:sz w:val="22"/>
          <w:szCs w:val="22"/>
        </w:rPr>
        <w:t xml:space="preserve"> lacking</w:t>
      </w:r>
      <w:r w:rsidR="00696058">
        <w:rPr>
          <w:i/>
          <w:sz w:val="22"/>
          <w:szCs w:val="22"/>
        </w:rPr>
        <w:t xml:space="preserve"> in such</w:t>
      </w:r>
      <w:r w:rsidRPr="00CF79AF">
        <w:rPr>
          <w:i/>
          <w:sz w:val="22"/>
          <w:szCs w:val="22"/>
        </w:rPr>
        <w:t xml:space="preserve"> key practices </w:t>
      </w:r>
      <w:r w:rsidR="00696058">
        <w:rPr>
          <w:i/>
          <w:sz w:val="22"/>
          <w:szCs w:val="22"/>
        </w:rPr>
        <w:t>and/</w:t>
      </w:r>
      <w:r w:rsidRPr="00CF79AF">
        <w:rPr>
          <w:i/>
          <w:sz w:val="22"/>
          <w:szCs w:val="22"/>
        </w:rPr>
        <w:t>or exhibit a general or uncoordinated use of existing structures</w:t>
      </w:r>
      <w:r w:rsidR="00696058">
        <w:rPr>
          <w:i/>
          <w:sz w:val="22"/>
          <w:szCs w:val="22"/>
        </w:rPr>
        <w:t>, resources,</w:t>
      </w:r>
      <w:r w:rsidRPr="00CF79AF">
        <w:rPr>
          <w:i/>
          <w:sz w:val="22"/>
          <w:szCs w:val="22"/>
        </w:rPr>
        <w:t xml:space="preserve"> and systems.</w:t>
      </w:r>
    </w:p>
    <w:p w:rsidR="007267FB" w:rsidRDefault="00E562C2" w:rsidP="00804AB3">
      <w:pPr>
        <w:spacing w:before="80" w:line="288" w:lineRule="auto"/>
        <w:rPr>
          <w:b/>
          <w:sz w:val="22"/>
          <w:szCs w:val="22"/>
        </w:rPr>
      </w:pPr>
      <w:r>
        <w:rPr>
          <w:sz w:val="22"/>
          <w:szCs w:val="22"/>
        </w:rPr>
        <w:t xml:space="preserve">The consistent achievement trajectory of </w:t>
      </w:r>
      <w:r w:rsidR="00CF79AF">
        <w:rPr>
          <w:sz w:val="22"/>
          <w:szCs w:val="22"/>
        </w:rPr>
        <w:t xml:space="preserve">Level 4 </w:t>
      </w:r>
      <w:r>
        <w:rPr>
          <w:sz w:val="22"/>
          <w:szCs w:val="22"/>
        </w:rPr>
        <w:t xml:space="preserve">schools </w:t>
      </w:r>
      <w:r w:rsidRPr="00CF79AF">
        <w:rPr>
          <w:sz w:val="22"/>
          <w:szCs w:val="22"/>
        </w:rPr>
        <w:t>and</w:t>
      </w:r>
      <w:r>
        <w:rPr>
          <w:sz w:val="22"/>
          <w:szCs w:val="22"/>
        </w:rPr>
        <w:t xml:space="preserve"> the corresponding use of key practices in </w:t>
      </w:r>
      <w:r w:rsidR="00100D8C">
        <w:rPr>
          <w:sz w:val="22"/>
          <w:szCs w:val="22"/>
        </w:rPr>
        <w:t xml:space="preserve">those </w:t>
      </w:r>
      <w:r>
        <w:rPr>
          <w:sz w:val="22"/>
          <w:szCs w:val="22"/>
        </w:rPr>
        <w:t xml:space="preserve">schools making and sustaining gains gives us confidence in </w:t>
      </w:r>
      <w:r w:rsidRPr="00A1256E">
        <w:rPr>
          <w:sz w:val="22"/>
          <w:szCs w:val="22"/>
        </w:rPr>
        <w:t>asserting that</w:t>
      </w:r>
      <w:r w:rsidRPr="00CB7517">
        <w:rPr>
          <w:b/>
          <w:sz w:val="22"/>
          <w:szCs w:val="22"/>
        </w:rPr>
        <w:t xml:space="preserve"> the emerging practices</w:t>
      </w:r>
      <w:r w:rsidRPr="00CB7517">
        <w:rPr>
          <w:sz w:val="22"/>
          <w:szCs w:val="22"/>
        </w:rPr>
        <w:t xml:space="preserve"> </w:t>
      </w:r>
      <w:r w:rsidRPr="00CB7517">
        <w:rPr>
          <w:b/>
          <w:sz w:val="22"/>
          <w:szCs w:val="22"/>
        </w:rPr>
        <w:t>are practices that, if continued to be implemented, will sustain achievement gains and overall turnaround efforts.</w:t>
      </w:r>
    </w:p>
    <w:p w:rsidR="00E562C2" w:rsidRPr="007267FB" w:rsidRDefault="007267FB" w:rsidP="00B1302A">
      <w:pPr>
        <w:spacing w:before="240" w:after="120" w:line="288" w:lineRule="auto"/>
        <w:rPr>
          <w:b/>
          <w:color w:val="365F91" w:themeColor="accent1" w:themeShade="BF"/>
          <w:sz w:val="22"/>
          <w:szCs w:val="22"/>
        </w:rPr>
      </w:pPr>
      <w:proofErr w:type="gramStart"/>
      <w:r w:rsidRPr="007267FB">
        <w:rPr>
          <w:b/>
          <w:color w:val="365F91" w:themeColor="accent1" w:themeShade="BF"/>
          <w:sz w:val="22"/>
          <w:szCs w:val="22"/>
        </w:rPr>
        <w:t>Display 1.</w:t>
      </w:r>
      <w:proofErr w:type="gramEnd"/>
      <w:r w:rsidRPr="007267FB">
        <w:rPr>
          <w:b/>
          <w:color w:val="365F91" w:themeColor="accent1" w:themeShade="BF"/>
          <w:sz w:val="22"/>
          <w:szCs w:val="22"/>
        </w:rPr>
        <w:t xml:space="preserve"> Emerging and Sustaining Practices Supporting Turnaround</w:t>
      </w:r>
    </w:p>
    <w:tbl>
      <w:tblPr>
        <w:tblStyle w:val="TableGrid"/>
        <w:tblW w:w="10098" w:type="dxa"/>
        <w:tblLook w:val="04A0"/>
      </w:tblPr>
      <w:tblGrid>
        <w:gridCol w:w="1728"/>
        <w:gridCol w:w="8370"/>
      </w:tblGrid>
      <w:tr w:rsidR="007267FB" w:rsidTr="0075447A">
        <w:tc>
          <w:tcPr>
            <w:tcW w:w="1728" w:type="dxa"/>
            <w:tcBorders>
              <w:top w:val="nil"/>
              <w:left w:val="nil"/>
            </w:tcBorders>
          </w:tcPr>
          <w:p w:rsidR="007267FB" w:rsidRDefault="007267FB" w:rsidP="0072431C">
            <w:pPr>
              <w:spacing w:before="160" w:after="160"/>
            </w:pPr>
          </w:p>
        </w:tc>
        <w:tc>
          <w:tcPr>
            <w:tcW w:w="8370" w:type="dxa"/>
            <w:tcBorders>
              <w:top w:val="nil"/>
              <w:right w:val="nil"/>
            </w:tcBorders>
          </w:tcPr>
          <w:p w:rsidR="007267FB" w:rsidRPr="007267FB" w:rsidRDefault="007267FB" w:rsidP="0072431C">
            <w:pPr>
              <w:spacing w:before="160" w:after="160"/>
              <w:jc w:val="center"/>
              <w:rPr>
                <w:rFonts w:ascii="Times New Roman" w:hAnsi="Times New Roman" w:cs="Times New Roman"/>
                <w:b/>
                <w:sz w:val="22"/>
                <w:szCs w:val="22"/>
              </w:rPr>
            </w:pPr>
            <w:r w:rsidRPr="007267FB">
              <w:rPr>
                <w:rFonts w:ascii="Times New Roman" w:hAnsi="Times New Roman" w:cs="Times New Roman"/>
                <w:b/>
                <w:sz w:val="22"/>
                <w:szCs w:val="22"/>
              </w:rPr>
              <w:t>Emerging and Sustaining Practices in action:</w:t>
            </w:r>
          </w:p>
        </w:tc>
      </w:tr>
      <w:tr w:rsidR="0071519E" w:rsidTr="00450C26">
        <w:tc>
          <w:tcPr>
            <w:tcW w:w="1728" w:type="dxa"/>
            <w:tcBorders>
              <w:top w:val="nil"/>
              <w:left w:val="nil"/>
            </w:tcBorders>
            <w:vAlign w:val="center"/>
          </w:tcPr>
          <w:p w:rsidR="0071519E" w:rsidRPr="0072431C" w:rsidRDefault="0071519E" w:rsidP="00450C26">
            <w:pPr>
              <w:spacing w:before="160" w:after="160"/>
              <w:rPr>
                <w:rFonts w:ascii="Times New Roman" w:hAnsi="Times New Roman" w:cs="Times New Roman"/>
                <w:sz w:val="22"/>
                <w:szCs w:val="22"/>
              </w:rPr>
            </w:pPr>
            <w:r w:rsidRPr="0072431C">
              <w:rPr>
                <w:rFonts w:ascii="Times New Roman" w:hAnsi="Times New Roman" w:cs="Times New Roman"/>
                <w:sz w:val="22"/>
                <w:szCs w:val="22"/>
              </w:rPr>
              <w:t>Leadership and culture that enables Turnaround</w:t>
            </w:r>
          </w:p>
        </w:tc>
        <w:tc>
          <w:tcPr>
            <w:tcW w:w="8370" w:type="dxa"/>
            <w:tcBorders>
              <w:top w:val="nil"/>
              <w:right w:val="nil"/>
            </w:tcBorders>
          </w:tcPr>
          <w:p w:rsidR="0071519E" w:rsidRPr="0072431C" w:rsidRDefault="0071519E" w:rsidP="00450C26">
            <w:pPr>
              <w:pStyle w:val="ListParagraph"/>
              <w:spacing w:before="160" w:after="160"/>
              <w:ind w:left="0"/>
              <w:contextualSpacing w:val="0"/>
              <w:rPr>
                <w:rFonts w:ascii="Times New Roman" w:hAnsi="Times New Roman" w:cs="Times New Roman"/>
                <w:b/>
                <w:sz w:val="22"/>
                <w:szCs w:val="22"/>
              </w:rPr>
            </w:pPr>
            <w:r w:rsidRPr="0072431C">
              <w:rPr>
                <w:rFonts w:ascii="Times New Roman" w:hAnsi="Times New Roman" w:cs="Times New Roman"/>
                <w:b/>
                <w:sz w:val="22"/>
                <w:szCs w:val="22"/>
              </w:rPr>
              <w:t xml:space="preserve">Building a Community of Practice </w:t>
            </w:r>
            <w:r>
              <w:rPr>
                <w:rFonts w:ascii="Times New Roman" w:hAnsi="Times New Roman" w:cs="Times New Roman"/>
                <w:b/>
                <w:sz w:val="22"/>
                <w:szCs w:val="22"/>
              </w:rPr>
              <w:t>through leadership, shared responsibility, and professional c</w:t>
            </w:r>
            <w:r w:rsidRPr="0072431C">
              <w:rPr>
                <w:rFonts w:ascii="Times New Roman" w:hAnsi="Times New Roman" w:cs="Times New Roman"/>
                <w:b/>
                <w:sz w:val="22"/>
                <w:szCs w:val="22"/>
              </w:rPr>
              <w:t>ollaboration</w:t>
            </w:r>
          </w:p>
          <w:p w:rsidR="0071519E" w:rsidRPr="0072431C" w:rsidRDefault="0071519E" w:rsidP="00450C26">
            <w:pPr>
              <w:pStyle w:val="ListParagraph"/>
              <w:spacing w:before="160" w:after="160"/>
              <w:ind w:left="0"/>
              <w:contextualSpacing w:val="0"/>
              <w:rPr>
                <w:rFonts w:ascii="Times New Roman" w:hAnsi="Times New Roman" w:cs="Times New Roman"/>
                <w:sz w:val="22"/>
                <w:szCs w:val="22"/>
              </w:rPr>
            </w:pPr>
            <w:r w:rsidRPr="0072431C">
              <w:rPr>
                <w:rFonts w:ascii="Times New Roman" w:hAnsi="Times New Roman" w:cs="Times New Roman"/>
                <w:sz w:val="22"/>
                <w:szCs w:val="22"/>
              </w:rPr>
              <w:t>School</w:t>
            </w:r>
            <w:r w:rsidRPr="0072431C">
              <w:rPr>
                <w:rFonts w:ascii="Times New Roman" w:hAnsi="Times New Roman" w:cs="Times New Roman"/>
                <w:color w:val="000000"/>
                <w:sz w:val="22"/>
                <w:szCs w:val="22"/>
              </w:rPr>
              <w:t xml:space="preserve"> leaders and professional staff (e.g., teachers, coaches, and interventionists) have </w:t>
            </w:r>
            <w:r>
              <w:rPr>
                <w:rFonts w:ascii="Times New Roman" w:hAnsi="Times New Roman" w:cs="Times New Roman"/>
                <w:color w:val="000000"/>
                <w:sz w:val="22"/>
                <w:szCs w:val="22"/>
              </w:rPr>
              <w:t>embraced</w:t>
            </w:r>
            <w:r w:rsidRPr="0072431C">
              <w:rPr>
                <w:rFonts w:ascii="Times New Roman" w:hAnsi="Times New Roman" w:cs="Times New Roman"/>
                <w:color w:val="000000"/>
                <w:sz w:val="22"/>
                <w:szCs w:val="22"/>
              </w:rPr>
              <w:t xml:space="preserve"> collective responsibility and ownership of the pursuit of greater student achievement. A strong leader and a proactive leadership team intentionally foster collective responsibility by mobilizing structures, strategies, practices and the use of resources for the ongoing evaluation and improvement of instruction.</w:t>
            </w:r>
          </w:p>
        </w:tc>
      </w:tr>
      <w:tr w:rsidR="0071519E" w:rsidTr="0075447A">
        <w:tc>
          <w:tcPr>
            <w:tcW w:w="1728" w:type="dxa"/>
            <w:tcBorders>
              <w:left w:val="nil"/>
            </w:tcBorders>
            <w:vAlign w:val="center"/>
          </w:tcPr>
          <w:p w:rsidR="0071519E" w:rsidRPr="0072431C" w:rsidRDefault="0071519E" w:rsidP="0072431C">
            <w:pPr>
              <w:spacing w:before="160" w:after="160"/>
              <w:rPr>
                <w:rFonts w:ascii="Times New Roman" w:hAnsi="Times New Roman" w:cs="Times New Roman"/>
                <w:sz w:val="22"/>
                <w:szCs w:val="22"/>
              </w:rPr>
            </w:pPr>
            <w:r>
              <w:rPr>
                <w:rFonts w:ascii="Times New Roman" w:hAnsi="Times New Roman" w:cs="Times New Roman"/>
                <w:sz w:val="22"/>
                <w:szCs w:val="22"/>
              </w:rPr>
              <w:t>Providing data-</w:t>
            </w:r>
            <w:r w:rsidRPr="0072431C">
              <w:rPr>
                <w:rFonts w:ascii="Times New Roman" w:hAnsi="Times New Roman" w:cs="Times New Roman"/>
                <w:sz w:val="22"/>
                <w:szCs w:val="22"/>
              </w:rPr>
              <w:t>driven tiered instruction for all students</w:t>
            </w:r>
          </w:p>
        </w:tc>
        <w:tc>
          <w:tcPr>
            <w:tcW w:w="8370" w:type="dxa"/>
            <w:tcBorders>
              <w:right w:val="nil"/>
            </w:tcBorders>
          </w:tcPr>
          <w:p w:rsidR="0071519E" w:rsidRPr="0072431C" w:rsidRDefault="0071519E" w:rsidP="0072431C">
            <w:pPr>
              <w:spacing w:before="160" w:after="160"/>
              <w:rPr>
                <w:rFonts w:ascii="Times New Roman" w:hAnsi="Times New Roman" w:cs="Times New Roman"/>
                <w:sz w:val="22"/>
                <w:szCs w:val="22"/>
              </w:rPr>
            </w:pPr>
            <w:r>
              <w:rPr>
                <w:rFonts w:ascii="Times New Roman" w:hAnsi="Times New Roman" w:cs="Times New Roman"/>
                <w:b/>
                <w:sz w:val="22"/>
                <w:szCs w:val="22"/>
              </w:rPr>
              <w:t>Providing student-specific supports and interventions informed by d</w:t>
            </w:r>
            <w:r w:rsidRPr="0072431C">
              <w:rPr>
                <w:rFonts w:ascii="Times New Roman" w:hAnsi="Times New Roman" w:cs="Times New Roman"/>
                <w:b/>
                <w:sz w:val="22"/>
                <w:szCs w:val="22"/>
              </w:rPr>
              <w:t xml:space="preserve">ata and </w:t>
            </w:r>
            <w:r>
              <w:rPr>
                <w:rFonts w:ascii="Times New Roman" w:hAnsi="Times New Roman" w:cs="Times New Roman"/>
                <w:b/>
                <w:sz w:val="22"/>
                <w:szCs w:val="22"/>
              </w:rPr>
              <w:t>the identification of student-specific n</w:t>
            </w:r>
            <w:r w:rsidRPr="0072431C">
              <w:rPr>
                <w:rFonts w:ascii="Times New Roman" w:hAnsi="Times New Roman" w:cs="Times New Roman"/>
                <w:b/>
                <w:sz w:val="22"/>
                <w:szCs w:val="22"/>
              </w:rPr>
              <w:t>eeds</w:t>
            </w:r>
          </w:p>
          <w:p w:rsidR="0071519E" w:rsidRPr="0072431C" w:rsidRDefault="0071519E" w:rsidP="0072431C">
            <w:pPr>
              <w:spacing w:before="160" w:after="160"/>
              <w:rPr>
                <w:rFonts w:ascii="Times New Roman" w:hAnsi="Times New Roman" w:cs="Times New Roman"/>
                <w:sz w:val="22"/>
                <w:szCs w:val="22"/>
              </w:rPr>
            </w:pPr>
            <w:r w:rsidRPr="0072431C">
              <w:rPr>
                <w:rFonts w:ascii="Times New Roman" w:hAnsi="Times New Roman" w:cs="Times New Roman"/>
                <w:sz w:val="22"/>
                <w:szCs w:val="22"/>
              </w:rPr>
              <w:t>L</w:t>
            </w:r>
            <w:r>
              <w:rPr>
                <w:rFonts w:ascii="Times New Roman" w:hAnsi="Times New Roman" w:cs="Times New Roman"/>
                <w:sz w:val="22"/>
                <w:szCs w:val="22"/>
              </w:rPr>
              <w:t>eadership, teachers, and coache</w:t>
            </w:r>
            <w:r w:rsidRPr="0072431C">
              <w:rPr>
                <w:rFonts w:ascii="Times New Roman" w:hAnsi="Times New Roman" w:cs="Times New Roman"/>
                <w:sz w:val="22"/>
                <w:szCs w:val="22"/>
              </w:rPr>
              <w:t>s are</w:t>
            </w:r>
            <w:r w:rsidRPr="0072431C">
              <w:rPr>
                <w:rFonts w:ascii="Times New Roman" w:hAnsi="Times New Roman" w:cs="Times New Roman"/>
                <w:color w:val="000000"/>
                <w:sz w:val="22"/>
                <w:szCs w:val="22"/>
              </w:rPr>
              <w:t xml:space="preserve"> rigorously using a well-orchestrated system of ongoing data collection and analysis to inform a continuously responsive and adaptive system of tiered instruction attentive to students’ specific academic needs.</w:t>
            </w:r>
          </w:p>
        </w:tc>
      </w:tr>
      <w:tr w:rsidR="0071519E" w:rsidTr="0075447A">
        <w:tc>
          <w:tcPr>
            <w:tcW w:w="1728" w:type="dxa"/>
            <w:tcBorders>
              <w:left w:val="nil"/>
            </w:tcBorders>
            <w:vAlign w:val="center"/>
          </w:tcPr>
          <w:p w:rsidR="0071519E" w:rsidRPr="0072431C" w:rsidRDefault="0071519E" w:rsidP="0072431C">
            <w:pPr>
              <w:spacing w:before="160" w:after="160"/>
              <w:rPr>
                <w:rFonts w:ascii="Times New Roman" w:hAnsi="Times New Roman" w:cs="Times New Roman"/>
                <w:sz w:val="22"/>
                <w:szCs w:val="22"/>
              </w:rPr>
            </w:pPr>
            <w:r w:rsidRPr="0072431C">
              <w:rPr>
                <w:rFonts w:ascii="Times New Roman" w:hAnsi="Times New Roman" w:cs="Times New Roman"/>
                <w:sz w:val="22"/>
                <w:szCs w:val="22"/>
              </w:rPr>
              <w:t>Improving instruction and interventions through teacher- and student-specific data</w:t>
            </w:r>
          </w:p>
        </w:tc>
        <w:tc>
          <w:tcPr>
            <w:tcW w:w="8370" w:type="dxa"/>
            <w:tcBorders>
              <w:right w:val="nil"/>
            </w:tcBorders>
          </w:tcPr>
          <w:p w:rsidR="0071519E" w:rsidRPr="0072431C" w:rsidRDefault="0071519E" w:rsidP="0072431C">
            <w:pPr>
              <w:pStyle w:val="ListParagraph"/>
              <w:tabs>
                <w:tab w:val="left" w:pos="0"/>
              </w:tabs>
              <w:spacing w:before="160" w:after="160"/>
              <w:ind w:left="0"/>
              <w:contextualSpacing w:val="0"/>
              <w:rPr>
                <w:rFonts w:ascii="Times New Roman" w:hAnsi="Times New Roman" w:cs="Times New Roman"/>
                <w:b/>
                <w:sz w:val="22"/>
                <w:szCs w:val="22"/>
              </w:rPr>
            </w:pPr>
            <w:r>
              <w:rPr>
                <w:rFonts w:ascii="Times New Roman" w:hAnsi="Times New Roman" w:cs="Times New Roman"/>
                <w:b/>
                <w:sz w:val="22"/>
                <w:szCs w:val="22"/>
              </w:rPr>
              <w:t>Employing intentional practices for improving teacher-specific and student-responsive i</w:t>
            </w:r>
            <w:r w:rsidRPr="0072431C">
              <w:rPr>
                <w:rFonts w:ascii="Times New Roman" w:hAnsi="Times New Roman" w:cs="Times New Roman"/>
                <w:b/>
                <w:sz w:val="22"/>
                <w:szCs w:val="22"/>
              </w:rPr>
              <w:t>nstruction</w:t>
            </w:r>
          </w:p>
          <w:p w:rsidR="0071519E" w:rsidRPr="0072431C" w:rsidRDefault="0071519E" w:rsidP="0072431C">
            <w:pPr>
              <w:pStyle w:val="ListParagraph"/>
              <w:tabs>
                <w:tab w:val="left" w:pos="0"/>
              </w:tabs>
              <w:spacing w:before="160" w:after="160"/>
              <w:ind w:left="0"/>
              <w:contextualSpacing w:val="0"/>
              <w:rPr>
                <w:rFonts w:ascii="Times New Roman" w:hAnsi="Times New Roman" w:cs="Times New Roman"/>
                <w:sz w:val="22"/>
                <w:szCs w:val="22"/>
              </w:rPr>
            </w:pPr>
            <w:r w:rsidRPr="0072431C">
              <w:rPr>
                <w:rFonts w:ascii="Times New Roman" w:hAnsi="Times New Roman" w:cs="Times New Roman"/>
                <w:sz w:val="22"/>
                <w:szCs w:val="22"/>
              </w:rPr>
              <w:t xml:space="preserve">School </w:t>
            </w:r>
            <w:r w:rsidRPr="0072431C">
              <w:rPr>
                <w:rFonts w:ascii="Times New Roman" w:hAnsi="Times New Roman" w:cs="Times New Roman"/>
                <w:color w:val="000000"/>
                <w:sz w:val="22"/>
                <w:szCs w:val="22"/>
              </w:rPr>
              <w:t>leadership, teachers, and coaches are refining their use of student- and skill-specific data to inform the evaluation and pursuit of instructional practices—as used across the school and by individual teachers—that directly benefit student learning.  Continued “instruction-specific conversations” are taking place throughout the school through practices intentionally designed to focus conversations and efforts on improving the instruction of every teacher.</w:t>
            </w:r>
          </w:p>
        </w:tc>
      </w:tr>
      <w:tr w:rsidR="0071519E" w:rsidTr="00B1302A">
        <w:tc>
          <w:tcPr>
            <w:tcW w:w="10098" w:type="dxa"/>
            <w:gridSpan w:val="2"/>
            <w:tcBorders>
              <w:left w:val="nil"/>
              <w:right w:val="nil"/>
            </w:tcBorders>
            <w:vAlign w:val="center"/>
          </w:tcPr>
          <w:p w:rsidR="0071519E" w:rsidRPr="0072431C" w:rsidRDefault="0071519E" w:rsidP="0072431C">
            <w:pPr>
              <w:pStyle w:val="ListParagraph"/>
              <w:spacing w:before="160" w:after="160"/>
              <w:ind w:left="0"/>
              <w:contextualSpacing w:val="0"/>
              <w:jc w:val="center"/>
              <w:rPr>
                <w:rFonts w:ascii="Times New Roman" w:hAnsi="Times New Roman" w:cs="Times New Roman"/>
                <w:b/>
                <w:sz w:val="22"/>
                <w:szCs w:val="22"/>
              </w:rPr>
            </w:pPr>
            <w:r w:rsidRPr="0072431C">
              <w:rPr>
                <w:rFonts w:ascii="Times New Roman" w:hAnsi="Times New Roman" w:cs="Times New Roman"/>
                <w:b/>
                <w:sz w:val="22"/>
                <w:szCs w:val="22"/>
              </w:rPr>
              <w:t>Founded upon a safe, orderly, and respectful environment for students and teachers</w:t>
            </w:r>
          </w:p>
        </w:tc>
      </w:tr>
    </w:tbl>
    <w:p w:rsidR="007267FB" w:rsidRDefault="007267FB"/>
    <w:p w:rsidR="00C9081C" w:rsidRDefault="00C9081C">
      <w:pPr>
        <w:rPr>
          <w:rFonts w:eastAsia="Times New Roman"/>
          <w:b/>
          <w:color w:val="365F91" w:themeColor="accent1" w:themeShade="BF"/>
          <w:sz w:val="22"/>
          <w:szCs w:val="22"/>
        </w:rPr>
      </w:pPr>
      <w:r>
        <w:rPr>
          <w:rFonts w:eastAsia="Times New Roman"/>
          <w:b/>
          <w:color w:val="365F91" w:themeColor="accent1" w:themeShade="BF"/>
          <w:sz w:val="22"/>
          <w:szCs w:val="22"/>
        </w:rPr>
        <w:br w:type="page"/>
      </w:r>
    </w:p>
    <w:p w:rsidR="00C367D5" w:rsidRPr="00100D8C" w:rsidRDefault="00C367D5" w:rsidP="00C367D5">
      <w:pPr>
        <w:shd w:val="clear" w:color="auto" w:fill="FFFFFF"/>
        <w:spacing w:line="288" w:lineRule="auto"/>
        <w:rPr>
          <w:rFonts w:eastAsia="Times New Roman"/>
          <w:b/>
          <w:color w:val="365F91" w:themeColor="accent1" w:themeShade="BF"/>
          <w:sz w:val="22"/>
          <w:szCs w:val="22"/>
        </w:rPr>
      </w:pPr>
      <w:r w:rsidRPr="00100D8C">
        <w:rPr>
          <w:rFonts w:eastAsia="Times New Roman"/>
          <w:b/>
          <w:color w:val="365F91" w:themeColor="accent1" w:themeShade="BF"/>
          <w:sz w:val="22"/>
          <w:szCs w:val="22"/>
        </w:rPr>
        <w:lastRenderedPageBreak/>
        <w:t xml:space="preserve">Sustaining Turnaround: </w:t>
      </w:r>
      <w:r w:rsidR="00603A54">
        <w:rPr>
          <w:rFonts w:eastAsia="Times New Roman"/>
          <w:b/>
          <w:color w:val="365F91" w:themeColor="accent1" w:themeShade="BF"/>
          <w:sz w:val="22"/>
          <w:szCs w:val="22"/>
        </w:rPr>
        <w:t>What are we learning?</w:t>
      </w:r>
    </w:p>
    <w:p w:rsidR="00804AB3" w:rsidRPr="00CE6124" w:rsidRDefault="00062E2B" w:rsidP="00C9081C">
      <w:pPr>
        <w:shd w:val="clear" w:color="auto" w:fill="FFFFFF"/>
        <w:spacing w:before="120" w:line="288" w:lineRule="auto"/>
        <w:rPr>
          <w:rFonts w:eastAsia="Times New Roman"/>
          <w:color w:val="222222"/>
          <w:sz w:val="22"/>
          <w:szCs w:val="22"/>
        </w:rPr>
      </w:pPr>
      <w:r>
        <w:rPr>
          <w:rFonts w:eastAsia="Times New Roman"/>
          <w:color w:val="222222"/>
          <w:sz w:val="22"/>
          <w:szCs w:val="22"/>
        </w:rPr>
        <w:t xml:space="preserve">A </w:t>
      </w:r>
      <w:r w:rsidR="00804AB3" w:rsidRPr="00CE6124">
        <w:rPr>
          <w:rFonts w:eastAsia="Times New Roman"/>
          <w:color w:val="222222"/>
          <w:sz w:val="22"/>
          <w:szCs w:val="22"/>
        </w:rPr>
        <w:t xml:space="preserve">safe, orderly, and respectful school environment for both students and teachers in the building </w:t>
      </w:r>
      <w:r>
        <w:rPr>
          <w:rFonts w:eastAsia="Times New Roman"/>
          <w:color w:val="222222"/>
          <w:sz w:val="22"/>
          <w:szCs w:val="22"/>
        </w:rPr>
        <w:t xml:space="preserve">is a crucial and foundational first step for a successful turnaround. Schools that have not developed a positive school climate are not having success. Next, </w:t>
      </w:r>
      <w:r w:rsidR="00BB7FE3">
        <w:rPr>
          <w:rFonts w:eastAsia="Times New Roman"/>
          <w:color w:val="222222"/>
          <w:sz w:val="22"/>
          <w:szCs w:val="22"/>
        </w:rPr>
        <w:t>turnaround</w:t>
      </w:r>
      <w:r>
        <w:rPr>
          <w:rFonts w:eastAsia="Times New Roman"/>
          <w:color w:val="222222"/>
          <w:sz w:val="22"/>
          <w:szCs w:val="22"/>
        </w:rPr>
        <w:t xml:space="preserve"> schools have cultivated </w:t>
      </w:r>
      <w:r w:rsidR="00804AB3" w:rsidRPr="00CE6124">
        <w:rPr>
          <w:rFonts w:eastAsia="Times New Roman"/>
          <w:color w:val="222222"/>
          <w:sz w:val="22"/>
          <w:szCs w:val="22"/>
        </w:rPr>
        <w:t>a high-functioning community of</w:t>
      </w:r>
      <w:r w:rsidR="00C367D5">
        <w:rPr>
          <w:rFonts w:eastAsia="Times New Roman"/>
          <w:color w:val="222222"/>
          <w:sz w:val="22"/>
          <w:szCs w:val="22"/>
        </w:rPr>
        <w:t xml:space="preserve"> practice, </w:t>
      </w:r>
      <w:r w:rsidR="00804AB3" w:rsidRPr="00CE6124">
        <w:rPr>
          <w:rFonts w:eastAsia="Times New Roman"/>
          <w:color w:val="222222"/>
          <w:sz w:val="22"/>
          <w:szCs w:val="22"/>
        </w:rPr>
        <w:t xml:space="preserve">with good, </w:t>
      </w:r>
      <w:r w:rsidR="00696058">
        <w:rPr>
          <w:rFonts w:eastAsia="Times New Roman"/>
          <w:color w:val="222222"/>
          <w:sz w:val="22"/>
          <w:szCs w:val="22"/>
        </w:rPr>
        <w:t>effective</w:t>
      </w:r>
      <w:r w:rsidR="00804AB3" w:rsidRPr="00CE6124">
        <w:rPr>
          <w:rFonts w:eastAsia="Times New Roman"/>
          <w:color w:val="222222"/>
          <w:sz w:val="22"/>
          <w:szCs w:val="22"/>
        </w:rPr>
        <w:t xml:space="preserve"> leadership and structures and practic</w:t>
      </w:r>
      <w:r w:rsidR="00765680">
        <w:rPr>
          <w:rFonts w:eastAsia="Times New Roman"/>
          <w:color w:val="222222"/>
          <w:sz w:val="22"/>
          <w:szCs w:val="22"/>
        </w:rPr>
        <w:t xml:space="preserve">es </w:t>
      </w:r>
      <w:r w:rsidR="00C367D5">
        <w:rPr>
          <w:rFonts w:eastAsia="Times New Roman"/>
          <w:color w:val="222222"/>
          <w:sz w:val="22"/>
          <w:szCs w:val="22"/>
        </w:rPr>
        <w:t>that drive improvements in</w:t>
      </w:r>
      <w:r w:rsidR="00696058">
        <w:rPr>
          <w:rFonts w:eastAsia="Times New Roman"/>
          <w:color w:val="222222"/>
          <w:sz w:val="22"/>
          <w:szCs w:val="22"/>
        </w:rPr>
        <w:t xml:space="preserve"> the delivery of</w:t>
      </w:r>
      <w:r w:rsidR="00C367D5">
        <w:rPr>
          <w:rFonts w:eastAsia="Times New Roman"/>
          <w:color w:val="222222"/>
          <w:sz w:val="22"/>
          <w:szCs w:val="22"/>
        </w:rPr>
        <w:t xml:space="preserve"> instruction.</w:t>
      </w:r>
      <w:r w:rsidR="00C367D5" w:rsidRPr="00CE6124">
        <w:rPr>
          <w:rFonts w:eastAsia="Times New Roman"/>
          <w:color w:val="222222"/>
          <w:sz w:val="22"/>
          <w:szCs w:val="22"/>
        </w:rPr>
        <w:t xml:space="preserve"> </w:t>
      </w:r>
      <w:r w:rsidR="00C367D5">
        <w:rPr>
          <w:rFonts w:eastAsia="Times New Roman"/>
          <w:color w:val="222222"/>
          <w:sz w:val="22"/>
          <w:szCs w:val="22"/>
        </w:rPr>
        <w:t xml:space="preserve">Building upon </w:t>
      </w:r>
      <w:r w:rsidR="00A9676C">
        <w:rPr>
          <w:rFonts w:eastAsia="Times New Roman"/>
          <w:color w:val="222222"/>
          <w:sz w:val="22"/>
          <w:szCs w:val="22"/>
        </w:rPr>
        <w:t xml:space="preserve">a positive culture of </w:t>
      </w:r>
      <w:r w:rsidR="00C367D5">
        <w:rPr>
          <w:rFonts w:eastAsia="Times New Roman"/>
          <w:color w:val="222222"/>
          <w:sz w:val="22"/>
          <w:szCs w:val="22"/>
        </w:rPr>
        <w:t xml:space="preserve">trust and respect, successful turnaround schools refine how they manage the instructional core by actively monitoring and providing </w:t>
      </w:r>
      <w:r w:rsidR="00804AB3" w:rsidRPr="00CE6124">
        <w:rPr>
          <w:rFonts w:eastAsia="Times New Roman"/>
          <w:color w:val="222222"/>
          <w:sz w:val="22"/>
          <w:szCs w:val="22"/>
        </w:rPr>
        <w:t xml:space="preserve">teachers the feedback they need to improve their practice and provide </w:t>
      </w:r>
      <w:r w:rsidR="009663CA">
        <w:rPr>
          <w:rFonts w:eastAsia="Times New Roman"/>
          <w:color w:val="222222"/>
          <w:sz w:val="22"/>
          <w:szCs w:val="22"/>
        </w:rPr>
        <w:t>quality instruction to all students</w:t>
      </w:r>
      <w:r w:rsidR="00927F1A">
        <w:rPr>
          <w:rFonts w:eastAsia="Times New Roman"/>
          <w:color w:val="222222"/>
          <w:sz w:val="22"/>
          <w:szCs w:val="22"/>
        </w:rPr>
        <w:t xml:space="preserve">; </w:t>
      </w:r>
      <w:r w:rsidR="00696058">
        <w:rPr>
          <w:rFonts w:eastAsia="Times New Roman"/>
          <w:color w:val="222222"/>
          <w:sz w:val="22"/>
          <w:szCs w:val="22"/>
        </w:rPr>
        <w:t xml:space="preserve">in short, </w:t>
      </w:r>
      <w:r w:rsidR="00927F1A">
        <w:rPr>
          <w:rFonts w:eastAsia="Times New Roman"/>
          <w:color w:val="222222"/>
          <w:sz w:val="22"/>
          <w:szCs w:val="22"/>
        </w:rPr>
        <w:t xml:space="preserve">they have a tiered system </w:t>
      </w:r>
      <w:r w:rsidR="00696058">
        <w:rPr>
          <w:rFonts w:eastAsia="Times New Roman"/>
          <w:color w:val="222222"/>
          <w:sz w:val="22"/>
          <w:szCs w:val="22"/>
        </w:rPr>
        <w:t xml:space="preserve">of support </w:t>
      </w:r>
      <w:r w:rsidR="00927F1A">
        <w:rPr>
          <w:rFonts w:eastAsia="Times New Roman"/>
          <w:color w:val="222222"/>
          <w:sz w:val="22"/>
          <w:szCs w:val="22"/>
        </w:rPr>
        <w:t>for</w:t>
      </w:r>
      <w:r w:rsidR="00696058">
        <w:rPr>
          <w:rFonts w:eastAsia="Times New Roman"/>
          <w:color w:val="222222"/>
          <w:sz w:val="22"/>
          <w:szCs w:val="22"/>
        </w:rPr>
        <w:t xml:space="preserve"> improving teacher</w:t>
      </w:r>
      <w:r w:rsidR="00C367D5">
        <w:rPr>
          <w:rFonts w:eastAsia="Times New Roman"/>
          <w:color w:val="222222"/>
          <w:sz w:val="22"/>
          <w:szCs w:val="22"/>
        </w:rPr>
        <w:t xml:space="preserve"> instruction. </w:t>
      </w:r>
      <w:r w:rsidR="00804AB3" w:rsidRPr="00CE6124">
        <w:rPr>
          <w:rFonts w:eastAsia="Times New Roman"/>
          <w:color w:val="222222"/>
          <w:sz w:val="22"/>
          <w:szCs w:val="22"/>
        </w:rPr>
        <w:t> </w:t>
      </w:r>
      <w:r w:rsidR="00C367D5">
        <w:rPr>
          <w:rFonts w:eastAsia="Times New Roman"/>
          <w:color w:val="222222"/>
          <w:sz w:val="22"/>
          <w:szCs w:val="22"/>
        </w:rPr>
        <w:t>Finally, successful turnarounds employ a</w:t>
      </w:r>
      <w:r w:rsidR="00804AB3" w:rsidRPr="00CE6124">
        <w:rPr>
          <w:rFonts w:eastAsia="Times New Roman"/>
          <w:color w:val="222222"/>
          <w:sz w:val="22"/>
          <w:szCs w:val="22"/>
        </w:rPr>
        <w:t xml:space="preserve">n effective and robust </w:t>
      </w:r>
      <w:r w:rsidR="00C367D5">
        <w:rPr>
          <w:rFonts w:eastAsia="Times New Roman"/>
          <w:color w:val="222222"/>
          <w:sz w:val="22"/>
          <w:szCs w:val="22"/>
        </w:rPr>
        <w:t xml:space="preserve">tiered system of </w:t>
      </w:r>
      <w:r w:rsidR="009663CA">
        <w:rPr>
          <w:rFonts w:eastAsia="Times New Roman"/>
          <w:color w:val="222222"/>
          <w:sz w:val="22"/>
          <w:szCs w:val="22"/>
        </w:rPr>
        <w:t xml:space="preserve">instructional </w:t>
      </w:r>
      <w:r w:rsidR="00C367D5">
        <w:rPr>
          <w:rFonts w:eastAsia="Times New Roman"/>
          <w:color w:val="222222"/>
          <w:sz w:val="22"/>
          <w:szCs w:val="22"/>
        </w:rPr>
        <w:t xml:space="preserve">support </w:t>
      </w:r>
      <w:r w:rsidR="00927F1A">
        <w:rPr>
          <w:rFonts w:eastAsia="Times New Roman"/>
          <w:color w:val="222222"/>
          <w:sz w:val="22"/>
          <w:szCs w:val="22"/>
        </w:rPr>
        <w:t>that ensure</w:t>
      </w:r>
      <w:r w:rsidR="009663CA">
        <w:rPr>
          <w:rFonts w:eastAsia="Times New Roman"/>
          <w:color w:val="222222"/>
          <w:sz w:val="22"/>
          <w:szCs w:val="22"/>
        </w:rPr>
        <w:t>s</w:t>
      </w:r>
      <w:r w:rsidR="00C367D5">
        <w:rPr>
          <w:rFonts w:eastAsia="Times New Roman"/>
          <w:color w:val="222222"/>
          <w:sz w:val="22"/>
          <w:szCs w:val="22"/>
        </w:rPr>
        <w:t xml:space="preserve"> that each student receives the academic and social supports needed to accelerate improvement. </w:t>
      </w:r>
    </w:p>
    <w:p w:rsidR="00F03B67" w:rsidRDefault="00F03B67" w:rsidP="00E562C2">
      <w:pPr>
        <w:spacing w:line="288" w:lineRule="auto"/>
        <w:rPr>
          <w:b/>
          <w:color w:val="365F91" w:themeColor="accent1" w:themeShade="BF"/>
          <w:sz w:val="22"/>
          <w:szCs w:val="22"/>
        </w:rPr>
        <w:sectPr w:rsidR="00F03B67" w:rsidSect="00A1256E">
          <w:type w:val="continuous"/>
          <w:pgSz w:w="12240" w:h="15840"/>
          <w:pgMar w:top="1440" w:right="1152" w:bottom="1152" w:left="1152" w:header="720" w:footer="720" w:gutter="0"/>
          <w:cols w:space="720"/>
        </w:sectPr>
      </w:pPr>
    </w:p>
    <w:p w:rsidR="00B1302A" w:rsidRDefault="00B1302A" w:rsidP="00E562C2">
      <w:pPr>
        <w:spacing w:line="288" w:lineRule="auto"/>
        <w:rPr>
          <w:b/>
          <w:color w:val="365F91" w:themeColor="accent1" w:themeShade="BF"/>
          <w:sz w:val="22"/>
          <w:szCs w:val="22"/>
        </w:rPr>
      </w:pPr>
    </w:p>
    <w:p w:rsidR="00E562C2" w:rsidRPr="00927F1A" w:rsidRDefault="00E562C2" w:rsidP="00E562C2">
      <w:pPr>
        <w:spacing w:line="288" w:lineRule="auto"/>
        <w:rPr>
          <w:b/>
          <w:color w:val="365F91" w:themeColor="accent1" w:themeShade="BF"/>
          <w:sz w:val="22"/>
          <w:szCs w:val="22"/>
        </w:rPr>
      </w:pPr>
      <w:r w:rsidRPr="00927F1A">
        <w:rPr>
          <w:b/>
          <w:color w:val="365F91" w:themeColor="accent1" w:themeShade="BF"/>
          <w:sz w:val="22"/>
          <w:szCs w:val="22"/>
        </w:rPr>
        <w:t xml:space="preserve">What is making the difference in schools able to make and sustain achievement gains over two years? </w:t>
      </w:r>
    </w:p>
    <w:p w:rsidR="00E562C2" w:rsidRDefault="00E562C2" w:rsidP="00927F1A">
      <w:pPr>
        <w:spacing w:before="120" w:line="288" w:lineRule="auto"/>
        <w:rPr>
          <w:sz w:val="22"/>
          <w:szCs w:val="22"/>
        </w:rPr>
      </w:pPr>
      <w:r>
        <w:rPr>
          <w:sz w:val="22"/>
          <w:szCs w:val="22"/>
        </w:rPr>
        <w:t>The sustaining practices, as outlined above and described in the following pages, provide an evidence-based set of practices that characterize what is happening in Achievement Gain schools. Digging deeper into the data, we asked: what is really important—</w:t>
      </w:r>
      <w:r w:rsidR="00927F1A">
        <w:rPr>
          <w:sz w:val="22"/>
          <w:szCs w:val="22"/>
        </w:rPr>
        <w:t xml:space="preserve">what are </w:t>
      </w:r>
      <w:r>
        <w:rPr>
          <w:sz w:val="22"/>
          <w:szCs w:val="22"/>
        </w:rPr>
        <w:t xml:space="preserve">the essential ingredients—that are driving Achievement Gain schools to have the success they are showing to date? </w:t>
      </w:r>
    </w:p>
    <w:p w:rsidR="00E562C2" w:rsidRPr="00D17264" w:rsidRDefault="00E562C2" w:rsidP="00E562C2">
      <w:pPr>
        <w:spacing w:line="288" w:lineRule="auto"/>
        <w:rPr>
          <w:sz w:val="22"/>
          <w:szCs w:val="22"/>
        </w:rPr>
      </w:pPr>
    </w:p>
    <w:p w:rsidR="00E562C2" w:rsidRPr="00AA4DE6" w:rsidRDefault="00927F1A" w:rsidP="009D77D7">
      <w:pPr>
        <w:spacing w:line="288" w:lineRule="auto"/>
        <w:rPr>
          <w:b/>
          <w:color w:val="365F91" w:themeColor="accent1" w:themeShade="BF"/>
          <w:sz w:val="22"/>
          <w:szCs w:val="22"/>
        </w:rPr>
      </w:pPr>
      <w:r w:rsidRPr="00AA4DE6">
        <w:rPr>
          <w:b/>
          <w:color w:val="365F91" w:themeColor="accent1" w:themeShade="BF"/>
          <w:sz w:val="22"/>
          <w:szCs w:val="22"/>
        </w:rPr>
        <w:t>Effective Management of Classroom Instruction</w:t>
      </w:r>
      <w:r w:rsidR="00E562C2" w:rsidRPr="00AA4DE6">
        <w:rPr>
          <w:b/>
          <w:color w:val="365F91" w:themeColor="accent1" w:themeShade="BF"/>
          <w:sz w:val="22"/>
          <w:szCs w:val="22"/>
        </w:rPr>
        <w:t xml:space="preserve">: A tiered approach to teacher development. </w:t>
      </w:r>
    </w:p>
    <w:p w:rsidR="00E562C2" w:rsidRDefault="00B16F43" w:rsidP="00E562C2">
      <w:pPr>
        <w:spacing w:before="80" w:line="288" w:lineRule="auto"/>
        <w:rPr>
          <w:sz w:val="22"/>
          <w:szCs w:val="22"/>
        </w:rPr>
      </w:pPr>
      <w:r>
        <w:rPr>
          <w:sz w:val="22"/>
          <w:szCs w:val="22"/>
        </w:rPr>
        <w:t xml:space="preserve">A key ingredient contributing to the ability of </w:t>
      </w:r>
      <w:r w:rsidR="00E562C2" w:rsidRPr="00BD16E3">
        <w:rPr>
          <w:sz w:val="22"/>
          <w:szCs w:val="22"/>
        </w:rPr>
        <w:t xml:space="preserve">Achievement Gain schools </w:t>
      </w:r>
      <w:r w:rsidR="00E562C2">
        <w:rPr>
          <w:sz w:val="22"/>
          <w:szCs w:val="22"/>
        </w:rPr>
        <w:t xml:space="preserve">to </w:t>
      </w:r>
      <w:r w:rsidR="00E562C2" w:rsidRPr="00BD16E3">
        <w:rPr>
          <w:sz w:val="22"/>
          <w:szCs w:val="22"/>
        </w:rPr>
        <w:t>sustain turnaround efforts</w:t>
      </w:r>
      <w:r w:rsidR="00E562C2">
        <w:rPr>
          <w:sz w:val="22"/>
          <w:szCs w:val="22"/>
        </w:rPr>
        <w:t xml:space="preserve"> is the development of</w:t>
      </w:r>
      <w:r w:rsidR="00E562C2" w:rsidRPr="00BD16E3">
        <w:rPr>
          <w:sz w:val="22"/>
          <w:szCs w:val="22"/>
        </w:rPr>
        <w:t xml:space="preserve"> </w:t>
      </w:r>
      <w:r w:rsidR="00E562C2">
        <w:rPr>
          <w:b/>
          <w:i/>
          <w:sz w:val="22"/>
          <w:szCs w:val="22"/>
        </w:rPr>
        <w:t xml:space="preserve">a </w:t>
      </w:r>
      <w:r w:rsidR="00E562C2" w:rsidRPr="001117B3">
        <w:rPr>
          <w:b/>
          <w:i/>
          <w:sz w:val="22"/>
          <w:szCs w:val="22"/>
        </w:rPr>
        <w:t>tiered approach to improving teachers’ instruction</w:t>
      </w:r>
      <w:r w:rsidR="00A9676C">
        <w:rPr>
          <w:b/>
          <w:i/>
          <w:sz w:val="22"/>
          <w:szCs w:val="22"/>
        </w:rPr>
        <w:t xml:space="preserve"> that directly</w:t>
      </w:r>
      <w:r w:rsidR="00E562C2" w:rsidRPr="001117B3">
        <w:rPr>
          <w:b/>
          <w:i/>
          <w:sz w:val="22"/>
          <w:szCs w:val="22"/>
        </w:rPr>
        <w:t xml:space="preserve"> suppor</w:t>
      </w:r>
      <w:r w:rsidR="00A9676C">
        <w:rPr>
          <w:b/>
          <w:i/>
          <w:sz w:val="22"/>
          <w:szCs w:val="22"/>
        </w:rPr>
        <w:t xml:space="preserve">ts sustained </w:t>
      </w:r>
      <w:r w:rsidR="00F075E0">
        <w:rPr>
          <w:b/>
          <w:i/>
          <w:sz w:val="22"/>
          <w:szCs w:val="22"/>
        </w:rPr>
        <w:t>improvement</w:t>
      </w:r>
      <w:r w:rsidR="00A9676C">
        <w:rPr>
          <w:b/>
          <w:i/>
          <w:sz w:val="22"/>
          <w:szCs w:val="22"/>
        </w:rPr>
        <w:t xml:space="preserve"> in student</w:t>
      </w:r>
      <w:r w:rsidR="00E562C2">
        <w:rPr>
          <w:b/>
          <w:i/>
          <w:sz w:val="22"/>
          <w:szCs w:val="22"/>
        </w:rPr>
        <w:t xml:space="preserve"> achievement.</w:t>
      </w:r>
    </w:p>
    <w:p w:rsidR="00E562C2" w:rsidRPr="00801FB4" w:rsidRDefault="00E562C2" w:rsidP="00E562C2">
      <w:pPr>
        <w:spacing w:before="240" w:line="288" w:lineRule="auto"/>
        <w:rPr>
          <w:sz w:val="22"/>
          <w:szCs w:val="22"/>
        </w:rPr>
      </w:pPr>
      <w:r>
        <w:rPr>
          <w:sz w:val="22"/>
          <w:szCs w:val="22"/>
        </w:rPr>
        <w:t>In 2010-11</w:t>
      </w:r>
      <w:r w:rsidRPr="00BD16E3">
        <w:rPr>
          <w:sz w:val="22"/>
          <w:szCs w:val="22"/>
        </w:rPr>
        <w:t xml:space="preserve">, </w:t>
      </w:r>
      <w:r w:rsidR="00B16F43">
        <w:rPr>
          <w:sz w:val="22"/>
          <w:szCs w:val="22"/>
        </w:rPr>
        <w:t xml:space="preserve">schools making rapid gains developed and were actively using a </w:t>
      </w:r>
      <w:r w:rsidR="004F04B0">
        <w:rPr>
          <w:sz w:val="22"/>
          <w:szCs w:val="22"/>
        </w:rPr>
        <w:t>wide array of formative and summative assessments to inform and</w:t>
      </w:r>
      <w:r w:rsidR="00B16F43">
        <w:rPr>
          <w:sz w:val="22"/>
          <w:szCs w:val="22"/>
        </w:rPr>
        <w:t xml:space="preserve"> modify instructional strategies and to quickly provide</w:t>
      </w:r>
      <w:r w:rsidRPr="00BD16E3">
        <w:rPr>
          <w:sz w:val="22"/>
          <w:szCs w:val="22"/>
        </w:rPr>
        <w:t xml:space="preserve"> appropr</w:t>
      </w:r>
      <w:r>
        <w:rPr>
          <w:sz w:val="22"/>
          <w:szCs w:val="22"/>
        </w:rPr>
        <w:t xml:space="preserve">iate interventions to students. </w:t>
      </w:r>
      <w:r w:rsidRPr="00BD16E3">
        <w:rPr>
          <w:sz w:val="22"/>
          <w:szCs w:val="22"/>
        </w:rPr>
        <w:t xml:space="preserve">In </w:t>
      </w:r>
      <w:r>
        <w:rPr>
          <w:sz w:val="22"/>
          <w:szCs w:val="22"/>
        </w:rPr>
        <w:t>2011-12</w:t>
      </w:r>
      <w:r w:rsidRPr="00BD16E3">
        <w:rPr>
          <w:sz w:val="22"/>
          <w:szCs w:val="22"/>
        </w:rPr>
        <w:t xml:space="preserve">, schools </w:t>
      </w:r>
      <w:r>
        <w:rPr>
          <w:sz w:val="22"/>
          <w:szCs w:val="22"/>
        </w:rPr>
        <w:t>with</w:t>
      </w:r>
      <w:r w:rsidRPr="00BD16E3">
        <w:rPr>
          <w:sz w:val="22"/>
          <w:szCs w:val="22"/>
        </w:rPr>
        <w:t xml:space="preserve"> continued and sustained </w:t>
      </w:r>
      <w:r>
        <w:rPr>
          <w:sz w:val="22"/>
          <w:szCs w:val="22"/>
        </w:rPr>
        <w:t xml:space="preserve">achievement </w:t>
      </w:r>
      <w:r w:rsidRPr="00BD16E3">
        <w:rPr>
          <w:sz w:val="22"/>
          <w:szCs w:val="22"/>
        </w:rPr>
        <w:t xml:space="preserve">gains </w:t>
      </w:r>
      <w:r w:rsidRPr="00801FB4">
        <w:rPr>
          <w:sz w:val="22"/>
          <w:szCs w:val="22"/>
        </w:rPr>
        <w:t>created systems and feedback loops that enable</w:t>
      </w:r>
      <w:r w:rsidR="00801FB4">
        <w:rPr>
          <w:sz w:val="22"/>
          <w:szCs w:val="22"/>
        </w:rPr>
        <w:t>d</w:t>
      </w:r>
      <w:r w:rsidRPr="00801FB4">
        <w:rPr>
          <w:sz w:val="22"/>
          <w:szCs w:val="22"/>
        </w:rPr>
        <w:t xml:space="preserve"> a “tiered system of support” to be in place for </w:t>
      </w:r>
      <w:r w:rsidRPr="00801FB4">
        <w:rPr>
          <w:i/>
          <w:sz w:val="22"/>
          <w:szCs w:val="22"/>
        </w:rPr>
        <w:t>teachers</w:t>
      </w:r>
      <w:r w:rsidRPr="00801FB4">
        <w:rPr>
          <w:sz w:val="22"/>
          <w:szCs w:val="22"/>
        </w:rPr>
        <w:t xml:space="preserve">, as well as for students. Whereas a system of </w:t>
      </w:r>
      <w:r w:rsidR="004F04B0" w:rsidRPr="00801FB4">
        <w:rPr>
          <w:sz w:val="22"/>
          <w:szCs w:val="22"/>
        </w:rPr>
        <w:t xml:space="preserve">tiered instruction </w:t>
      </w:r>
      <w:r w:rsidRPr="00801FB4">
        <w:rPr>
          <w:sz w:val="22"/>
          <w:szCs w:val="22"/>
        </w:rPr>
        <w:t xml:space="preserve">for students is focused on targeting specific interventions to students, current Achievement Gain schools are </w:t>
      </w:r>
      <w:r w:rsidR="00F075E0">
        <w:rPr>
          <w:sz w:val="22"/>
          <w:szCs w:val="22"/>
        </w:rPr>
        <w:t xml:space="preserve">also </w:t>
      </w:r>
      <w:r w:rsidRPr="00801FB4">
        <w:rPr>
          <w:sz w:val="22"/>
          <w:szCs w:val="22"/>
        </w:rPr>
        <w:t xml:space="preserve">developing systems that directly enable leaders to identify teacher-specific needs and provide teacher-specific guidance and feedback on instruction. </w:t>
      </w:r>
      <w:r w:rsidRPr="00801FB4">
        <w:rPr>
          <w:i/>
          <w:sz w:val="22"/>
          <w:szCs w:val="22"/>
        </w:rPr>
        <w:t xml:space="preserve">In essence, these schools are developing systems to effectively </w:t>
      </w:r>
      <w:r w:rsidR="00B32438" w:rsidRPr="00801FB4">
        <w:rPr>
          <w:i/>
          <w:sz w:val="22"/>
          <w:szCs w:val="22"/>
        </w:rPr>
        <w:t xml:space="preserve">and precisely </w:t>
      </w:r>
      <w:r w:rsidRPr="00801FB4">
        <w:rPr>
          <w:i/>
          <w:sz w:val="22"/>
          <w:szCs w:val="22"/>
        </w:rPr>
        <w:t>manage the instructional core</w:t>
      </w:r>
      <w:r w:rsidR="00B32438" w:rsidRPr="00801FB4">
        <w:rPr>
          <w:i/>
          <w:sz w:val="22"/>
          <w:szCs w:val="22"/>
        </w:rPr>
        <w:t xml:space="preserve"> </w:t>
      </w:r>
      <w:r w:rsidRPr="00801FB4">
        <w:rPr>
          <w:i/>
          <w:sz w:val="22"/>
          <w:szCs w:val="22"/>
        </w:rPr>
        <w:t xml:space="preserve">to deliver high-quality instruction to each and every student. </w:t>
      </w:r>
    </w:p>
    <w:p w:rsidR="00E562C2" w:rsidRPr="004F04B0" w:rsidRDefault="00E562C2" w:rsidP="00E562C2">
      <w:pPr>
        <w:spacing w:before="240" w:line="288" w:lineRule="auto"/>
        <w:rPr>
          <w:sz w:val="22"/>
          <w:szCs w:val="22"/>
        </w:rPr>
      </w:pPr>
      <w:r w:rsidRPr="004F04B0">
        <w:rPr>
          <w:sz w:val="22"/>
          <w:szCs w:val="22"/>
        </w:rPr>
        <w:t xml:space="preserve">In Achievement Gain schools, observations of teachers’ instruction (by principals, coaches, or other teachers) leads to proactive identification of ways to improve instruction, which is quickly addressed through specific, individual, and teacher-focused feedback and support provided </w:t>
      </w:r>
      <w:r w:rsidR="00B32438" w:rsidRPr="004F04B0">
        <w:rPr>
          <w:sz w:val="22"/>
          <w:szCs w:val="22"/>
        </w:rPr>
        <w:t xml:space="preserve">by </w:t>
      </w:r>
      <w:r w:rsidRPr="004F04B0">
        <w:rPr>
          <w:sz w:val="22"/>
          <w:szCs w:val="22"/>
        </w:rPr>
        <w:t xml:space="preserve">coaches, or through grade-level team meetings. The </w:t>
      </w:r>
      <w:r w:rsidR="00801FB4">
        <w:rPr>
          <w:sz w:val="22"/>
          <w:szCs w:val="22"/>
        </w:rPr>
        <w:t>strategy</w:t>
      </w:r>
      <w:r w:rsidRPr="004F04B0">
        <w:rPr>
          <w:sz w:val="22"/>
          <w:szCs w:val="22"/>
        </w:rPr>
        <w:t xml:space="preserve"> is “tiered” in that schools are </w:t>
      </w:r>
      <w:r w:rsidR="00801FB4">
        <w:rPr>
          <w:sz w:val="22"/>
          <w:szCs w:val="22"/>
        </w:rPr>
        <w:t>differentiating their approach</w:t>
      </w:r>
      <w:r w:rsidRPr="004F04B0">
        <w:rPr>
          <w:sz w:val="22"/>
          <w:szCs w:val="22"/>
        </w:rPr>
        <w:t xml:space="preserve"> to improving teachers’ instruction, </w:t>
      </w:r>
      <w:r w:rsidR="00F075E0">
        <w:rPr>
          <w:sz w:val="22"/>
          <w:szCs w:val="22"/>
        </w:rPr>
        <w:t>customizing and providing need-based support to teachers on an individual basis.</w:t>
      </w:r>
      <w:r w:rsidRPr="004F04B0">
        <w:rPr>
          <w:sz w:val="22"/>
          <w:szCs w:val="22"/>
        </w:rPr>
        <w:t xml:space="preserve"> In some schools, approaches to improving instruction were team-based, where</w:t>
      </w:r>
      <w:r w:rsidR="004F04B0" w:rsidRPr="004F04B0">
        <w:rPr>
          <w:sz w:val="22"/>
          <w:szCs w:val="22"/>
        </w:rPr>
        <w:t xml:space="preserve"> instructional coaches supported</w:t>
      </w:r>
      <w:r w:rsidRPr="004F04B0">
        <w:rPr>
          <w:sz w:val="22"/>
          <w:szCs w:val="22"/>
        </w:rPr>
        <w:t xml:space="preserve"> </w:t>
      </w:r>
      <w:r w:rsidR="004F04B0" w:rsidRPr="004F04B0">
        <w:rPr>
          <w:sz w:val="22"/>
          <w:szCs w:val="22"/>
        </w:rPr>
        <w:t>teacher teams</w:t>
      </w:r>
      <w:r w:rsidRPr="004F04B0">
        <w:rPr>
          <w:sz w:val="22"/>
          <w:szCs w:val="22"/>
        </w:rPr>
        <w:t xml:space="preserve"> to effectively review data and develop strategies and action plans to meet the needs</w:t>
      </w:r>
      <w:r w:rsidR="004F04B0" w:rsidRPr="004F04B0">
        <w:rPr>
          <w:sz w:val="22"/>
          <w:szCs w:val="22"/>
        </w:rPr>
        <w:t xml:space="preserve"> of their students</w:t>
      </w:r>
      <w:r w:rsidRPr="004F04B0">
        <w:rPr>
          <w:sz w:val="22"/>
          <w:szCs w:val="22"/>
        </w:rPr>
        <w:t xml:space="preserve">. In </w:t>
      </w:r>
      <w:r w:rsidR="00A9676C">
        <w:rPr>
          <w:sz w:val="22"/>
          <w:szCs w:val="22"/>
        </w:rPr>
        <w:t>other</w:t>
      </w:r>
      <w:r w:rsidRPr="004F04B0">
        <w:rPr>
          <w:sz w:val="22"/>
          <w:szCs w:val="22"/>
        </w:rPr>
        <w:t xml:space="preserve"> instances, and </w:t>
      </w:r>
      <w:r w:rsidR="00F075E0">
        <w:rPr>
          <w:sz w:val="22"/>
          <w:szCs w:val="22"/>
        </w:rPr>
        <w:t>where the need was identified</w:t>
      </w:r>
      <w:r w:rsidRPr="004F04B0">
        <w:rPr>
          <w:sz w:val="22"/>
          <w:szCs w:val="22"/>
        </w:rPr>
        <w:t xml:space="preserve">, coaches </w:t>
      </w:r>
      <w:r w:rsidR="00A9676C">
        <w:rPr>
          <w:sz w:val="22"/>
          <w:szCs w:val="22"/>
        </w:rPr>
        <w:t>worked</w:t>
      </w:r>
      <w:r w:rsidRPr="004F04B0">
        <w:rPr>
          <w:sz w:val="22"/>
          <w:szCs w:val="22"/>
        </w:rPr>
        <w:t xml:space="preserve"> directly with individual teachers to provide specific feedback and coaching</w:t>
      </w:r>
      <w:r w:rsidR="00F075E0">
        <w:rPr>
          <w:sz w:val="22"/>
          <w:szCs w:val="22"/>
        </w:rPr>
        <w:t xml:space="preserve"> based on classroom observations</w:t>
      </w:r>
      <w:r w:rsidR="00A9676C">
        <w:rPr>
          <w:sz w:val="22"/>
          <w:szCs w:val="22"/>
        </w:rPr>
        <w:t>, including modeling instruction and co-teaching</w:t>
      </w:r>
      <w:r w:rsidRPr="004F04B0">
        <w:rPr>
          <w:sz w:val="22"/>
          <w:szCs w:val="22"/>
        </w:rPr>
        <w:t>.</w:t>
      </w:r>
    </w:p>
    <w:p w:rsidR="00E562C2" w:rsidRPr="00AA4DE6" w:rsidRDefault="00E562C2" w:rsidP="00C9081C">
      <w:pPr>
        <w:tabs>
          <w:tab w:val="left" w:pos="450"/>
        </w:tabs>
        <w:spacing w:before="120" w:line="288" w:lineRule="auto"/>
        <w:outlineLvl w:val="0"/>
        <w:rPr>
          <w:color w:val="365F91" w:themeColor="accent1" w:themeShade="BF"/>
          <w:szCs w:val="24"/>
        </w:rPr>
      </w:pPr>
      <w:r w:rsidRPr="00AA4DE6">
        <w:rPr>
          <w:b/>
          <w:color w:val="365F91" w:themeColor="accent1" w:themeShade="BF"/>
          <w:sz w:val="22"/>
          <w:szCs w:val="22"/>
        </w:rPr>
        <w:lastRenderedPageBreak/>
        <w:t xml:space="preserve">Establishing and Maintaining a </w:t>
      </w:r>
      <w:r w:rsidR="00804AB3" w:rsidRPr="00AA4DE6">
        <w:rPr>
          <w:b/>
          <w:color w:val="365F91" w:themeColor="accent1" w:themeShade="BF"/>
          <w:sz w:val="22"/>
          <w:szCs w:val="22"/>
        </w:rPr>
        <w:t>Safe, Orderly, and Respectful School Climate</w:t>
      </w:r>
      <w:r w:rsidRPr="00AA4DE6">
        <w:rPr>
          <w:b/>
          <w:color w:val="365F91" w:themeColor="accent1" w:themeShade="BF"/>
          <w:sz w:val="22"/>
          <w:szCs w:val="22"/>
        </w:rPr>
        <w:t xml:space="preserve"> </w:t>
      </w:r>
    </w:p>
    <w:p w:rsidR="00E562C2" w:rsidRPr="00382C54" w:rsidRDefault="00382C54" w:rsidP="00C9081C">
      <w:pPr>
        <w:spacing w:before="120" w:line="288" w:lineRule="auto"/>
        <w:rPr>
          <w:sz w:val="22"/>
          <w:szCs w:val="22"/>
        </w:rPr>
      </w:pPr>
      <w:r>
        <w:rPr>
          <w:sz w:val="22"/>
          <w:szCs w:val="22"/>
        </w:rPr>
        <w:t>Establishing and maintaining</w:t>
      </w:r>
      <w:r w:rsidR="00E562C2">
        <w:rPr>
          <w:sz w:val="22"/>
          <w:szCs w:val="22"/>
        </w:rPr>
        <w:t xml:space="preserve"> </w:t>
      </w:r>
      <w:r w:rsidR="00801FB4">
        <w:rPr>
          <w:b/>
          <w:i/>
          <w:sz w:val="22"/>
          <w:szCs w:val="22"/>
        </w:rPr>
        <w:t xml:space="preserve">an </w:t>
      </w:r>
      <w:r w:rsidR="00E562C2" w:rsidRPr="00D17264">
        <w:rPr>
          <w:b/>
          <w:i/>
          <w:sz w:val="22"/>
          <w:szCs w:val="22"/>
        </w:rPr>
        <w:t xml:space="preserve">environment </w:t>
      </w:r>
      <w:r w:rsidR="00801FB4">
        <w:rPr>
          <w:b/>
          <w:i/>
          <w:sz w:val="22"/>
          <w:szCs w:val="22"/>
        </w:rPr>
        <w:t xml:space="preserve">conducive to </w:t>
      </w:r>
      <w:r w:rsidR="00E562C2" w:rsidRPr="00D17264">
        <w:rPr>
          <w:b/>
          <w:i/>
          <w:sz w:val="22"/>
          <w:szCs w:val="22"/>
        </w:rPr>
        <w:t>student learning</w:t>
      </w:r>
      <w:r w:rsidR="00E562C2">
        <w:rPr>
          <w:sz w:val="22"/>
          <w:szCs w:val="22"/>
        </w:rPr>
        <w:t xml:space="preserve"> </w:t>
      </w:r>
      <w:r>
        <w:rPr>
          <w:sz w:val="22"/>
          <w:szCs w:val="22"/>
        </w:rPr>
        <w:t>continues to be</w:t>
      </w:r>
      <w:r w:rsidR="00E562C2" w:rsidRPr="00372AFA">
        <w:rPr>
          <w:sz w:val="22"/>
          <w:szCs w:val="22"/>
        </w:rPr>
        <w:t xml:space="preserve"> foundati</w:t>
      </w:r>
      <w:r>
        <w:rPr>
          <w:sz w:val="22"/>
          <w:szCs w:val="22"/>
        </w:rPr>
        <w:t>onal to successful turnaround, serving as the basis for</w:t>
      </w:r>
      <w:r w:rsidR="00E562C2">
        <w:rPr>
          <w:sz w:val="22"/>
          <w:szCs w:val="22"/>
        </w:rPr>
        <w:t xml:space="preserve"> the </w:t>
      </w:r>
      <w:r w:rsidR="00E562C2" w:rsidRPr="00D17264">
        <w:rPr>
          <w:b/>
          <w:i/>
          <w:sz w:val="22"/>
          <w:szCs w:val="22"/>
        </w:rPr>
        <w:t xml:space="preserve">purposeful pursuit of student achievement through deliberate </w:t>
      </w:r>
      <w:r w:rsidR="00927F1A">
        <w:rPr>
          <w:b/>
          <w:i/>
          <w:sz w:val="22"/>
          <w:szCs w:val="22"/>
        </w:rPr>
        <w:t>and shared</w:t>
      </w:r>
      <w:r w:rsidR="00E562C2" w:rsidRPr="00D17264">
        <w:rPr>
          <w:b/>
          <w:i/>
          <w:sz w:val="22"/>
          <w:szCs w:val="22"/>
        </w:rPr>
        <w:t xml:space="preserve"> practices. </w:t>
      </w:r>
      <w:r>
        <w:rPr>
          <w:sz w:val="22"/>
          <w:szCs w:val="22"/>
        </w:rPr>
        <w:t xml:space="preserve">Achievement Gain schools </w:t>
      </w:r>
      <w:r w:rsidR="00801FB4">
        <w:rPr>
          <w:sz w:val="22"/>
          <w:szCs w:val="22"/>
        </w:rPr>
        <w:t>were</w:t>
      </w:r>
      <w:r>
        <w:rPr>
          <w:sz w:val="22"/>
          <w:szCs w:val="22"/>
        </w:rPr>
        <w:t xml:space="preserve"> characterized by a safe and respectful environment fo</w:t>
      </w:r>
      <w:r w:rsidR="00887672">
        <w:rPr>
          <w:sz w:val="22"/>
          <w:szCs w:val="22"/>
        </w:rPr>
        <w:t>r professional</w:t>
      </w:r>
      <w:r w:rsidR="00AA4DE6">
        <w:rPr>
          <w:sz w:val="22"/>
          <w:szCs w:val="22"/>
        </w:rPr>
        <w:t>s</w:t>
      </w:r>
      <w:r w:rsidR="00887672">
        <w:rPr>
          <w:sz w:val="22"/>
          <w:szCs w:val="22"/>
        </w:rPr>
        <w:t xml:space="preserve"> and for students</w:t>
      </w:r>
      <w:r w:rsidR="00F075E0">
        <w:rPr>
          <w:sz w:val="22"/>
          <w:szCs w:val="22"/>
        </w:rPr>
        <w:t xml:space="preserve">. In contrast, Level 4 schools </w:t>
      </w:r>
      <w:r w:rsidR="00887672">
        <w:rPr>
          <w:sz w:val="22"/>
          <w:szCs w:val="22"/>
        </w:rPr>
        <w:t>that continue</w:t>
      </w:r>
      <w:r w:rsidR="00801FB4">
        <w:rPr>
          <w:sz w:val="22"/>
          <w:szCs w:val="22"/>
        </w:rPr>
        <w:t>d</w:t>
      </w:r>
      <w:r w:rsidR="00887672">
        <w:rPr>
          <w:sz w:val="22"/>
          <w:szCs w:val="22"/>
        </w:rPr>
        <w:t xml:space="preserve"> to </w:t>
      </w:r>
      <w:r>
        <w:rPr>
          <w:sz w:val="22"/>
          <w:szCs w:val="22"/>
        </w:rPr>
        <w:t>struggle with student be</w:t>
      </w:r>
      <w:r w:rsidR="00887672">
        <w:rPr>
          <w:sz w:val="22"/>
          <w:szCs w:val="22"/>
        </w:rPr>
        <w:t xml:space="preserve">havior and classroom management </w:t>
      </w:r>
      <w:r w:rsidR="00801FB4">
        <w:rPr>
          <w:sz w:val="22"/>
          <w:szCs w:val="22"/>
        </w:rPr>
        <w:t>were</w:t>
      </w:r>
      <w:r w:rsidR="00887672">
        <w:rPr>
          <w:sz w:val="22"/>
          <w:szCs w:val="22"/>
        </w:rPr>
        <w:t xml:space="preserve"> less likely to </w:t>
      </w:r>
      <w:r w:rsidR="00801FB4">
        <w:rPr>
          <w:sz w:val="22"/>
          <w:szCs w:val="22"/>
        </w:rPr>
        <w:t>experience</w:t>
      </w:r>
      <w:r w:rsidR="00887672">
        <w:rPr>
          <w:sz w:val="22"/>
          <w:szCs w:val="22"/>
        </w:rPr>
        <w:t xml:space="preserve"> consistent gains in student achievement. In some Non-Gain schools, the lack of a safe and orderly environment has undermined</w:t>
      </w:r>
      <w:r>
        <w:rPr>
          <w:sz w:val="22"/>
          <w:szCs w:val="22"/>
        </w:rPr>
        <w:t xml:space="preserve"> their ability </w:t>
      </w:r>
      <w:r w:rsidR="00887672">
        <w:rPr>
          <w:sz w:val="22"/>
          <w:szCs w:val="22"/>
        </w:rPr>
        <w:t xml:space="preserve">to fully leverage </w:t>
      </w:r>
      <w:r w:rsidR="00AA4DE6">
        <w:rPr>
          <w:sz w:val="22"/>
          <w:szCs w:val="22"/>
        </w:rPr>
        <w:t>additional resources (</w:t>
      </w:r>
      <w:r w:rsidR="00801FB4">
        <w:rPr>
          <w:sz w:val="22"/>
          <w:szCs w:val="22"/>
        </w:rPr>
        <w:t>e.g.,</w:t>
      </w:r>
      <w:r w:rsidR="00AA4DE6">
        <w:rPr>
          <w:sz w:val="22"/>
          <w:szCs w:val="22"/>
        </w:rPr>
        <w:t xml:space="preserve"> </w:t>
      </w:r>
      <w:r w:rsidR="00887672">
        <w:rPr>
          <w:sz w:val="22"/>
          <w:szCs w:val="22"/>
        </w:rPr>
        <w:t>data systems and increased instructional time</w:t>
      </w:r>
      <w:r w:rsidR="00AA4DE6">
        <w:rPr>
          <w:sz w:val="22"/>
          <w:szCs w:val="22"/>
        </w:rPr>
        <w:t>)</w:t>
      </w:r>
      <w:r w:rsidR="00887672">
        <w:rPr>
          <w:sz w:val="22"/>
          <w:szCs w:val="22"/>
        </w:rPr>
        <w:t xml:space="preserve"> and see the fruits of teachers’ efforts to improve instruction. </w:t>
      </w:r>
    </w:p>
    <w:p w:rsidR="00E562C2" w:rsidRPr="00372AFA" w:rsidRDefault="00E562C2" w:rsidP="00C9081C">
      <w:pPr>
        <w:spacing w:before="120" w:line="288" w:lineRule="auto"/>
        <w:ind w:right="432"/>
        <w:rPr>
          <w:b/>
          <w:sz w:val="22"/>
          <w:szCs w:val="22"/>
          <w:u w:val="single"/>
        </w:rPr>
      </w:pPr>
      <w:r w:rsidRPr="00372AFA">
        <w:rPr>
          <w:sz w:val="22"/>
          <w:szCs w:val="22"/>
        </w:rPr>
        <w:t xml:space="preserve">In many </w:t>
      </w:r>
      <w:r w:rsidR="00637E6A">
        <w:rPr>
          <w:sz w:val="22"/>
          <w:szCs w:val="22"/>
        </w:rPr>
        <w:t>schools</w:t>
      </w:r>
      <w:r w:rsidRPr="00372AFA">
        <w:rPr>
          <w:sz w:val="22"/>
          <w:szCs w:val="22"/>
        </w:rPr>
        <w:t xml:space="preserve">, a first step in initiating turnaround efforts </w:t>
      </w:r>
      <w:r w:rsidR="00887672">
        <w:rPr>
          <w:sz w:val="22"/>
          <w:szCs w:val="22"/>
        </w:rPr>
        <w:t xml:space="preserve">involved </w:t>
      </w:r>
      <w:r w:rsidRPr="00372AFA">
        <w:rPr>
          <w:sz w:val="22"/>
          <w:szCs w:val="22"/>
        </w:rPr>
        <w:t>the development of new routines, structures, and expectations for a safe, orderly, an</w:t>
      </w:r>
      <w:r w:rsidR="00AA4DE6">
        <w:rPr>
          <w:sz w:val="22"/>
          <w:szCs w:val="22"/>
        </w:rPr>
        <w:t>d supportive school environment</w:t>
      </w:r>
      <w:r w:rsidRPr="00372AFA">
        <w:rPr>
          <w:sz w:val="22"/>
          <w:szCs w:val="22"/>
        </w:rPr>
        <w:t xml:space="preserve">.  </w:t>
      </w:r>
      <w:r w:rsidR="00382C54">
        <w:rPr>
          <w:sz w:val="22"/>
          <w:szCs w:val="22"/>
        </w:rPr>
        <w:t>In schools w</w:t>
      </w:r>
      <w:r w:rsidRPr="00372AFA">
        <w:rPr>
          <w:sz w:val="22"/>
          <w:szCs w:val="22"/>
        </w:rPr>
        <w:t xml:space="preserve">here such transitions were </w:t>
      </w:r>
      <w:r w:rsidR="00382C54">
        <w:rPr>
          <w:sz w:val="22"/>
          <w:szCs w:val="22"/>
        </w:rPr>
        <w:t xml:space="preserve">observed or documented, immediate achievement gains </w:t>
      </w:r>
      <w:r w:rsidRPr="00372AFA">
        <w:rPr>
          <w:sz w:val="22"/>
          <w:szCs w:val="22"/>
        </w:rPr>
        <w:t>were more</w:t>
      </w:r>
      <w:r w:rsidR="00801FB4">
        <w:rPr>
          <w:sz w:val="22"/>
          <w:szCs w:val="22"/>
        </w:rPr>
        <w:t xml:space="preserve"> likely to occur</w:t>
      </w:r>
      <w:r w:rsidR="00382C54">
        <w:rPr>
          <w:sz w:val="22"/>
          <w:szCs w:val="22"/>
        </w:rPr>
        <w:t xml:space="preserve">. Subsequent to developing </w:t>
      </w:r>
      <w:r w:rsidR="00637E6A">
        <w:rPr>
          <w:sz w:val="22"/>
          <w:szCs w:val="22"/>
        </w:rPr>
        <w:t>shared expectations for student (and teacher to student)</w:t>
      </w:r>
      <w:r w:rsidR="00382C54">
        <w:rPr>
          <w:sz w:val="22"/>
          <w:szCs w:val="22"/>
        </w:rPr>
        <w:t xml:space="preserve"> behavior and classroom management</w:t>
      </w:r>
      <w:r w:rsidR="00887672">
        <w:rPr>
          <w:sz w:val="22"/>
          <w:szCs w:val="22"/>
        </w:rPr>
        <w:t xml:space="preserve">, principals have </w:t>
      </w:r>
      <w:r w:rsidR="00637E6A">
        <w:rPr>
          <w:sz w:val="22"/>
          <w:szCs w:val="22"/>
        </w:rPr>
        <w:t xml:space="preserve">been able to build upon this foundation and </w:t>
      </w:r>
      <w:r w:rsidRPr="00372AFA">
        <w:rPr>
          <w:sz w:val="22"/>
          <w:szCs w:val="22"/>
        </w:rPr>
        <w:t xml:space="preserve">focus </w:t>
      </w:r>
      <w:r w:rsidR="00887672">
        <w:rPr>
          <w:sz w:val="22"/>
          <w:szCs w:val="22"/>
        </w:rPr>
        <w:t xml:space="preserve">teachers’ </w:t>
      </w:r>
      <w:r w:rsidR="00F5060F">
        <w:rPr>
          <w:sz w:val="22"/>
          <w:szCs w:val="22"/>
        </w:rPr>
        <w:t xml:space="preserve">attention and </w:t>
      </w:r>
      <w:r w:rsidR="00887672">
        <w:rPr>
          <w:sz w:val="22"/>
          <w:szCs w:val="22"/>
        </w:rPr>
        <w:t>work on</w:t>
      </w:r>
      <w:r w:rsidRPr="00372AFA">
        <w:rPr>
          <w:sz w:val="22"/>
          <w:szCs w:val="22"/>
        </w:rPr>
        <w:t xml:space="preserve"> meeting students’ academic needs through collaborative practices for the improvement of instruction. </w:t>
      </w:r>
    </w:p>
    <w:p w:rsidR="00E562C2" w:rsidRPr="00372AFA" w:rsidRDefault="00E562C2" w:rsidP="00C9081C">
      <w:pPr>
        <w:spacing w:before="160" w:line="288" w:lineRule="auto"/>
        <w:ind w:right="432"/>
        <w:rPr>
          <w:sz w:val="22"/>
          <w:szCs w:val="22"/>
        </w:rPr>
      </w:pPr>
      <w:r w:rsidRPr="00372AFA">
        <w:rPr>
          <w:sz w:val="22"/>
          <w:szCs w:val="22"/>
        </w:rPr>
        <w:t xml:space="preserve">Those schools that were able to </w:t>
      </w:r>
      <w:r w:rsidR="00406139">
        <w:rPr>
          <w:sz w:val="22"/>
          <w:szCs w:val="22"/>
        </w:rPr>
        <w:t>establish</w:t>
      </w:r>
      <w:r w:rsidRPr="00372AFA">
        <w:rPr>
          <w:sz w:val="22"/>
          <w:szCs w:val="22"/>
        </w:rPr>
        <w:t xml:space="preserve"> a safe and orderly learning environment for students and begin to galvanize a collective focus on student achievement were the schools that evidenced the greatest immediate gains in 2010-11.  And those schools that were able to build on this new environment with the development of deliberate syste</w:t>
      </w:r>
      <w:r w:rsidR="00887672">
        <w:rPr>
          <w:sz w:val="22"/>
          <w:szCs w:val="22"/>
        </w:rPr>
        <w:t xml:space="preserve">ms to </w:t>
      </w:r>
      <w:r w:rsidR="00AA4DE6">
        <w:rPr>
          <w:sz w:val="22"/>
          <w:szCs w:val="22"/>
        </w:rPr>
        <w:t xml:space="preserve">improve instruction, including a </w:t>
      </w:r>
      <w:r w:rsidRPr="00372AFA">
        <w:rPr>
          <w:sz w:val="22"/>
          <w:szCs w:val="22"/>
        </w:rPr>
        <w:t>substantive tiered approach to instruction (for students and for teachers)</w:t>
      </w:r>
      <w:r w:rsidR="00F5060F">
        <w:rPr>
          <w:sz w:val="22"/>
          <w:szCs w:val="22"/>
        </w:rPr>
        <w:t>,</w:t>
      </w:r>
      <w:r w:rsidRPr="00372AFA">
        <w:rPr>
          <w:sz w:val="22"/>
          <w:szCs w:val="22"/>
        </w:rPr>
        <w:t xml:space="preserve"> evidenced the greatest sustained achievement gains through 2011-12.</w:t>
      </w:r>
    </w:p>
    <w:p w:rsidR="00F03B67" w:rsidRDefault="00F03B67">
      <w:pPr>
        <w:sectPr w:rsidR="00F03B67" w:rsidSect="00B1302A">
          <w:type w:val="continuous"/>
          <w:pgSz w:w="12240" w:h="15840"/>
          <w:pgMar w:top="1440" w:right="1152" w:bottom="1152" w:left="1152" w:header="720" w:footer="720" w:gutter="0"/>
          <w:cols w:space="720"/>
        </w:sectPr>
      </w:pPr>
    </w:p>
    <w:p w:rsidR="00E562C2" w:rsidRDefault="0011041D">
      <w:r w:rsidRPr="0011041D">
        <w:rPr>
          <w:b/>
          <w:noProof/>
          <w:szCs w:val="24"/>
        </w:rPr>
        <w:lastRenderedPageBreak/>
        <w:pict>
          <v:shape id="Text Box 19" o:spid="_x0000_s1034" type="#_x0000_t202" style="position:absolute;margin-left:18.15pt;margin-top:18.25pt;width:450pt;height:243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" fillcolor="white [3201]" strokecolor="#4f81bd [3204]" strokeweight=".5pt">
            <v:path arrowok="t"/>
            <v:textbox>
              <w:txbxContent>
                <w:p w:rsidR="0090743D" w:rsidRDefault="0090743D" w:rsidP="00515C1C">
                  <w:pPr>
                    <w:spacing w:before="120" w:after="120"/>
                    <w:rPr>
                      <w:b/>
                      <w:sz w:val="22"/>
                      <w:szCs w:val="22"/>
                    </w:rPr>
                  </w:pPr>
                  <w:r>
                    <w:rPr>
                      <w:b/>
                      <w:sz w:val="22"/>
                      <w:szCs w:val="22"/>
                    </w:rPr>
                    <w:t>Organization of Emerging and Sustaining Practices</w:t>
                  </w:r>
                </w:p>
                <w:p w:rsidR="0090743D" w:rsidRPr="00801FB4" w:rsidRDefault="0090743D" w:rsidP="00515C1C">
                  <w:pPr>
                    <w:spacing w:before="120" w:after="120"/>
                    <w:rPr>
                      <w:sz w:val="22"/>
                      <w:szCs w:val="22"/>
                    </w:rPr>
                  </w:pPr>
                  <w:r w:rsidRPr="00801FB4">
                    <w:rPr>
                      <w:sz w:val="22"/>
                      <w:szCs w:val="22"/>
                    </w:rPr>
                    <w:t>The following pages pre</w:t>
                  </w:r>
                  <w:r>
                    <w:rPr>
                      <w:sz w:val="22"/>
                      <w:szCs w:val="22"/>
                    </w:rPr>
                    <w:t xml:space="preserve">sent each “sustaining” practice </w:t>
                  </w:r>
                  <w:r w:rsidRPr="00801FB4">
                    <w:rPr>
                      <w:sz w:val="22"/>
                      <w:szCs w:val="22"/>
                    </w:rPr>
                    <w:t xml:space="preserve">as evidenced in the 14 Achievement Gain schools and specifically in the 6 schools making the most pronounced and sustained gains from 2009-10 to 2011-12. These practices appear most frequently, and with a higher degree of sophistication, in Achievement Gain schools. </w:t>
                  </w:r>
                </w:p>
                <w:p w:rsidR="0090743D" w:rsidRPr="00801FB4" w:rsidRDefault="0090743D" w:rsidP="00515C1C">
                  <w:pPr>
                    <w:spacing w:before="120" w:after="120"/>
                    <w:rPr>
                      <w:sz w:val="22"/>
                      <w:szCs w:val="22"/>
                    </w:rPr>
                  </w:pPr>
                  <w:r>
                    <w:rPr>
                      <w:sz w:val="22"/>
                      <w:szCs w:val="22"/>
                    </w:rPr>
                    <w:t>Each sustaining practice is presented as a two-page document. The first page displays the emerging practice identified in the 2012 Emerging Practices report, the newly observed sustaining practice, and a brief narrative</w:t>
                  </w:r>
                  <w:r w:rsidRPr="00801FB4">
                    <w:rPr>
                      <w:sz w:val="22"/>
                      <w:szCs w:val="22"/>
                    </w:rPr>
                    <w:t xml:space="preserve"> </w:t>
                  </w:r>
                  <w:r>
                    <w:rPr>
                      <w:sz w:val="22"/>
                      <w:szCs w:val="22"/>
                    </w:rPr>
                    <w:t>exploring how Achievement Gain schools (in general) refined the stated practice through year two. The second page provides additional detail and examples from the Achievement Gain schools and the Non-Gain schools, for each of bulleted components of each sustaining practice. These examples are evidence-based, but are not necessarily present in each and every Achievement Gain school (or likewise, in each Non-Gain school).</w:t>
                  </w:r>
                </w:p>
                <w:p w:rsidR="0090743D" w:rsidRPr="00801FB4" w:rsidRDefault="0090743D" w:rsidP="00515C1C">
                  <w:pPr>
                    <w:spacing w:before="120" w:after="120"/>
                    <w:rPr>
                      <w:sz w:val="22"/>
                      <w:szCs w:val="22"/>
                    </w:rPr>
                  </w:pPr>
                  <w:r>
                    <w:rPr>
                      <w:sz w:val="22"/>
                      <w:szCs w:val="22"/>
                    </w:rPr>
                    <w:t>We</w:t>
                  </w:r>
                  <w:r w:rsidRPr="00801FB4">
                    <w:rPr>
                      <w:sz w:val="22"/>
                      <w:szCs w:val="22"/>
                    </w:rPr>
                    <w:t xml:space="preserve"> emphasize that these practices (and others, such as addressing students</w:t>
                  </w:r>
                  <w:r>
                    <w:rPr>
                      <w:sz w:val="22"/>
                      <w:szCs w:val="22"/>
                    </w:rPr>
                    <w:t>’</w:t>
                  </w:r>
                  <w:r w:rsidRPr="00801FB4">
                    <w:rPr>
                      <w:sz w:val="22"/>
                      <w:szCs w:val="22"/>
                    </w:rPr>
                    <w:t xml:space="preserve"> social-emotional health and having an align</w:t>
                  </w:r>
                  <w:r>
                    <w:rPr>
                      <w:sz w:val="22"/>
                      <w:szCs w:val="22"/>
                    </w:rPr>
                    <w:t xml:space="preserve">ed curriculum) are interrelated; therefore, we hypothesize that </w:t>
                  </w:r>
                  <w:r w:rsidRPr="00801FB4">
                    <w:rPr>
                      <w:sz w:val="22"/>
                      <w:szCs w:val="22"/>
                    </w:rPr>
                    <w:t xml:space="preserve">sustained turnaround and improvement is likely a function of how schools strive for these practices together, as a system, rather than as isolated practices. </w:t>
                  </w:r>
                </w:p>
                <w:p w:rsidR="0090743D" w:rsidRDefault="0090743D" w:rsidP="00E562C2"/>
              </w:txbxContent>
            </v:textbox>
            <w10:wrap type="square"/>
          </v:shape>
        </w:pict>
      </w:r>
    </w:p>
    <w:p w:rsidR="00B1302A" w:rsidRDefault="00B1302A">
      <w:pPr>
        <w:sectPr w:rsidR="00B1302A" w:rsidSect="00B1302A">
          <w:type w:val="continuous"/>
          <w:pgSz w:w="12240" w:h="15840"/>
          <w:pgMar w:top="1152" w:right="1152" w:bottom="1152" w:left="1152" w:header="720" w:footer="720" w:gutter="0"/>
          <w:cols w:space="720"/>
        </w:sectPr>
      </w:pPr>
    </w:p>
    <w:p w:rsidR="00E562C2" w:rsidRDefault="00E562C2"/>
    <w:p w:rsidR="00E562C2" w:rsidRDefault="00E562C2"/>
    <w:p w:rsidR="00B0072C" w:rsidRDefault="00B0072C">
      <w:pPr>
        <w:sectPr w:rsidR="00B0072C" w:rsidSect="00F03B67">
          <w:type w:val="continuous"/>
          <w:pgSz w:w="12240" w:h="15840"/>
          <w:pgMar w:top="1152" w:right="1152" w:bottom="1152" w:left="1152" w:header="720" w:footer="720" w:gutter="0"/>
          <w:cols w:space="720"/>
        </w:sectPr>
      </w:pPr>
    </w:p>
    <w:p w:rsidR="00B0072C" w:rsidRPr="008D5F49" w:rsidRDefault="009D77D7" w:rsidP="00B0072C">
      <w:pPr>
        <w:jc w:val="center"/>
        <w:rPr>
          <w:b/>
        </w:rPr>
      </w:pPr>
      <w:r>
        <w:rPr>
          <w:b/>
        </w:rPr>
        <w:lastRenderedPageBreak/>
        <w:t>Sustaining Practice #1</w:t>
      </w:r>
    </w:p>
    <w:p w:rsidR="008F5906" w:rsidRPr="00DE5D7C" w:rsidRDefault="009D77D7" w:rsidP="00DE5D7C">
      <w:pPr>
        <w:pStyle w:val="ListParagraph"/>
        <w:ind w:left="0"/>
        <w:jc w:val="center"/>
        <w:rPr>
          <w:b/>
        </w:rPr>
      </w:pPr>
      <w:r>
        <w:rPr>
          <w:b/>
        </w:rPr>
        <w:t xml:space="preserve">Building a Community </w:t>
      </w:r>
      <w:r w:rsidR="00BF59E6">
        <w:rPr>
          <w:b/>
        </w:rPr>
        <w:t>of Practice through Leadership,</w:t>
      </w:r>
      <w:r w:rsidR="00DF676B">
        <w:rPr>
          <w:b/>
        </w:rPr>
        <w:t xml:space="preserve"> Shared Responsibility </w:t>
      </w:r>
      <w:r w:rsidR="00BF59E6">
        <w:rPr>
          <w:b/>
        </w:rPr>
        <w:t>and Professional Collaboration</w:t>
      </w:r>
      <w:r w:rsidR="0011041D">
        <w:rPr>
          <w:b/>
          <w:noProof/>
        </w:rPr>
        <w:pict>
          <v:shape id="Text Box 9" o:spid="_x0000_s1035" type="#_x0000_t202" style="position:absolute;left:0;text-align:left;margin-left:133.05pt;margin-top:35pt;width:513pt;height:63pt;z-index:2517299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" fillcolor="white [3201]" strokecolor="#4f81bd [3204]" strokeweight=".5pt">
            <v:path arrowok="t"/>
            <v:textbox>
              <w:txbxContent>
                <w:p w:rsidR="0090743D" w:rsidRDefault="0090743D" w:rsidP="00DE5D7C">
                  <w:r>
                    <w:rPr>
                      <w:sz w:val="22"/>
                      <w:szCs w:val="22"/>
                      <w:lang w:eastAsia="ja-JP"/>
                    </w:rPr>
                    <w:t>Achievement Gain schools were characterized by an instruction- and results-oriented principal who galvanized both individual and collective responsibility for the improved achievement of all students through a variety of deliberate improvement structures, expectations, practices, and continuous feedback.</w:t>
                  </w:r>
                </w:p>
              </w:txbxContent>
            </v:textbox>
            <w10:wrap type="square"/>
          </v:shape>
        </w:pict>
      </w:r>
      <w:r w:rsidR="0011041D">
        <w:rPr>
          <w:b/>
          <w:noProof/>
        </w:rPr>
        <w:pict>
          <v:shape id="Text Box 10" o:spid="_x0000_s1036" type="#_x0000_t202" style="position:absolute;left:0;text-align:left;margin-left:133.05pt;margin-top:116pt;width:513pt;height:171pt;z-index:251730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" fillcolor="white [3201]" strokecolor="#4f81bd [3204]" strokeweight=".5pt">
            <v:path arrowok="t"/>
            <v:textbox>
              <w:txbxContent>
                <w:p w:rsidR="0090743D" w:rsidRDefault="0090743D" w:rsidP="00DE5D7C">
                  <w:pPr>
                    <w:widowControl w:val="0"/>
                    <w:autoSpaceDE w:val="0"/>
                    <w:autoSpaceDN w:val="0"/>
                    <w:adjustRightInd w:val="0"/>
                    <w:spacing w:before="40" w:after="40"/>
                    <w:ind w:right="-18"/>
                    <w:rPr>
                      <w:sz w:val="22"/>
                      <w:szCs w:val="22"/>
                      <w:lang w:eastAsia="ja-JP"/>
                    </w:rPr>
                  </w:pPr>
                  <w:r>
                    <w:rPr>
                      <w:sz w:val="22"/>
                      <w:szCs w:val="22"/>
                      <w:lang w:eastAsia="ja-JP"/>
                    </w:rPr>
                    <w:t>School leaders and professional staff (e.g., teachers, coaches, and interventionists) in Achievement Gain schools have assumed collective responsibility and ownership of the pursuit of greater student achievement. Strong leaders and proactive leadership teams intentionally foster collective responsibility by mobilizing structures, strategies, practices and the use of resources for the ongoing evaluation and improvement of instruction.</w:t>
                  </w:r>
                </w:p>
                <w:p w:rsidR="0090743D" w:rsidRDefault="0090743D" w:rsidP="00DE5D7C">
                  <w:pPr>
                    <w:widowControl w:val="0"/>
                    <w:autoSpaceDE w:val="0"/>
                    <w:autoSpaceDN w:val="0"/>
                    <w:adjustRightInd w:val="0"/>
                    <w:spacing w:before="40" w:after="40"/>
                    <w:ind w:right="-18"/>
                    <w:rPr>
                      <w:sz w:val="22"/>
                      <w:szCs w:val="22"/>
                      <w:lang w:eastAsia="ja-JP"/>
                    </w:rPr>
                  </w:pPr>
                </w:p>
                <w:p w:rsidR="0090743D" w:rsidRDefault="0090743D" w:rsidP="00DE5D7C">
                  <w:pPr>
                    <w:widowControl w:val="0"/>
                    <w:autoSpaceDE w:val="0"/>
                    <w:autoSpaceDN w:val="0"/>
                    <w:adjustRightInd w:val="0"/>
                    <w:spacing w:before="40" w:after="40"/>
                    <w:ind w:right="-18"/>
                    <w:rPr>
                      <w:sz w:val="23"/>
                      <w:szCs w:val="23"/>
                      <w:lang w:eastAsia="ja-JP"/>
                    </w:rPr>
                  </w:pPr>
                  <w:r>
                    <w:rPr>
                      <w:sz w:val="22"/>
                      <w:szCs w:val="22"/>
                      <w:lang w:eastAsia="ja-JP"/>
                    </w:rPr>
                    <w:t xml:space="preserve">In Achievement Gain schools: </w:t>
                  </w:r>
                </w:p>
                <w:p w:rsidR="0090743D" w:rsidRDefault="0090743D" w:rsidP="00DE5D7C">
                  <w:pPr>
                    <w:widowControl w:val="0"/>
                    <w:tabs>
                      <w:tab w:val="left" w:pos="206"/>
                    </w:tabs>
                    <w:autoSpaceDE w:val="0"/>
                    <w:autoSpaceDN w:val="0"/>
                    <w:adjustRightInd w:val="0"/>
                    <w:spacing w:before="80" w:after="80"/>
                    <w:ind w:left="230" w:right="-14"/>
                    <w:rPr>
                      <w:sz w:val="22"/>
                      <w:szCs w:val="22"/>
                      <w:lang w:eastAsia="ja-JP"/>
                    </w:rPr>
                  </w:pPr>
                  <w:r>
                    <w:rPr>
                      <w:i/>
                      <w:iCs/>
                      <w:sz w:val="22"/>
                      <w:szCs w:val="22"/>
                      <w:lang w:eastAsia="ja-JP"/>
                    </w:rPr>
                    <w:t>Principals</w:t>
                  </w:r>
                  <w:r>
                    <w:rPr>
                      <w:sz w:val="22"/>
                      <w:szCs w:val="22"/>
                      <w:lang w:eastAsia="ja-JP"/>
                    </w:rPr>
                    <w:t xml:space="preserve"> are actively sustaining an effective system of shared leadership and responsibility throughout the school. </w:t>
                  </w:r>
                </w:p>
                <w:p w:rsidR="0090743D" w:rsidRDefault="0090743D" w:rsidP="00DE5D7C">
                  <w:pPr>
                    <w:widowControl w:val="0"/>
                    <w:tabs>
                      <w:tab w:val="left" w:pos="206"/>
                    </w:tabs>
                    <w:autoSpaceDE w:val="0"/>
                    <w:autoSpaceDN w:val="0"/>
                    <w:adjustRightInd w:val="0"/>
                    <w:spacing w:before="80" w:after="80"/>
                    <w:ind w:left="230" w:right="-14"/>
                    <w:rPr>
                      <w:sz w:val="22"/>
                      <w:szCs w:val="22"/>
                      <w:lang w:eastAsia="ja-JP"/>
                    </w:rPr>
                  </w:pPr>
                  <w:r>
                    <w:rPr>
                      <w:i/>
                      <w:iCs/>
                      <w:sz w:val="22"/>
                      <w:szCs w:val="22"/>
                      <w:lang w:eastAsia="ja-JP"/>
                    </w:rPr>
                    <w:t>Leaders and teachers</w:t>
                  </w:r>
                  <w:r w:rsidRPr="00D72EAD">
                    <w:rPr>
                      <w:iCs/>
                      <w:sz w:val="22"/>
                      <w:szCs w:val="22"/>
                      <w:lang w:eastAsia="ja-JP"/>
                    </w:rPr>
                    <w:t xml:space="preserve"> are</w:t>
                  </w:r>
                  <w:r>
                    <w:rPr>
                      <w:i/>
                      <w:iCs/>
                      <w:sz w:val="22"/>
                      <w:szCs w:val="22"/>
                      <w:lang w:eastAsia="ja-JP"/>
                    </w:rPr>
                    <w:t xml:space="preserve"> </w:t>
                  </w:r>
                  <w:r>
                    <w:rPr>
                      <w:sz w:val="22"/>
                      <w:szCs w:val="22"/>
                      <w:lang w:eastAsia="ja-JP"/>
                    </w:rPr>
                    <w:t xml:space="preserve">jointly committed to and have assumed shared ownership and collective responsibility for improving student achievement. </w:t>
                  </w:r>
                </w:p>
                <w:p w:rsidR="0090743D" w:rsidRPr="00B15113" w:rsidRDefault="0090743D" w:rsidP="00DE5D7C">
                  <w:pPr>
                    <w:widowControl w:val="0"/>
                    <w:tabs>
                      <w:tab w:val="left" w:pos="206"/>
                    </w:tabs>
                    <w:autoSpaceDE w:val="0"/>
                    <w:autoSpaceDN w:val="0"/>
                    <w:adjustRightInd w:val="0"/>
                    <w:spacing w:before="80" w:after="80"/>
                    <w:ind w:left="230" w:right="-14"/>
                    <w:rPr>
                      <w:sz w:val="22"/>
                      <w:szCs w:val="22"/>
                      <w:lang w:eastAsia="ja-JP"/>
                    </w:rPr>
                  </w:pPr>
                  <w:r>
                    <w:rPr>
                      <w:i/>
                      <w:iCs/>
                      <w:sz w:val="22"/>
                      <w:szCs w:val="22"/>
                      <w:lang w:eastAsia="ja-JP"/>
                    </w:rPr>
                    <w:t xml:space="preserve">The professional environment </w:t>
                  </w:r>
                  <w:r>
                    <w:rPr>
                      <w:sz w:val="22"/>
                      <w:szCs w:val="22"/>
                      <w:lang w:eastAsia="ja-JP"/>
                    </w:rPr>
                    <w:t>is one of mutual respect, teamwork, and accountability.</w:t>
                  </w:r>
                </w:p>
              </w:txbxContent>
            </v:textbox>
            <w10:wrap type="square"/>
          </v:shape>
        </w:pict>
      </w:r>
      <w:r w:rsidR="0011041D">
        <w:rPr>
          <w:b/>
          <w:noProof/>
        </w:rPr>
        <w:pict>
          <v:shape id="Text Box 11" o:spid="_x0000_s1037" type="#_x0000_t202" style="position:absolute;left:0;text-align:left;margin-left:133.05pt;margin-top:305pt;width:513pt;height:135pt;z-index:2517319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" fillcolor="white [3201]" strokecolor="#4f81bd [3204]" strokeweight=".5pt">
            <v:path arrowok="t"/>
            <v:textbox>
              <w:txbxContent>
                <w:p w:rsidR="0090743D" w:rsidRPr="007A2668" w:rsidRDefault="0090743D" w:rsidP="00DE5D7C">
                  <w:pPr>
                    <w:widowControl w:val="0"/>
                    <w:tabs>
                      <w:tab w:val="left" w:pos="0"/>
                    </w:tabs>
                    <w:autoSpaceDE w:val="0"/>
                    <w:autoSpaceDN w:val="0"/>
                    <w:adjustRightInd w:val="0"/>
                    <w:ind w:right="-18"/>
                    <w:rPr>
                      <w:b/>
                      <w:sz w:val="22"/>
                      <w:szCs w:val="22"/>
                      <w:lang w:eastAsia="ja-JP"/>
                    </w:rPr>
                  </w:pPr>
                  <w:r>
                    <w:rPr>
                      <w:sz w:val="22"/>
                      <w:szCs w:val="22"/>
                      <w:lang w:eastAsia="ja-JP"/>
                    </w:rPr>
                    <w:t xml:space="preserve">In the first year, principals in Achievement Gain schools created </w:t>
                  </w:r>
                  <w:r>
                    <w:rPr>
                      <w:b/>
                      <w:bCs/>
                      <w:sz w:val="22"/>
                      <w:szCs w:val="22"/>
                      <w:lang w:eastAsia="ja-JP"/>
                    </w:rPr>
                    <w:t>collaborative structures for the ongoing collection and analysis of data</w:t>
                  </w:r>
                  <w:r>
                    <w:rPr>
                      <w:sz w:val="22"/>
                      <w:szCs w:val="22"/>
                      <w:lang w:eastAsia="ja-JP"/>
                    </w:rPr>
                    <w:t xml:space="preserve"> and made </w:t>
                  </w:r>
                  <w:r>
                    <w:rPr>
                      <w:b/>
                      <w:bCs/>
                      <w:sz w:val="22"/>
                      <w:szCs w:val="22"/>
                      <w:lang w:eastAsia="ja-JP"/>
                    </w:rPr>
                    <w:t>frequent visits to classrooms, providing constructive feedback to teachers</w:t>
                  </w:r>
                  <w:r>
                    <w:rPr>
                      <w:sz w:val="22"/>
                      <w:szCs w:val="22"/>
                      <w:lang w:eastAsia="ja-JP"/>
                    </w:rPr>
                    <w:t>. Improving student achievement was a non-negotiable priority, and principals supported and engaged their staff in the review of data and development of strategies and practices, fostering a shared sense of responsibility for student achievement throughout the school</w:t>
                  </w:r>
                  <w:r w:rsidRPr="007A2668">
                    <w:rPr>
                      <w:b/>
                      <w:sz w:val="22"/>
                      <w:szCs w:val="22"/>
                      <w:lang w:eastAsia="ja-JP"/>
                    </w:rPr>
                    <w:t xml:space="preserve">. </w:t>
                  </w:r>
                  <w:r w:rsidRPr="007A2668">
                    <w:rPr>
                      <w:b/>
                      <w:bCs/>
                      <w:sz w:val="22"/>
                      <w:szCs w:val="22"/>
                      <w:lang w:eastAsia="ja-JP"/>
                    </w:rPr>
                    <w:t>As a result, teachers and the school community grew in their collective and individual responsibility and commitment to increasing student achievement as well as greater responsiveness and transparency in decision-making throughout the school</w:t>
                  </w:r>
                  <w:r w:rsidRPr="007A2668">
                    <w:rPr>
                      <w:sz w:val="22"/>
                      <w:szCs w:val="22"/>
                      <w:lang w:eastAsia="ja-JP"/>
                    </w:rPr>
                    <w:t>.</w:t>
                  </w:r>
                  <w:r>
                    <w:rPr>
                      <w:sz w:val="22"/>
                      <w:szCs w:val="22"/>
                      <w:lang w:eastAsia="ja-JP"/>
                    </w:rPr>
                    <w:t xml:space="preserve"> In Achievement Gain schools, </w:t>
                  </w:r>
                  <w:r w:rsidRPr="007A2668">
                    <w:rPr>
                      <w:sz w:val="22"/>
                      <w:szCs w:val="22"/>
                      <w:lang w:eastAsia="ja-JP"/>
                    </w:rPr>
                    <w:t>an instruction- and results-oriented leadership approach has emerged as collective accountability for increasing student achievement.</w:t>
                  </w:r>
                </w:p>
              </w:txbxContent>
            </v:textbox>
            <w10:wrap type="square"/>
          </v:shape>
        </w:pict>
      </w:r>
    </w:p>
    <w:p w:rsidR="008F5906" w:rsidRDefault="00DE5D7C">
      <w:r w:rsidRPr="00DE5D7C">
        <w:rPr>
          <w:b/>
          <w:noProof/>
          <w:lang w:eastAsia="zh-CN"/>
        </w:rPr>
        <w:drawing>
          <wp:anchor distT="0" distB="0" distL="114300" distR="114300" simplePos="0" relativeHeight="251728896" behindDoc="0" locked="0" layoutInCell="1" allowOverlap="1">
            <wp:simplePos x="0" y="0"/>
            <wp:positionH relativeFrom="margin">
              <wp:posOffset>318135</wp:posOffset>
            </wp:positionH>
            <wp:positionV relativeFrom="margin">
              <wp:posOffset>770890</wp:posOffset>
            </wp:positionV>
            <wp:extent cx="1055370" cy="4343400"/>
            <wp:effectExtent l="0" t="0" r="0" b="0"/>
            <wp:wrapSquare wrapText="bothSides"/>
            <wp:docPr id="12" name="Picture 12" descr="In the first year of Turnaround&#10;Through two years of Turnaround&#10;Moving towards Sustainable Turna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5370" cy="4343400"/>
                    </a:xfrm>
                    <a:prstGeom prst="rect">
                      <a:avLst/>
                    </a:prstGeom>
                    <a:noFill/>
                    <a:ln>
                      <a:noFill/>
                    </a:ln>
                  </pic:spPr>
                </pic:pic>
              </a:graphicData>
            </a:graphic>
          </wp:anchor>
        </w:drawing>
      </w:r>
      <w:r w:rsidR="008F5906">
        <w:br w:type="page"/>
      </w:r>
    </w:p>
    <w:tbl>
      <w:tblPr>
        <w:tblStyle w:val="TableGrid"/>
        <w:tblW w:w="13878" w:type="dxa"/>
        <w:tblBorders>
          <w:top w:val="none" w:sz="0" w:space="0" w:color="auto"/>
          <w:left w:val="none" w:sz="0" w:space="0" w:color="auto"/>
          <w:right w:val="none" w:sz="0" w:space="0" w:color="auto"/>
        </w:tblBorders>
        <w:tblLook w:val="04A0"/>
      </w:tblPr>
      <w:tblGrid>
        <w:gridCol w:w="7848"/>
        <w:gridCol w:w="6030"/>
      </w:tblGrid>
      <w:tr w:rsidR="00B0072C" w:rsidTr="007810FE">
        <w:tc>
          <w:tcPr>
            <w:tcW w:w="7848" w:type="dxa"/>
            <w:tcBorders>
              <w:bottom w:val="single" w:sz="4" w:space="0" w:color="auto"/>
            </w:tcBorders>
            <w:vAlign w:val="center"/>
          </w:tcPr>
          <w:p w:rsidR="00B0072C" w:rsidRPr="009D77D7" w:rsidRDefault="00B0072C" w:rsidP="000775E3">
            <w:pPr>
              <w:spacing w:before="80" w:after="80"/>
              <w:jc w:val="center"/>
              <w:rPr>
                <w:rFonts w:ascii="Times New Roman" w:hAnsi="Times New Roman" w:cs="Times New Roman"/>
                <w:b/>
                <w:sz w:val="22"/>
                <w:szCs w:val="22"/>
              </w:rPr>
            </w:pPr>
            <w:r w:rsidRPr="009D77D7">
              <w:rPr>
                <w:rFonts w:ascii="Times New Roman" w:hAnsi="Times New Roman" w:cs="Times New Roman"/>
                <w:b/>
                <w:sz w:val="22"/>
                <w:szCs w:val="22"/>
              </w:rPr>
              <w:lastRenderedPageBreak/>
              <w:t>In schools making progress over two years…</w:t>
            </w:r>
          </w:p>
        </w:tc>
        <w:tc>
          <w:tcPr>
            <w:tcW w:w="6030" w:type="dxa"/>
            <w:tcBorders>
              <w:bottom w:val="single" w:sz="4" w:space="0" w:color="auto"/>
            </w:tcBorders>
          </w:tcPr>
          <w:p w:rsidR="00B0072C" w:rsidRPr="009D77D7" w:rsidRDefault="00B0072C" w:rsidP="000775E3">
            <w:pPr>
              <w:spacing w:before="80" w:after="80"/>
              <w:rPr>
                <w:rFonts w:ascii="Times New Roman" w:hAnsi="Times New Roman" w:cs="Times New Roman"/>
                <w:b/>
                <w:sz w:val="22"/>
                <w:szCs w:val="22"/>
              </w:rPr>
            </w:pPr>
            <w:r w:rsidRPr="009D77D7">
              <w:rPr>
                <w:rFonts w:ascii="Times New Roman" w:hAnsi="Times New Roman" w:cs="Times New Roman"/>
                <w:b/>
                <w:sz w:val="22"/>
                <w:szCs w:val="22"/>
              </w:rPr>
              <w:t xml:space="preserve">In </w:t>
            </w:r>
            <w:r w:rsidR="002B7CCD" w:rsidRPr="009D77D7">
              <w:rPr>
                <w:rFonts w:ascii="Times New Roman" w:hAnsi="Times New Roman" w:cs="Times New Roman"/>
                <w:b/>
                <w:sz w:val="22"/>
                <w:szCs w:val="22"/>
              </w:rPr>
              <w:t xml:space="preserve">contrast, </w:t>
            </w:r>
            <w:r w:rsidRPr="009D77D7">
              <w:rPr>
                <w:rFonts w:ascii="Times New Roman" w:hAnsi="Times New Roman" w:cs="Times New Roman"/>
                <w:b/>
                <w:sz w:val="22"/>
                <w:szCs w:val="22"/>
              </w:rPr>
              <w:t>schools not making progress over two years…</w:t>
            </w:r>
          </w:p>
        </w:tc>
      </w:tr>
      <w:tr w:rsidR="00B0072C" w:rsidTr="007810FE">
        <w:tc>
          <w:tcPr>
            <w:tcW w:w="7848" w:type="dxa"/>
            <w:tcBorders>
              <w:top w:val="single" w:sz="4" w:space="0" w:color="auto"/>
              <w:bottom w:val="nil"/>
            </w:tcBorders>
          </w:tcPr>
          <w:p w:rsidR="00B0072C" w:rsidRPr="009D77D7" w:rsidRDefault="00B0072C" w:rsidP="001E4CC1">
            <w:pPr>
              <w:tabs>
                <w:tab w:val="left" w:pos="90"/>
              </w:tabs>
              <w:spacing w:before="120"/>
              <w:rPr>
                <w:rFonts w:ascii="Times New Roman" w:hAnsi="Times New Roman" w:cs="Times New Roman"/>
                <w:i/>
                <w:sz w:val="22"/>
                <w:szCs w:val="22"/>
              </w:rPr>
            </w:pPr>
            <w:r w:rsidRPr="009D77D7">
              <w:rPr>
                <w:rFonts w:ascii="Times New Roman" w:hAnsi="Times New Roman" w:cs="Times New Roman"/>
                <w:i/>
                <w:sz w:val="22"/>
                <w:szCs w:val="22"/>
              </w:rPr>
              <w:t>Strong principal</w:t>
            </w:r>
            <w:r w:rsidR="00ED2B0D" w:rsidRPr="009D77D7">
              <w:rPr>
                <w:rFonts w:ascii="Times New Roman" w:hAnsi="Times New Roman" w:cs="Times New Roman"/>
                <w:i/>
                <w:sz w:val="22"/>
                <w:szCs w:val="22"/>
              </w:rPr>
              <w:t xml:space="preserve">s are </w:t>
            </w:r>
            <w:r w:rsidRPr="009D77D7">
              <w:rPr>
                <w:rFonts w:ascii="Times New Roman" w:hAnsi="Times New Roman" w:cs="Times New Roman"/>
                <w:i/>
                <w:sz w:val="22"/>
                <w:szCs w:val="22"/>
              </w:rPr>
              <w:t>actively sustaining an effective system of shared leadership and resp</w:t>
            </w:r>
            <w:r w:rsidR="008A2774" w:rsidRPr="009D77D7">
              <w:rPr>
                <w:rFonts w:ascii="Times New Roman" w:hAnsi="Times New Roman" w:cs="Times New Roman"/>
                <w:i/>
                <w:sz w:val="22"/>
                <w:szCs w:val="22"/>
              </w:rPr>
              <w:t>onsibility throughout the school with an articulated focus on high-quality instruction</w:t>
            </w:r>
            <w:r w:rsidR="000775E3" w:rsidRPr="009D77D7">
              <w:rPr>
                <w:rFonts w:ascii="Times New Roman" w:hAnsi="Times New Roman" w:cs="Times New Roman"/>
                <w:i/>
                <w:sz w:val="22"/>
                <w:szCs w:val="22"/>
              </w:rPr>
              <w:t xml:space="preserve"> and immediate response to student needs. </w:t>
            </w:r>
            <w:r w:rsidRPr="009D77D7">
              <w:rPr>
                <w:rFonts w:ascii="Times New Roman" w:hAnsi="Times New Roman" w:cs="Times New Roman"/>
                <w:i/>
                <w:sz w:val="22"/>
                <w:szCs w:val="22"/>
              </w:rPr>
              <w:t xml:space="preserve"> </w:t>
            </w:r>
          </w:p>
          <w:p w:rsidR="00B0072C" w:rsidRPr="009D77D7" w:rsidRDefault="00B0072C" w:rsidP="00145FF0">
            <w:pPr>
              <w:pStyle w:val="ListParagraph"/>
              <w:numPr>
                <w:ilvl w:val="0"/>
                <w:numId w:val="3"/>
              </w:numPr>
              <w:spacing w:before="120" w:after="120"/>
              <w:ind w:left="540"/>
              <w:contextualSpacing w:val="0"/>
              <w:rPr>
                <w:rFonts w:ascii="Times New Roman" w:hAnsi="Times New Roman" w:cs="Times New Roman"/>
                <w:sz w:val="22"/>
                <w:szCs w:val="22"/>
              </w:rPr>
            </w:pPr>
            <w:r w:rsidRPr="009D77D7">
              <w:rPr>
                <w:rFonts w:ascii="Times New Roman" w:hAnsi="Times New Roman" w:cs="Times New Roman"/>
                <w:sz w:val="22"/>
                <w:szCs w:val="22"/>
              </w:rPr>
              <w:t xml:space="preserve">The principal deliberately established </w:t>
            </w:r>
            <w:r w:rsidR="00F03B67" w:rsidRPr="009D77D7">
              <w:rPr>
                <w:rFonts w:ascii="Times New Roman" w:hAnsi="Times New Roman" w:cs="Times New Roman"/>
                <w:sz w:val="22"/>
                <w:szCs w:val="22"/>
              </w:rPr>
              <w:t>a leadership team (often an Instructional Leadership Team, or ILT)</w:t>
            </w:r>
            <w:r w:rsidRPr="009D77D7">
              <w:rPr>
                <w:rFonts w:ascii="Times New Roman" w:hAnsi="Times New Roman" w:cs="Times New Roman"/>
                <w:sz w:val="22"/>
                <w:szCs w:val="22"/>
              </w:rPr>
              <w:t xml:space="preserve"> that espouses shared ownership and responsibility for directing and managing the </w:t>
            </w:r>
            <w:r w:rsidR="002B7CCD" w:rsidRPr="009D77D7">
              <w:rPr>
                <w:rFonts w:ascii="Times New Roman" w:hAnsi="Times New Roman" w:cs="Times New Roman"/>
                <w:sz w:val="22"/>
                <w:szCs w:val="22"/>
              </w:rPr>
              <w:t xml:space="preserve">school’s </w:t>
            </w:r>
            <w:r w:rsidRPr="009D77D7">
              <w:rPr>
                <w:rFonts w:ascii="Times New Roman" w:hAnsi="Times New Roman" w:cs="Times New Roman"/>
                <w:sz w:val="22"/>
                <w:szCs w:val="22"/>
              </w:rPr>
              <w:t>i</w:t>
            </w:r>
            <w:r w:rsidR="002B7CCD" w:rsidRPr="009D77D7">
              <w:rPr>
                <w:rFonts w:ascii="Times New Roman" w:hAnsi="Times New Roman" w:cs="Times New Roman"/>
                <w:sz w:val="22"/>
                <w:szCs w:val="22"/>
              </w:rPr>
              <w:t>nstructional focus</w:t>
            </w:r>
            <w:r w:rsidRPr="009D77D7">
              <w:rPr>
                <w:rFonts w:ascii="Times New Roman" w:hAnsi="Times New Roman" w:cs="Times New Roman"/>
                <w:sz w:val="22"/>
                <w:szCs w:val="22"/>
              </w:rPr>
              <w:t xml:space="preserve">. The </w:t>
            </w:r>
            <w:r w:rsidR="00F03B67" w:rsidRPr="009D77D7">
              <w:rPr>
                <w:rFonts w:ascii="Times New Roman" w:hAnsi="Times New Roman" w:cs="Times New Roman"/>
                <w:sz w:val="22"/>
                <w:szCs w:val="22"/>
              </w:rPr>
              <w:t>ILT</w:t>
            </w:r>
            <w:r w:rsidRPr="009D77D7">
              <w:rPr>
                <w:rFonts w:ascii="Times New Roman" w:hAnsi="Times New Roman" w:cs="Times New Roman"/>
                <w:sz w:val="22"/>
                <w:szCs w:val="22"/>
              </w:rPr>
              <w:t xml:space="preserve"> supports decision-making through the </w:t>
            </w:r>
            <w:r w:rsidR="008B16B9" w:rsidRPr="009D77D7">
              <w:rPr>
                <w:rFonts w:ascii="Times New Roman" w:hAnsi="Times New Roman" w:cs="Times New Roman"/>
                <w:sz w:val="22"/>
                <w:szCs w:val="22"/>
              </w:rPr>
              <w:t xml:space="preserve">frequent review of student data, </w:t>
            </w:r>
            <w:r w:rsidRPr="009D77D7">
              <w:rPr>
                <w:rFonts w:ascii="Times New Roman" w:hAnsi="Times New Roman" w:cs="Times New Roman"/>
                <w:sz w:val="22"/>
                <w:szCs w:val="22"/>
              </w:rPr>
              <w:t xml:space="preserve">evaluating the effectiveness of team meetings and </w:t>
            </w:r>
            <w:r w:rsidR="008B16B9" w:rsidRPr="009D77D7">
              <w:rPr>
                <w:rFonts w:ascii="Times New Roman" w:hAnsi="Times New Roman" w:cs="Times New Roman"/>
                <w:sz w:val="22"/>
                <w:szCs w:val="22"/>
              </w:rPr>
              <w:t xml:space="preserve">teachers’ instruction, </w:t>
            </w:r>
            <w:r w:rsidRPr="009D77D7">
              <w:rPr>
                <w:rFonts w:ascii="Times New Roman" w:hAnsi="Times New Roman" w:cs="Times New Roman"/>
                <w:sz w:val="22"/>
                <w:szCs w:val="22"/>
              </w:rPr>
              <w:t>planning professional development</w:t>
            </w:r>
            <w:r w:rsidR="002B7CCD" w:rsidRPr="009D77D7">
              <w:rPr>
                <w:rFonts w:ascii="Times New Roman" w:hAnsi="Times New Roman" w:cs="Times New Roman"/>
                <w:sz w:val="22"/>
                <w:szCs w:val="22"/>
              </w:rPr>
              <w:t>,</w:t>
            </w:r>
            <w:r w:rsidRPr="009D77D7">
              <w:rPr>
                <w:rFonts w:ascii="Times New Roman" w:hAnsi="Times New Roman" w:cs="Times New Roman"/>
                <w:sz w:val="22"/>
                <w:szCs w:val="22"/>
              </w:rPr>
              <w:t xml:space="preserve"> and adapting the school schedule and staffing to meet needs. </w:t>
            </w:r>
          </w:p>
          <w:p w:rsidR="00B0072C" w:rsidRPr="009D77D7" w:rsidRDefault="00B0072C" w:rsidP="00145FF0">
            <w:pPr>
              <w:pStyle w:val="ListParagraph"/>
              <w:numPr>
                <w:ilvl w:val="0"/>
                <w:numId w:val="3"/>
              </w:numPr>
              <w:spacing w:before="120" w:after="120"/>
              <w:ind w:left="540"/>
              <w:contextualSpacing w:val="0"/>
              <w:rPr>
                <w:rFonts w:ascii="Times New Roman" w:hAnsi="Times New Roman" w:cs="Times New Roman"/>
                <w:sz w:val="22"/>
                <w:szCs w:val="22"/>
              </w:rPr>
            </w:pPr>
            <w:r w:rsidRPr="009D77D7">
              <w:rPr>
                <w:rFonts w:ascii="Times New Roman" w:hAnsi="Times New Roman" w:cs="Times New Roman"/>
                <w:sz w:val="22"/>
                <w:szCs w:val="22"/>
              </w:rPr>
              <w:t xml:space="preserve">Multiple administrator- or teacher-led teams (data teams, grade-level teams) are working on behalf of student achievement by looking at student data together and developing tiered interventions and classroom-specific action plans.  </w:t>
            </w:r>
          </w:p>
          <w:p w:rsidR="00B0072C" w:rsidRPr="009D77D7" w:rsidRDefault="00B0072C" w:rsidP="00CF5E99">
            <w:pPr>
              <w:tabs>
                <w:tab w:val="left" w:pos="90"/>
              </w:tabs>
              <w:rPr>
                <w:rFonts w:ascii="Times New Roman" w:hAnsi="Times New Roman" w:cs="Times New Roman"/>
                <w:i/>
                <w:sz w:val="22"/>
                <w:szCs w:val="22"/>
              </w:rPr>
            </w:pPr>
            <w:r w:rsidRPr="009D77D7">
              <w:rPr>
                <w:rFonts w:ascii="Times New Roman" w:hAnsi="Times New Roman" w:cs="Times New Roman"/>
                <w:i/>
                <w:sz w:val="22"/>
                <w:szCs w:val="22"/>
              </w:rPr>
              <w:t>Leaders and teachers jointly commit</w:t>
            </w:r>
            <w:r w:rsidR="00020F77" w:rsidRPr="009D77D7">
              <w:rPr>
                <w:rFonts w:ascii="Times New Roman" w:hAnsi="Times New Roman" w:cs="Times New Roman"/>
                <w:i/>
                <w:sz w:val="22"/>
                <w:szCs w:val="22"/>
              </w:rPr>
              <w:t>ted</w:t>
            </w:r>
            <w:r w:rsidRPr="009D77D7">
              <w:rPr>
                <w:rFonts w:ascii="Times New Roman" w:hAnsi="Times New Roman" w:cs="Times New Roman"/>
                <w:i/>
                <w:sz w:val="22"/>
                <w:szCs w:val="22"/>
              </w:rPr>
              <w:t xml:space="preserve"> to and have assumed shared ownership and collective responsibility for improving student achievement. </w:t>
            </w:r>
          </w:p>
          <w:p w:rsidR="00B0072C" w:rsidRPr="009D77D7" w:rsidRDefault="00B0072C" w:rsidP="00145FF0">
            <w:pPr>
              <w:pStyle w:val="ListParagraph"/>
              <w:numPr>
                <w:ilvl w:val="0"/>
                <w:numId w:val="4"/>
              </w:numPr>
              <w:spacing w:before="120" w:after="120"/>
              <w:ind w:left="547"/>
              <w:contextualSpacing w:val="0"/>
              <w:rPr>
                <w:rFonts w:ascii="Times New Roman" w:hAnsi="Times New Roman" w:cs="Times New Roman"/>
                <w:sz w:val="22"/>
                <w:szCs w:val="22"/>
              </w:rPr>
            </w:pPr>
            <w:r w:rsidRPr="009D77D7">
              <w:rPr>
                <w:rFonts w:ascii="Times New Roman" w:hAnsi="Times New Roman" w:cs="Times New Roman"/>
                <w:sz w:val="22"/>
                <w:szCs w:val="22"/>
              </w:rPr>
              <w:t xml:space="preserve">The </w:t>
            </w:r>
            <w:r w:rsidR="00F03B67" w:rsidRPr="009D77D7">
              <w:rPr>
                <w:rFonts w:ascii="Times New Roman" w:hAnsi="Times New Roman" w:cs="Times New Roman"/>
                <w:sz w:val="22"/>
                <w:szCs w:val="22"/>
              </w:rPr>
              <w:t>ILT team</w:t>
            </w:r>
            <w:r w:rsidRPr="009D77D7">
              <w:rPr>
                <w:rFonts w:ascii="Times New Roman" w:hAnsi="Times New Roman" w:cs="Times New Roman"/>
                <w:sz w:val="22"/>
                <w:szCs w:val="22"/>
              </w:rPr>
              <w:t xml:space="preserve"> and teams of teachers are taking shared ownership and responsibility for the achievement of their students through frequent analysis of data and actions in response to identified needs. “We’re all here to monitor that data. It’s not just one person’s responsibility.”  </w:t>
            </w:r>
          </w:p>
          <w:p w:rsidR="00B0072C" w:rsidRPr="009D77D7" w:rsidRDefault="00B0072C" w:rsidP="00145FF0">
            <w:pPr>
              <w:pStyle w:val="ListParagraph"/>
              <w:numPr>
                <w:ilvl w:val="0"/>
                <w:numId w:val="4"/>
              </w:numPr>
              <w:spacing w:before="120" w:after="120"/>
              <w:ind w:left="547"/>
              <w:contextualSpacing w:val="0"/>
              <w:rPr>
                <w:rFonts w:ascii="Times New Roman" w:hAnsi="Times New Roman" w:cs="Times New Roman"/>
                <w:sz w:val="22"/>
                <w:szCs w:val="22"/>
              </w:rPr>
            </w:pPr>
            <w:r w:rsidRPr="009D77D7">
              <w:rPr>
                <w:rFonts w:ascii="Times New Roman" w:hAnsi="Times New Roman" w:cs="Times New Roman"/>
                <w:sz w:val="22"/>
                <w:szCs w:val="22"/>
              </w:rPr>
              <w:t xml:space="preserve">Teachers are taking on more leadership roles, and collaboratively identifying areas of student need and plans to meet those needs, whether it be revising student groups, identifying new strategies, or juggling interventions for students. Teachers are actively taking ownership for developing new strategies, rather than have strategies suggested by the principal or district leaders. </w:t>
            </w:r>
          </w:p>
          <w:p w:rsidR="00B0072C" w:rsidRPr="009D77D7" w:rsidRDefault="00B0072C" w:rsidP="00CF5E99">
            <w:pPr>
              <w:tabs>
                <w:tab w:val="left" w:pos="90"/>
              </w:tabs>
              <w:spacing w:line="288" w:lineRule="auto"/>
              <w:rPr>
                <w:rFonts w:ascii="Times New Roman" w:hAnsi="Times New Roman" w:cs="Times New Roman"/>
                <w:i/>
                <w:sz w:val="22"/>
                <w:szCs w:val="22"/>
              </w:rPr>
            </w:pPr>
            <w:r w:rsidRPr="009D77D7">
              <w:rPr>
                <w:rFonts w:ascii="Times New Roman" w:hAnsi="Times New Roman" w:cs="Times New Roman"/>
                <w:i/>
                <w:sz w:val="22"/>
                <w:szCs w:val="22"/>
              </w:rPr>
              <w:t>The professional environment is one of mutual respect, teamwork, and accountability.</w:t>
            </w:r>
          </w:p>
          <w:p w:rsidR="00B0072C" w:rsidRPr="009D77D7" w:rsidRDefault="00B0072C" w:rsidP="00145FF0">
            <w:pPr>
              <w:pStyle w:val="ListParagraph"/>
              <w:numPr>
                <w:ilvl w:val="0"/>
                <w:numId w:val="5"/>
              </w:numPr>
              <w:spacing w:before="120" w:after="120"/>
              <w:ind w:left="540"/>
              <w:contextualSpacing w:val="0"/>
              <w:rPr>
                <w:rFonts w:ascii="Times New Roman" w:hAnsi="Times New Roman" w:cs="Times New Roman"/>
                <w:sz w:val="22"/>
                <w:szCs w:val="22"/>
              </w:rPr>
            </w:pPr>
            <w:r w:rsidRPr="009D77D7">
              <w:rPr>
                <w:rFonts w:ascii="Times New Roman" w:hAnsi="Times New Roman" w:cs="Times New Roman"/>
                <w:sz w:val="22"/>
                <w:szCs w:val="22"/>
              </w:rPr>
              <w:t xml:space="preserve">Teams are working effectively together with clear goals and agendas, and employing effective meeting practices resulting in responsive actions based on a deliberate review of data and observation. </w:t>
            </w:r>
          </w:p>
          <w:p w:rsidR="00B0072C" w:rsidRPr="009D77D7" w:rsidRDefault="002B7CCD" w:rsidP="00145FF0">
            <w:pPr>
              <w:pStyle w:val="ListParagraph"/>
              <w:numPr>
                <w:ilvl w:val="0"/>
                <w:numId w:val="5"/>
              </w:numPr>
              <w:spacing w:before="120" w:after="120"/>
              <w:ind w:left="540"/>
              <w:contextualSpacing w:val="0"/>
              <w:rPr>
                <w:sz w:val="22"/>
                <w:szCs w:val="22"/>
              </w:rPr>
            </w:pPr>
            <w:r w:rsidRPr="009D77D7">
              <w:rPr>
                <w:rFonts w:ascii="Times New Roman" w:hAnsi="Times New Roman" w:cs="Times New Roman"/>
                <w:sz w:val="22"/>
                <w:szCs w:val="22"/>
              </w:rPr>
              <w:t>There is a high level of</w:t>
            </w:r>
            <w:r w:rsidR="00B0072C" w:rsidRPr="009D77D7">
              <w:rPr>
                <w:rFonts w:ascii="Times New Roman" w:hAnsi="Times New Roman" w:cs="Times New Roman"/>
                <w:sz w:val="22"/>
                <w:szCs w:val="22"/>
              </w:rPr>
              <w:t xml:space="preserve"> professionalism and respect amongst staff, stemming from clearer expectations for professional behavior around attendance, timeliness, respectful interactions, and high expectations for teamwork.</w:t>
            </w:r>
            <w:r w:rsidR="00B0072C" w:rsidRPr="009D77D7">
              <w:rPr>
                <w:sz w:val="22"/>
                <w:szCs w:val="22"/>
              </w:rPr>
              <w:t xml:space="preserve">  </w:t>
            </w:r>
          </w:p>
        </w:tc>
        <w:tc>
          <w:tcPr>
            <w:tcW w:w="6030" w:type="dxa"/>
            <w:tcBorders>
              <w:top w:val="single" w:sz="4" w:space="0" w:color="auto"/>
              <w:bottom w:val="nil"/>
            </w:tcBorders>
          </w:tcPr>
          <w:p w:rsidR="002B7CCD" w:rsidRPr="009D77D7" w:rsidRDefault="002B7CCD" w:rsidP="001E4CC1">
            <w:pPr>
              <w:spacing w:before="120"/>
              <w:rPr>
                <w:rFonts w:ascii="Times New Roman" w:hAnsi="Times New Roman" w:cs="Times New Roman"/>
                <w:i/>
                <w:sz w:val="22"/>
                <w:szCs w:val="22"/>
              </w:rPr>
            </w:pPr>
            <w:r w:rsidRPr="009D77D7">
              <w:rPr>
                <w:rFonts w:ascii="Times New Roman" w:hAnsi="Times New Roman" w:cs="Times New Roman"/>
                <w:i/>
                <w:sz w:val="22"/>
                <w:szCs w:val="22"/>
              </w:rPr>
              <w:t xml:space="preserve">Do not </w:t>
            </w:r>
            <w:r w:rsidR="00786BA8" w:rsidRPr="009D77D7">
              <w:rPr>
                <w:rFonts w:ascii="Times New Roman" w:hAnsi="Times New Roman" w:cs="Times New Roman"/>
                <w:i/>
                <w:sz w:val="22"/>
                <w:szCs w:val="22"/>
              </w:rPr>
              <w:t>have an effective system of</w:t>
            </w:r>
            <w:r w:rsidRPr="009D77D7">
              <w:rPr>
                <w:rFonts w:ascii="Times New Roman" w:hAnsi="Times New Roman" w:cs="Times New Roman"/>
                <w:i/>
                <w:sz w:val="22"/>
                <w:szCs w:val="22"/>
              </w:rPr>
              <w:t xml:space="preserve"> </w:t>
            </w:r>
            <w:r w:rsidR="00786BA8" w:rsidRPr="009D77D7">
              <w:rPr>
                <w:rFonts w:ascii="Times New Roman" w:hAnsi="Times New Roman" w:cs="Times New Roman"/>
                <w:i/>
                <w:sz w:val="22"/>
                <w:szCs w:val="22"/>
              </w:rPr>
              <w:t xml:space="preserve">shared leadership and </w:t>
            </w:r>
            <w:r w:rsidRPr="009D77D7">
              <w:rPr>
                <w:rFonts w:ascii="Times New Roman" w:hAnsi="Times New Roman" w:cs="Times New Roman"/>
                <w:i/>
                <w:sz w:val="22"/>
                <w:szCs w:val="22"/>
              </w:rPr>
              <w:t>shared responsibility for all students around an articulated focus and definition of high quality instruction.</w:t>
            </w:r>
          </w:p>
          <w:p w:rsidR="002B7CCD" w:rsidRPr="009D77D7" w:rsidRDefault="002B7CCD" w:rsidP="00145FF0">
            <w:pPr>
              <w:pStyle w:val="ListParagraph"/>
              <w:numPr>
                <w:ilvl w:val="0"/>
                <w:numId w:val="18"/>
              </w:numPr>
              <w:spacing w:before="120" w:after="120"/>
              <w:ind w:left="518"/>
              <w:contextualSpacing w:val="0"/>
              <w:rPr>
                <w:rFonts w:ascii="Times New Roman" w:hAnsi="Times New Roman" w:cs="Times New Roman"/>
                <w:b/>
                <w:sz w:val="22"/>
                <w:szCs w:val="22"/>
              </w:rPr>
            </w:pPr>
            <w:r w:rsidRPr="009D77D7">
              <w:rPr>
                <w:rFonts w:ascii="Times New Roman" w:hAnsi="Times New Roman" w:cs="Times New Roman"/>
                <w:sz w:val="22"/>
                <w:szCs w:val="22"/>
              </w:rPr>
              <w:t xml:space="preserve">The principal has yet to establish a strategically focused and broadly representative leadership team that meets frequently to review data, </w:t>
            </w:r>
            <w:r w:rsidR="008B16B9" w:rsidRPr="009D77D7">
              <w:rPr>
                <w:rFonts w:ascii="Times New Roman" w:hAnsi="Times New Roman" w:cs="Times New Roman"/>
                <w:sz w:val="22"/>
                <w:szCs w:val="22"/>
              </w:rPr>
              <w:t>discuss the</w:t>
            </w:r>
            <w:r w:rsidRPr="009D77D7">
              <w:rPr>
                <w:rFonts w:ascii="Times New Roman" w:hAnsi="Times New Roman" w:cs="Times New Roman"/>
                <w:sz w:val="22"/>
                <w:szCs w:val="22"/>
              </w:rPr>
              <w:t xml:space="preserve"> needs of teachers and students, and develop and coordinate efforts</w:t>
            </w:r>
            <w:r w:rsidR="00E8706F" w:rsidRPr="009D77D7">
              <w:rPr>
                <w:rFonts w:ascii="Times New Roman" w:hAnsi="Times New Roman" w:cs="Times New Roman"/>
                <w:sz w:val="22"/>
                <w:szCs w:val="22"/>
              </w:rPr>
              <w:t xml:space="preserve">, </w:t>
            </w:r>
            <w:r w:rsidR="00E8706F" w:rsidRPr="009D77D7">
              <w:rPr>
                <w:rFonts w:ascii="Times New Roman" w:hAnsi="Times New Roman" w:cs="Times New Roman"/>
                <w:b/>
                <w:sz w:val="22"/>
                <w:szCs w:val="22"/>
              </w:rPr>
              <w:t>or</w:t>
            </w:r>
          </w:p>
          <w:p w:rsidR="002B7CCD" w:rsidRPr="009D77D7" w:rsidRDefault="00E8706F" w:rsidP="00145FF0">
            <w:pPr>
              <w:pStyle w:val="ListParagraph"/>
              <w:numPr>
                <w:ilvl w:val="0"/>
                <w:numId w:val="18"/>
              </w:numPr>
              <w:spacing w:before="120" w:after="120"/>
              <w:ind w:left="518"/>
              <w:contextualSpacing w:val="0"/>
              <w:rPr>
                <w:rFonts w:ascii="Times New Roman" w:hAnsi="Times New Roman" w:cs="Times New Roman"/>
                <w:b/>
                <w:sz w:val="22"/>
                <w:szCs w:val="22"/>
              </w:rPr>
            </w:pPr>
            <w:r w:rsidRPr="009D77D7">
              <w:rPr>
                <w:rFonts w:ascii="Times New Roman" w:hAnsi="Times New Roman" w:cs="Times New Roman"/>
                <w:sz w:val="22"/>
                <w:szCs w:val="22"/>
              </w:rPr>
              <w:t>A leadership team was formed, but did not intensively focus</w:t>
            </w:r>
            <w:r w:rsidR="002B7CCD" w:rsidRPr="009D77D7">
              <w:rPr>
                <w:rFonts w:ascii="Times New Roman" w:hAnsi="Times New Roman" w:cs="Times New Roman"/>
                <w:sz w:val="22"/>
                <w:szCs w:val="22"/>
              </w:rPr>
              <w:t xml:space="preserve"> on high-quality instructional practices </w:t>
            </w:r>
            <w:r w:rsidRPr="009D77D7">
              <w:rPr>
                <w:rFonts w:ascii="Times New Roman" w:hAnsi="Times New Roman" w:cs="Times New Roman"/>
                <w:sz w:val="22"/>
                <w:szCs w:val="22"/>
              </w:rPr>
              <w:t>and the</w:t>
            </w:r>
            <w:r w:rsidR="002B7CCD" w:rsidRPr="009D77D7">
              <w:rPr>
                <w:rFonts w:ascii="Times New Roman" w:hAnsi="Times New Roman" w:cs="Times New Roman"/>
                <w:sz w:val="22"/>
                <w:szCs w:val="22"/>
              </w:rPr>
              <w:t xml:space="preserve"> collective review and demonstration of such practices</w:t>
            </w:r>
            <w:r w:rsidR="00786BA8" w:rsidRPr="009D77D7">
              <w:rPr>
                <w:rFonts w:ascii="Times New Roman" w:hAnsi="Times New Roman" w:cs="Times New Roman"/>
                <w:sz w:val="22"/>
                <w:szCs w:val="22"/>
              </w:rPr>
              <w:t>.</w:t>
            </w:r>
          </w:p>
          <w:p w:rsidR="000775E3" w:rsidRPr="009D77D7" w:rsidRDefault="000775E3" w:rsidP="008B16B9">
            <w:pPr>
              <w:spacing w:before="120" w:after="120"/>
              <w:rPr>
                <w:rFonts w:ascii="Times New Roman" w:hAnsi="Times New Roman" w:cs="Times New Roman"/>
                <w:i/>
                <w:sz w:val="22"/>
                <w:szCs w:val="22"/>
              </w:rPr>
            </w:pPr>
          </w:p>
          <w:p w:rsidR="006661D2" w:rsidRPr="009D77D7" w:rsidRDefault="006661D2" w:rsidP="008B16B9">
            <w:pPr>
              <w:spacing w:before="120" w:after="120"/>
              <w:rPr>
                <w:rFonts w:ascii="Times New Roman" w:hAnsi="Times New Roman" w:cs="Times New Roman"/>
                <w:i/>
                <w:sz w:val="22"/>
                <w:szCs w:val="22"/>
              </w:rPr>
            </w:pPr>
            <w:r w:rsidRPr="009D77D7">
              <w:rPr>
                <w:rFonts w:ascii="Times New Roman" w:hAnsi="Times New Roman" w:cs="Times New Roman"/>
                <w:i/>
                <w:sz w:val="22"/>
                <w:szCs w:val="22"/>
              </w:rPr>
              <w:t>Are places where t</w:t>
            </w:r>
            <w:r w:rsidR="00B0072C" w:rsidRPr="009D77D7">
              <w:rPr>
                <w:rFonts w:ascii="Times New Roman" w:hAnsi="Times New Roman" w:cs="Times New Roman"/>
                <w:i/>
                <w:sz w:val="22"/>
                <w:szCs w:val="22"/>
              </w:rPr>
              <w:t xml:space="preserve">he entire school community (principal, teachers, and professional staff) </w:t>
            </w:r>
            <w:r w:rsidRPr="009D77D7">
              <w:rPr>
                <w:rFonts w:ascii="Times New Roman" w:hAnsi="Times New Roman" w:cs="Times New Roman"/>
                <w:i/>
                <w:sz w:val="22"/>
                <w:szCs w:val="22"/>
              </w:rPr>
              <w:t xml:space="preserve">has </w:t>
            </w:r>
            <w:r w:rsidR="00B0072C" w:rsidRPr="009D77D7">
              <w:rPr>
                <w:rFonts w:ascii="Times New Roman" w:hAnsi="Times New Roman" w:cs="Times New Roman"/>
                <w:i/>
                <w:sz w:val="22"/>
                <w:szCs w:val="22"/>
              </w:rPr>
              <w:t xml:space="preserve">yet to come together to </w:t>
            </w:r>
            <w:r w:rsidRPr="009D77D7">
              <w:rPr>
                <w:rFonts w:ascii="Times New Roman" w:hAnsi="Times New Roman" w:cs="Times New Roman"/>
                <w:i/>
                <w:sz w:val="22"/>
                <w:szCs w:val="22"/>
              </w:rPr>
              <w:t>commit to a</w:t>
            </w:r>
            <w:r w:rsidR="00B0072C" w:rsidRPr="009D77D7">
              <w:rPr>
                <w:rFonts w:ascii="Times New Roman" w:hAnsi="Times New Roman" w:cs="Times New Roman"/>
                <w:i/>
                <w:sz w:val="22"/>
                <w:szCs w:val="22"/>
              </w:rPr>
              <w:t xml:space="preserve"> sustained effort for the improvement of </w:t>
            </w:r>
            <w:r w:rsidRPr="009D77D7">
              <w:rPr>
                <w:rFonts w:ascii="Times New Roman" w:hAnsi="Times New Roman" w:cs="Times New Roman"/>
                <w:i/>
                <w:sz w:val="22"/>
                <w:szCs w:val="22"/>
              </w:rPr>
              <w:t>student achievement</w:t>
            </w:r>
            <w:r w:rsidR="00786BA8" w:rsidRPr="009D77D7">
              <w:rPr>
                <w:rFonts w:ascii="Times New Roman" w:hAnsi="Times New Roman" w:cs="Times New Roman"/>
                <w:i/>
                <w:sz w:val="22"/>
                <w:szCs w:val="22"/>
              </w:rPr>
              <w:t>.</w:t>
            </w:r>
          </w:p>
          <w:p w:rsidR="00B0072C" w:rsidRPr="009D77D7" w:rsidRDefault="006661D2" w:rsidP="00145FF0">
            <w:pPr>
              <w:pStyle w:val="ListParagraph"/>
              <w:numPr>
                <w:ilvl w:val="0"/>
                <w:numId w:val="19"/>
              </w:numPr>
              <w:spacing w:before="120" w:after="120"/>
              <w:ind w:left="518"/>
              <w:contextualSpacing w:val="0"/>
              <w:rPr>
                <w:rFonts w:ascii="Times New Roman" w:hAnsi="Times New Roman" w:cs="Times New Roman"/>
                <w:sz w:val="22"/>
                <w:szCs w:val="22"/>
              </w:rPr>
            </w:pPr>
            <w:r w:rsidRPr="009D77D7">
              <w:rPr>
                <w:rFonts w:ascii="Times New Roman" w:hAnsi="Times New Roman" w:cs="Times New Roman"/>
                <w:sz w:val="22"/>
                <w:szCs w:val="22"/>
              </w:rPr>
              <w:t xml:space="preserve">The principal, assistant principals, and coaches are not providing all teachers with a common set of expectations for instructional practices supported through ongoing monitoring, professional development, and feedback.  </w:t>
            </w:r>
          </w:p>
          <w:p w:rsidR="000775E3" w:rsidRPr="009D77D7" w:rsidRDefault="008B16B9" w:rsidP="00145FF0">
            <w:pPr>
              <w:pStyle w:val="ListParagraph"/>
              <w:numPr>
                <w:ilvl w:val="0"/>
                <w:numId w:val="19"/>
              </w:numPr>
              <w:spacing w:before="120" w:after="120"/>
              <w:ind w:left="518"/>
              <w:contextualSpacing w:val="0"/>
              <w:rPr>
                <w:sz w:val="22"/>
                <w:szCs w:val="22"/>
              </w:rPr>
            </w:pPr>
            <w:r w:rsidRPr="009D77D7">
              <w:rPr>
                <w:rFonts w:ascii="Times New Roman" w:hAnsi="Times New Roman" w:cs="Times New Roman"/>
                <w:sz w:val="22"/>
                <w:szCs w:val="22"/>
              </w:rPr>
              <w:t>There is little active monitoring and ongoing support of identified improvement efforts by the principal, assistant principal</w:t>
            </w:r>
            <w:r w:rsidRPr="009D77D7">
              <w:rPr>
                <w:sz w:val="22"/>
                <w:szCs w:val="22"/>
              </w:rPr>
              <w:t>, or the ILT.</w:t>
            </w:r>
          </w:p>
          <w:p w:rsidR="001E4CC1" w:rsidRPr="009D77D7" w:rsidRDefault="001E4CC1" w:rsidP="008B16B9">
            <w:pPr>
              <w:spacing w:before="120" w:after="120"/>
              <w:rPr>
                <w:rFonts w:ascii="Times New Roman" w:hAnsi="Times New Roman" w:cs="Times New Roman"/>
                <w:i/>
                <w:sz w:val="22"/>
                <w:szCs w:val="22"/>
              </w:rPr>
            </w:pPr>
          </w:p>
          <w:p w:rsidR="00B0072C" w:rsidRPr="009D77D7" w:rsidRDefault="008B16B9" w:rsidP="008B16B9">
            <w:pPr>
              <w:spacing w:before="120" w:after="120"/>
              <w:rPr>
                <w:rFonts w:ascii="Times New Roman" w:hAnsi="Times New Roman" w:cs="Times New Roman"/>
                <w:i/>
                <w:sz w:val="22"/>
                <w:szCs w:val="22"/>
              </w:rPr>
            </w:pPr>
            <w:r w:rsidRPr="009D77D7">
              <w:rPr>
                <w:rFonts w:ascii="Times New Roman" w:hAnsi="Times New Roman" w:cs="Times New Roman"/>
                <w:i/>
                <w:sz w:val="22"/>
                <w:szCs w:val="22"/>
              </w:rPr>
              <w:t xml:space="preserve">May not have a coherent, school-wide system through which teacher teams are enabled to work together to improve student achievement. </w:t>
            </w:r>
          </w:p>
          <w:p w:rsidR="008B16B9" w:rsidRPr="009D77D7" w:rsidRDefault="008B16B9" w:rsidP="00145FF0">
            <w:pPr>
              <w:pStyle w:val="ListParagraph"/>
              <w:numPr>
                <w:ilvl w:val="0"/>
                <w:numId w:val="3"/>
              </w:numPr>
              <w:spacing w:before="120" w:after="120"/>
              <w:ind w:left="522"/>
              <w:contextualSpacing w:val="0"/>
              <w:rPr>
                <w:rFonts w:ascii="Times New Roman" w:hAnsi="Times New Roman" w:cs="Times New Roman"/>
                <w:sz w:val="22"/>
                <w:szCs w:val="22"/>
              </w:rPr>
            </w:pPr>
            <w:r w:rsidRPr="009D77D7">
              <w:rPr>
                <w:rFonts w:ascii="Times New Roman" w:hAnsi="Times New Roman" w:cs="Times New Roman"/>
                <w:sz w:val="22"/>
                <w:szCs w:val="22"/>
              </w:rPr>
              <w:t xml:space="preserve">The school lacks systems, structures, expectations, and practices for teams to regularly identify, monitor, and assess student needs and the impact of instruction to readily respond as needed.  </w:t>
            </w:r>
          </w:p>
        </w:tc>
      </w:tr>
    </w:tbl>
    <w:p w:rsidR="009D77D7" w:rsidRDefault="009D77D7">
      <w:pPr>
        <w:rPr>
          <w:b/>
        </w:rPr>
      </w:pPr>
    </w:p>
    <w:p w:rsidR="005B4811" w:rsidRPr="000519CD" w:rsidRDefault="00B7285A" w:rsidP="00BD630D">
      <w:pPr>
        <w:jc w:val="center"/>
        <w:rPr>
          <w:b/>
        </w:rPr>
      </w:pPr>
      <w:r>
        <w:rPr>
          <w:b/>
        </w:rPr>
        <w:lastRenderedPageBreak/>
        <w:t>Sustaining Practice #2</w:t>
      </w:r>
    </w:p>
    <w:p w:rsidR="007810FE" w:rsidRPr="00DE5D7C" w:rsidRDefault="00DE5D7C" w:rsidP="00DE5D7C">
      <w:pPr>
        <w:pStyle w:val="ListParagraph"/>
        <w:tabs>
          <w:tab w:val="left" w:pos="0"/>
        </w:tabs>
        <w:ind w:left="0"/>
        <w:jc w:val="center"/>
        <w:rPr>
          <w:b/>
        </w:rPr>
        <w:sectPr w:rsidR="007810FE" w:rsidRPr="00DE5D7C" w:rsidSect="00CF5E99">
          <w:pgSz w:w="15840" w:h="12240" w:orient="landscape"/>
          <w:pgMar w:top="1152" w:right="1152" w:bottom="1152" w:left="1152" w:header="720" w:footer="720" w:gutter="0"/>
          <w:cols w:space="720"/>
        </w:sectPr>
      </w:pPr>
      <w:r w:rsidRPr="00DE5D7C">
        <w:rPr>
          <w:noProof/>
          <w:lang w:eastAsia="zh-CN"/>
        </w:rPr>
        <w:drawing>
          <wp:anchor distT="0" distB="0" distL="114300" distR="114300" simplePos="0" relativeHeight="251734016" behindDoc="0" locked="0" layoutInCell="1" allowOverlap="1">
            <wp:simplePos x="0" y="0"/>
            <wp:positionH relativeFrom="margin">
              <wp:posOffset>272415</wp:posOffset>
            </wp:positionH>
            <wp:positionV relativeFrom="margin">
              <wp:posOffset>635000</wp:posOffset>
            </wp:positionV>
            <wp:extent cx="1055370" cy="4343400"/>
            <wp:effectExtent l="0" t="0" r="0" b="0"/>
            <wp:wrapSquare wrapText="bothSides"/>
            <wp:docPr id="8" name="Picture 8" descr="In the first year of Turnaround&#10;Through two years of Turnaround&#10;Moving towards Sustainable Turna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5370" cy="4343400"/>
                    </a:xfrm>
                    <a:prstGeom prst="rect">
                      <a:avLst/>
                    </a:prstGeom>
                    <a:noFill/>
                    <a:ln>
                      <a:noFill/>
                    </a:ln>
                  </pic:spPr>
                </pic:pic>
              </a:graphicData>
            </a:graphic>
          </wp:anchor>
        </w:drawing>
      </w:r>
      <w:r w:rsidR="0011041D" w:rsidRPr="0011041D">
        <w:rPr>
          <w:noProof/>
        </w:rPr>
        <w:pict>
          <v:shape id="Text Box 14" o:spid="_x0000_s1038" type="#_x0000_t202" style="position:absolute;left:0;text-align:left;margin-left:129.45pt;margin-top:323.4pt;width:531pt;height:135pt;z-index:251737088;visibility:visible;mso-position-horizontal-relative:margin;mso-position-vertic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" fillcolor="white [3201]" strokecolor="#4f81bd [3204]" strokeweight=".5pt">
            <v:path arrowok="t"/>
            <v:textbox>
              <w:txbxContent>
                <w:p w:rsidR="0090743D" w:rsidRPr="00B15113" w:rsidRDefault="0090743D" w:rsidP="00944B8C">
                  <w:pPr>
                    <w:widowControl w:val="0"/>
                    <w:tabs>
                      <w:tab w:val="left" w:pos="0"/>
                    </w:tabs>
                    <w:autoSpaceDE w:val="0"/>
                    <w:autoSpaceDN w:val="0"/>
                    <w:adjustRightInd w:val="0"/>
                    <w:ind w:right="-14"/>
                    <w:rPr>
                      <w:sz w:val="22"/>
                      <w:szCs w:val="22"/>
                      <w:lang w:eastAsia="ja-JP"/>
                    </w:rPr>
                  </w:pPr>
                  <w:r>
                    <w:rPr>
                      <w:sz w:val="22"/>
                      <w:szCs w:val="22"/>
                      <w:lang w:eastAsia="ja-JP"/>
                    </w:rPr>
                    <w:t xml:space="preserve">In the first year, Achievement Gain schools </w:t>
                  </w:r>
                  <w:r>
                    <w:rPr>
                      <w:b/>
                      <w:bCs/>
                      <w:sz w:val="22"/>
                      <w:szCs w:val="22"/>
                      <w:lang w:eastAsia="ja-JP"/>
                    </w:rPr>
                    <w:t>put into place teacher teams (e.g., grade-level teams) and worked to focus conversations on using student-specific data to improve instruction.</w:t>
                  </w:r>
                  <w:r>
                    <w:rPr>
                      <w:sz w:val="22"/>
                      <w:szCs w:val="22"/>
                      <w:lang w:eastAsia="ja-JP"/>
                    </w:rPr>
                    <w:t xml:space="preserve"> Principals and coaches began to actively use classroom observations and informal visits to monitor the instruction provided by all teachers. Moving into year two, many Achievement Gain schools are now employing a formal teacher development systems that involves teacher-specific coaching in the classroom, administrator walkthroughs followed by specific feedback, peer observations, and some instances of targeted mentoring of teachers, in tandem with teaming structures and practices that target effective, student-driven instruction.  </w:t>
                  </w:r>
                  <w:r>
                    <w:rPr>
                      <w:b/>
                      <w:bCs/>
                      <w:sz w:val="22"/>
                      <w:szCs w:val="22"/>
                      <w:lang w:eastAsia="ja-JP"/>
                    </w:rPr>
                    <w:t>As a result, schools have developed a tiered system for supporting teachers as well as students.</w:t>
                  </w:r>
                  <w:r>
                    <w:rPr>
                      <w:sz w:val="22"/>
                      <w:szCs w:val="22"/>
                      <w:lang w:eastAsia="ja-JP"/>
                    </w:rPr>
                    <w:t xml:space="preserve"> In some of the Achievement Gain schools, school-wide use of research-based instructional models (e.g., Cornerstone or the Workshop model) is providing a coherent framework for instructional improvement.</w:t>
                  </w:r>
                </w:p>
              </w:txbxContent>
            </v:textbox>
            <w10:wrap type="square" anchorx="margin" anchory="margin"/>
          </v:shape>
        </w:pict>
      </w:r>
      <w:r w:rsidR="0011041D" w:rsidRPr="0011041D">
        <w:rPr>
          <w:noProof/>
        </w:rPr>
        <w:pict>
          <v:shape id="Text Box 6" o:spid="_x0000_s1039" type="#_x0000_t202" style="position:absolute;left:0;text-align:left;margin-left:129.45pt;margin-top:106.7pt;width:531pt;height:202.8pt;z-index:251736064;visibility:visible;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" fillcolor="white [3201]" strokecolor="#4f81bd [3204]" strokeweight=".5pt">
            <v:path arrowok="t"/>
            <v:textbox>
              <w:txbxContent>
                <w:p w:rsidR="0090743D" w:rsidRDefault="0090743D" w:rsidP="00944B8C">
                  <w:pPr>
                    <w:widowControl w:val="0"/>
                    <w:autoSpaceDE w:val="0"/>
                    <w:autoSpaceDN w:val="0"/>
                    <w:adjustRightInd w:val="0"/>
                    <w:spacing w:before="40" w:after="40"/>
                    <w:ind w:right="-29"/>
                    <w:rPr>
                      <w:sz w:val="22"/>
                      <w:szCs w:val="22"/>
                      <w:lang w:eastAsia="ja-JP"/>
                    </w:rPr>
                  </w:pPr>
                  <w:r>
                    <w:rPr>
                      <w:sz w:val="22"/>
                      <w:szCs w:val="22"/>
                      <w:lang w:eastAsia="ja-JP"/>
                    </w:rPr>
                    <w:t xml:space="preserve">School leadership, teachers, and coaches in Achievement Gain schools are refining their use of student- and skill-specific data to inform the evaluation and improvement of instructional practices—as used across the school and by individual teachers—that directly benefit student learning.  Continued “instruction-specific conversations” are taking place throughout the school through practices intentionally designed to focus conversations and efforts on improving the instruction of each and every teacher. </w:t>
                  </w:r>
                </w:p>
                <w:p w:rsidR="0090743D" w:rsidRDefault="0090743D" w:rsidP="00DE5D7C">
                  <w:pPr>
                    <w:widowControl w:val="0"/>
                    <w:autoSpaceDE w:val="0"/>
                    <w:autoSpaceDN w:val="0"/>
                    <w:adjustRightInd w:val="0"/>
                    <w:spacing w:before="40" w:after="40"/>
                    <w:ind w:right="-1747"/>
                    <w:rPr>
                      <w:sz w:val="22"/>
                      <w:szCs w:val="22"/>
                      <w:lang w:eastAsia="ja-JP"/>
                    </w:rPr>
                  </w:pPr>
                </w:p>
                <w:p w:rsidR="0090743D" w:rsidRDefault="0090743D" w:rsidP="00DE5D7C">
                  <w:pPr>
                    <w:widowControl w:val="0"/>
                    <w:tabs>
                      <w:tab w:val="left" w:pos="11473"/>
                    </w:tabs>
                    <w:autoSpaceDE w:val="0"/>
                    <w:autoSpaceDN w:val="0"/>
                    <w:adjustRightInd w:val="0"/>
                    <w:spacing w:before="40" w:after="40"/>
                    <w:rPr>
                      <w:sz w:val="22"/>
                      <w:szCs w:val="22"/>
                      <w:lang w:eastAsia="ja-JP"/>
                    </w:rPr>
                  </w:pPr>
                  <w:r>
                    <w:rPr>
                      <w:sz w:val="22"/>
                      <w:szCs w:val="22"/>
                      <w:lang w:eastAsia="ja-JP"/>
                    </w:rPr>
                    <w:t xml:space="preserve">In Achievement Gain schools: </w:t>
                  </w:r>
                </w:p>
                <w:p w:rsidR="0090743D" w:rsidRDefault="0090743D" w:rsidP="00DE5D7C">
                  <w:pPr>
                    <w:widowControl w:val="0"/>
                    <w:tabs>
                      <w:tab w:val="left" w:pos="11473"/>
                    </w:tabs>
                    <w:autoSpaceDE w:val="0"/>
                    <w:autoSpaceDN w:val="0"/>
                    <w:adjustRightInd w:val="0"/>
                    <w:spacing w:before="80" w:after="80"/>
                    <w:ind w:left="240"/>
                    <w:rPr>
                      <w:sz w:val="22"/>
                      <w:szCs w:val="22"/>
                      <w:lang w:eastAsia="ja-JP"/>
                    </w:rPr>
                  </w:pPr>
                  <w:r>
                    <w:rPr>
                      <w:i/>
                      <w:iCs/>
                      <w:sz w:val="22"/>
                      <w:szCs w:val="22"/>
                      <w:lang w:eastAsia="ja-JP"/>
                    </w:rPr>
                    <w:t>There is ongoing collective review and use of student data</w:t>
                  </w:r>
                  <w:r>
                    <w:rPr>
                      <w:sz w:val="22"/>
                      <w:szCs w:val="22"/>
                      <w:lang w:eastAsia="ja-JP"/>
                    </w:rPr>
                    <w:t xml:space="preserve"> to inform instructional strategies and use of resources, including how the school implements its tiered system of support;</w:t>
                  </w:r>
                </w:p>
                <w:p w:rsidR="0090743D" w:rsidRDefault="0090743D" w:rsidP="00DE5D7C">
                  <w:pPr>
                    <w:widowControl w:val="0"/>
                    <w:tabs>
                      <w:tab w:val="left" w:pos="11473"/>
                    </w:tabs>
                    <w:autoSpaceDE w:val="0"/>
                    <w:autoSpaceDN w:val="0"/>
                    <w:adjustRightInd w:val="0"/>
                    <w:spacing w:before="80" w:after="80"/>
                    <w:ind w:left="240"/>
                    <w:rPr>
                      <w:sz w:val="22"/>
                      <w:szCs w:val="22"/>
                      <w:lang w:eastAsia="ja-JP"/>
                    </w:rPr>
                  </w:pPr>
                  <w:r>
                    <w:rPr>
                      <w:i/>
                      <w:iCs/>
                      <w:sz w:val="22"/>
                      <w:szCs w:val="22"/>
                      <w:lang w:eastAsia="ja-JP"/>
                    </w:rPr>
                    <w:t>Principals spend significant time in classrooms, observing teachers and providing teachers with constructive, teacher-specific feedback</w:t>
                  </w:r>
                  <w:r>
                    <w:rPr>
                      <w:sz w:val="22"/>
                      <w:szCs w:val="22"/>
                      <w:lang w:eastAsia="ja-JP"/>
                    </w:rPr>
                    <w:t>. In some cases, peer-observation by teachers is used to support learning among teachers within and across grade levels; and</w:t>
                  </w:r>
                </w:p>
                <w:p w:rsidR="0090743D" w:rsidRPr="00B15113" w:rsidRDefault="0090743D" w:rsidP="00DE5D7C">
                  <w:pPr>
                    <w:widowControl w:val="0"/>
                    <w:tabs>
                      <w:tab w:val="left" w:pos="206"/>
                    </w:tabs>
                    <w:autoSpaceDE w:val="0"/>
                    <w:autoSpaceDN w:val="0"/>
                    <w:adjustRightInd w:val="0"/>
                    <w:spacing w:before="80" w:after="80"/>
                    <w:ind w:left="226" w:right="-18"/>
                    <w:rPr>
                      <w:sz w:val="22"/>
                      <w:szCs w:val="22"/>
                      <w:lang w:eastAsia="ja-JP"/>
                    </w:rPr>
                  </w:pPr>
                  <w:r>
                    <w:rPr>
                      <w:i/>
                      <w:iCs/>
                      <w:sz w:val="22"/>
                      <w:szCs w:val="22"/>
                      <w:lang w:eastAsia="ja-JP"/>
                    </w:rPr>
                    <w:t>Professional conversations, targeted coaching, and professional development</w:t>
                  </w:r>
                  <w:r>
                    <w:rPr>
                      <w:sz w:val="22"/>
                      <w:szCs w:val="22"/>
                      <w:lang w:eastAsia="ja-JP"/>
                    </w:rPr>
                    <w:t xml:space="preserve"> is perceived as effective and is directly informed by data and observations of what is working (e.g., helping students to improve) and what is not.</w:t>
                  </w:r>
                </w:p>
              </w:txbxContent>
            </v:textbox>
            <w10:wrap type="square" anchorx="margin" anchory="margin"/>
          </v:shape>
        </w:pict>
      </w:r>
      <w:r w:rsidR="005B4811">
        <w:rPr>
          <w:b/>
        </w:rPr>
        <w:t>Employing Intentional Practices for Improving Teacher-specific and Student-responsive Instruction</w:t>
      </w:r>
      <w:r w:rsidR="0011041D" w:rsidRPr="0011041D">
        <w:rPr>
          <w:noProof/>
        </w:rPr>
        <w:pict>
          <v:shape id="Text Box 13" o:spid="_x0000_s1040" type="#_x0000_t202" style="position:absolute;left:0;text-align:left;margin-left:129.45pt;margin-top:30.2pt;width:531pt;height:51pt;z-index:2517350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" fillcolor="white [3201]" strokecolor="#4f81bd [3204]" strokeweight=".5pt">
            <v:path arrowok="t"/>
            <v:textbox>
              <w:txbxContent>
                <w:p w:rsidR="0090743D" w:rsidRDefault="0090743D" w:rsidP="00DE5D7C">
                  <w:r>
                    <w:rPr>
                      <w:sz w:val="22"/>
                      <w:szCs w:val="22"/>
                      <w:lang w:eastAsia="ja-JP"/>
                    </w:rPr>
                    <w:t>Achievement Gain schools were actively using instruction-specific teacher teaming and teacher-specific coaching and professional development for pursuing ongoing instructional improvement.</w:t>
                  </w:r>
                </w:p>
              </w:txbxContent>
            </v:textbox>
            <w10:wrap type="square"/>
          </v:shape>
        </w:pict>
      </w:r>
    </w:p>
    <w:tbl>
      <w:tblPr>
        <w:tblStyle w:val="TableGrid"/>
        <w:tblW w:w="13878" w:type="dxa"/>
        <w:tblLook w:val="04A0"/>
      </w:tblPr>
      <w:tblGrid>
        <w:gridCol w:w="7848"/>
        <w:gridCol w:w="6030"/>
      </w:tblGrid>
      <w:tr w:rsidR="005B4811" w:rsidTr="007810FE">
        <w:tc>
          <w:tcPr>
            <w:tcW w:w="7848" w:type="dxa"/>
            <w:tcBorders>
              <w:top w:val="nil"/>
              <w:left w:val="nil"/>
              <w:bottom w:val="single" w:sz="4" w:space="0" w:color="auto"/>
            </w:tcBorders>
            <w:vAlign w:val="center"/>
          </w:tcPr>
          <w:p w:rsidR="005B4811" w:rsidRPr="009D77D7" w:rsidRDefault="005B4811" w:rsidP="000775E3">
            <w:pPr>
              <w:spacing w:before="80" w:after="80"/>
              <w:jc w:val="center"/>
              <w:rPr>
                <w:rFonts w:ascii="Times New Roman" w:hAnsi="Times New Roman" w:cs="Times New Roman"/>
                <w:b/>
                <w:sz w:val="22"/>
                <w:szCs w:val="22"/>
              </w:rPr>
            </w:pPr>
            <w:r w:rsidRPr="009D77D7">
              <w:rPr>
                <w:rFonts w:ascii="Times New Roman" w:hAnsi="Times New Roman" w:cs="Times New Roman"/>
                <w:b/>
                <w:sz w:val="22"/>
                <w:szCs w:val="22"/>
              </w:rPr>
              <w:lastRenderedPageBreak/>
              <w:t>In schools making progress over two years…</w:t>
            </w:r>
          </w:p>
        </w:tc>
        <w:tc>
          <w:tcPr>
            <w:tcW w:w="6030" w:type="dxa"/>
            <w:tcBorders>
              <w:top w:val="nil"/>
              <w:bottom w:val="single" w:sz="4" w:space="0" w:color="auto"/>
              <w:right w:val="nil"/>
            </w:tcBorders>
          </w:tcPr>
          <w:p w:rsidR="005B4811" w:rsidRPr="009D77D7" w:rsidRDefault="005B4811" w:rsidP="000775E3">
            <w:pPr>
              <w:spacing w:before="80" w:after="80"/>
              <w:rPr>
                <w:rFonts w:ascii="Times New Roman" w:hAnsi="Times New Roman" w:cs="Times New Roman"/>
                <w:b/>
                <w:sz w:val="22"/>
                <w:szCs w:val="22"/>
              </w:rPr>
            </w:pPr>
            <w:r w:rsidRPr="009D77D7">
              <w:rPr>
                <w:rFonts w:ascii="Times New Roman" w:hAnsi="Times New Roman" w:cs="Times New Roman"/>
                <w:b/>
                <w:sz w:val="22"/>
                <w:szCs w:val="22"/>
              </w:rPr>
              <w:t>In</w:t>
            </w:r>
            <w:r w:rsidR="000775E3" w:rsidRPr="009D77D7">
              <w:rPr>
                <w:rFonts w:ascii="Times New Roman" w:hAnsi="Times New Roman" w:cs="Times New Roman"/>
                <w:b/>
                <w:sz w:val="22"/>
                <w:szCs w:val="22"/>
              </w:rPr>
              <w:t xml:space="preserve"> contrast,</w:t>
            </w:r>
            <w:r w:rsidRPr="009D77D7">
              <w:rPr>
                <w:rFonts w:ascii="Times New Roman" w:hAnsi="Times New Roman" w:cs="Times New Roman"/>
                <w:b/>
                <w:sz w:val="22"/>
                <w:szCs w:val="22"/>
              </w:rPr>
              <w:t xml:space="preserve"> schools not making progress over two years…</w:t>
            </w:r>
          </w:p>
        </w:tc>
      </w:tr>
      <w:tr w:rsidR="005B4811" w:rsidTr="007810FE">
        <w:tc>
          <w:tcPr>
            <w:tcW w:w="7848" w:type="dxa"/>
            <w:tcBorders>
              <w:top w:val="single" w:sz="4" w:space="0" w:color="auto"/>
              <w:left w:val="nil"/>
              <w:bottom w:val="nil"/>
            </w:tcBorders>
          </w:tcPr>
          <w:p w:rsidR="005B4811" w:rsidRPr="009D77D7" w:rsidRDefault="005B4811" w:rsidP="001E4CC1">
            <w:pPr>
              <w:tabs>
                <w:tab w:val="left" w:pos="90"/>
              </w:tabs>
              <w:spacing w:before="120"/>
              <w:rPr>
                <w:rFonts w:ascii="Times New Roman" w:hAnsi="Times New Roman" w:cs="Times New Roman"/>
                <w:i/>
                <w:sz w:val="22"/>
                <w:szCs w:val="22"/>
              </w:rPr>
            </w:pPr>
            <w:r w:rsidRPr="009D77D7">
              <w:rPr>
                <w:rFonts w:ascii="Times New Roman" w:hAnsi="Times New Roman" w:cs="Times New Roman"/>
                <w:i/>
                <w:sz w:val="22"/>
                <w:szCs w:val="22"/>
              </w:rPr>
              <w:t xml:space="preserve">There is ongoing collective review and </w:t>
            </w:r>
            <w:r w:rsidR="001A500C" w:rsidRPr="009D77D7">
              <w:rPr>
                <w:rFonts w:ascii="Times New Roman" w:hAnsi="Times New Roman" w:cs="Times New Roman"/>
                <w:i/>
                <w:sz w:val="22"/>
                <w:szCs w:val="22"/>
              </w:rPr>
              <w:t>use</w:t>
            </w:r>
            <w:r w:rsidRPr="009D77D7">
              <w:rPr>
                <w:rFonts w:ascii="Times New Roman" w:hAnsi="Times New Roman" w:cs="Times New Roman"/>
                <w:i/>
                <w:sz w:val="22"/>
                <w:szCs w:val="22"/>
              </w:rPr>
              <w:t xml:space="preserve"> of student data to inform instructional strategies and use of resources, including how the school implements its tiered system of </w:t>
            </w:r>
            <w:r w:rsidR="001A500C" w:rsidRPr="009D77D7">
              <w:rPr>
                <w:rFonts w:ascii="Times New Roman" w:hAnsi="Times New Roman" w:cs="Times New Roman"/>
                <w:i/>
                <w:sz w:val="22"/>
                <w:szCs w:val="22"/>
              </w:rPr>
              <w:t xml:space="preserve">instructional </w:t>
            </w:r>
            <w:r w:rsidRPr="009D77D7">
              <w:rPr>
                <w:rFonts w:ascii="Times New Roman" w:hAnsi="Times New Roman" w:cs="Times New Roman"/>
                <w:i/>
                <w:sz w:val="22"/>
                <w:szCs w:val="22"/>
              </w:rPr>
              <w:t>support.</w:t>
            </w:r>
          </w:p>
          <w:p w:rsidR="005B4811" w:rsidRPr="009D77D7" w:rsidRDefault="00F03B67" w:rsidP="00145FF0">
            <w:pPr>
              <w:pStyle w:val="ListParagraph"/>
              <w:numPr>
                <w:ilvl w:val="0"/>
                <w:numId w:val="4"/>
              </w:numPr>
              <w:spacing w:before="120" w:after="120"/>
              <w:ind w:left="540"/>
              <w:contextualSpacing w:val="0"/>
              <w:rPr>
                <w:rFonts w:ascii="Times New Roman" w:hAnsi="Times New Roman" w:cs="Times New Roman"/>
                <w:sz w:val="22"/>
                <w:szCs w:val="22"/>
              </w:rPr>
            </w:pPr>
            <w:r w:rsidRPr="009D77D7">
              <w:rPr>
                <w:rFonts w:ascii="Times New Roman" w:hAnsi="Times New Roman" w:cs="Times New Roman"/>
                <w:sz w:val="22"/>
                <w:szCs w:val="22"/>
              </w:rPr>
              <w:t>School leaders</w:t>
            </w:r>
            <w:r w:rsidR="005B4811" w:rsidRPr="009D77D7">
              <w:rPr>
                <w:rFonts w:ascii="Times New Roman" w:hAnsi="Times New Roman" w:cs="Times New Roman"/>
                <w:sz w:val="22"/>
                <w:szCs w:val="22"/>
              </w:rPr>
              <w:t xml:space="preserve">, </w:t>
            </w:r>
            <w:r w:rsidRPr="009D77D7">
              <w:rPr>
                <w:rFonts w:ascii="Times New Roman" w:hAnsi="Times New Roman" w:cs="Times New Roman"/>
                <w:sz w:val="22"/>
                <w:szCs w:val="22"/>
              </w:rPr>
              <w:t xml:space="preserve">coaches (or data managers), </w:t>
            </w:r>
            <w:r w:rsidR="005B4811" w:rsidRPr="009D77D7">
              <w:rPr>
                <w:rFonts w:ascii="Times New Roman" w:hAnsi="Times New Roman" w:cs="Times New Roman"/>
                <w:sz w:val="22"/>
                <w:szCs w:val="22"/>
              </w:rPr>
              <w:t xml:space="preserve">interventionists, </w:t>
            </w:r>
            <w:r w:rsidRPr="009D77D7">
              <w:rPr>
                <w:rFonts w:ascii="Times New Roman" w:hAnsi="Times New Roman" w:cs="Times New Roman"/>
                <w:sz w:val="22"/>
                <w:szCs w:val="22"/>
              </w:rPr>
              <w:t xml:space="preserve">and teams of teachers </w:t>
            </w:r>
            <w:r w:rsidR="005B4811" w:rsidRPr="009D77D7">
              <w:rPr>
                <w:rFonts w:ascii="Times New Roman" w:hAnsi="Times New Roman" w:cs="Times New Roman"/>
                <w:sz w:val="22"/>
                <w:szCs w:val="22"/>
              </w:rPr>
              <w:t xml:space="preserve">frequently assess and review </w:t>
            </w:r>
            <w:r w:rsidR="005B4811" w:rsidRPr="009D77D7">
              <w:rPr>
                <w:rFonts w:ascii="Times New Roman" w:hAnsi="Times New Roman" w:cs="Times New Roman"/>
                <w:b/>
                <w:sz w:val="22"/>
                <w:szCs w:val="22"/>
              </w:rPr>
              <w:t xml:space="preserve">skill-specific </w:t>
            </w:r>
            <w:r w:rsidR="005B4811" w:rsidRPr="009D77D7">
              <w:rPr>
                <w:rFonts w:ascii="Times New Roman" w:hAnsi="Times New Roman" w:cs="Times New Roman"/>
                <w:sz w:val="22"/>
                <w:szCs w:val="22"/>
              </w:rPr>
              <w:t>data to determine how well their instruction (e.g., lessons, units) is supporting students’ learning, and subsequently modify instruction for groups or for individual students.</w:t>
            </w:r>
          </w:p>
          <w:p w:rsidR="005B4811" w:rsidRPr="009D77D7" w:rsidRDefault="005B4811" w:rsidP="00145FF0">
            <w:pPr>
              <w:pStyle w:val="ListParagraph"/>
              <w:numPr>
                <w:ilvl w:val="0"/>
                <w:numId w:val="4"/>
              </w:numPr>
              <w:spacing w:before="120" w:after="120"/>
              <w:ind w:left="540"/>
              <w:contextualSpacing w:val="0"/>
              <w:rPr>
                <w:rFonts w:ascii="Times New Roman" w:hAnsi="Times New Roman" w:cs="Times New Roman"/>
                <w:sz w:val="22"/>
                <w:szCs w:val="22"/>
              </w:rPr>
            </w:pPr>
            <w:r w:rsidRPr="009D77D7">
              <w:rPr>
                <w:rFonts w:ascii="Times New Roman" w:hAnsi="Times New Roman" w:cs="Times New Roman"/>
                <w:sz w:val="22"/>
                <w:szCs w:val="22"/>
              </w:rPr>
              <w:t xml:space="preserve">Multiple administrator- or teacher-led teams (data teams, grade-level teams) are working on behalf of student achievement by looking at student data together and developing tiered interventions and classroom-specific action plans.  </w:t>
            </w:r>
          </w:p>
          <w:p w:rsidR="005B4811" w:rsidRPr="009D77D7" w:rsidRDefault="005B4811" w:rsidP="00CF5E99">
            <w:pPr>
              <w:spacing w:before="120" w:after="120"/>
              <w:rPr>
                <w:rFonts w:ascii="Times New Roman" w:hAnsi="Times New Roman" w:cs="Times New Roman"/>
                <w:i/>
                <w:sz w:val="22"/>
                <w:szCs w:val="22"/>
              </w:rPr>
            </w:pPr>
            <w:r w:rsidRPr="009D77D7">
              <w:rPr>
                <w:rFonts w:ascii="Times New Roman" w:hAnsi="Times New Roman" w:cs="Times New Roman"/>
                <w:i/>
                <w:sz w:val="22"/>
                <w:szCs w:val="22"/>
              </w:rPr>
              <w:t xml:space="preserve">Principals spend significant time in classrooms, observing teachers and providing teachers with constructive, teacher-specific feedback. In some cases, peer-observation by teachers is used to support learning among teachers within and across grade levels. </w:t>
            </w:r>
          </w:p>
          <w:p w:rsidR="005B4811" w:rsidRPr="009D77D7" w:rsidRDefault="005B4811" w:rsidP="00145FF0">
            <w:pPr>
              <w:pStyle w:val="ListParagraph"/>
              <w:numPr>
                <w:ilvl w:val="0"/>
                <w:numId w:val="6"/>
              </w:numPr>
              <w:spacing w:before="120" w:after="120"/>
              <w:ind w:left="540"/>
              <w:contextualSpacing w:val="0"/>
              <w:rPr>
                <w:rFonts w:ascii="Times New Roman" w:hAnsi="Times New Roman" w:cs="Times New Roman"/>
                <w:sz w:val="22"/>
                <w:szCs w:val="22"/>
              </w:rPr>
            </w:pPr>
            <w:r w:rsidRPr="009D77D7">
              <w:rPr>
                <w:rFonts w:ascii="Times New Roman" w:hAnsi="Times New Roman" w:cs="Times New Roman"/>
                <w:sz w:val="22"/>
                <w:szCs w:val="22"/>
              </w:rPr>
              <w:t xml:space="preserve">Principals spend a great deal of time in classrooms (as much as 75% of the time as self-reported by one principal), observing instruction and providing clear and constructive feedback to teachers. </w:t>
            </w:r>
          </w:p>
          <w:p w:rsidR="005B4811" w:rsidRPr="009D77D7" w:rsidRDefault="005B4811" w:rsidP="00145FF0">
            <w:pPr>
              <w:pStyle w:val="ListParagraph"/>
              <w:numPr>
                <w:ilvl w:val="0"/>
                <w:numId w:val="6"/>
              </w:numPr>
              <w:spacing w:before="120" w:after="120"/>
              <w:ind w:left="540"/>
              <w:contextualSpacing w:val="0"/>
              <w:rPr>
                <w:rFonts w:ascii="Times New Roman" w:hAnsi="Times New Roman" w:cs="Times New Roman"/>
                <w:sz w:val="22"/>
                <w:szCs w:val="22"/>
              </w:rPr>
            </w:pPr>
            <w:r w:rsidRPr="009D77D7">
              <w:rPr>
                <w:rFonts w:ascii="Times New Roman" w:hAnsi="Times New Roman" w:cs="Times New Roman"/>
                <w:sz w:val="22"/>
                <w:szCs w:val="22"/>
              </w:rPr>
              <w:t xml:space="preserve">Coaches spend a great deal of time in the classrooms, providing teachers with feedback specific to their observations; when needed, coaches are in classrooms providing targeted, teacher-specific instructional support. </w:t>
            </w:r>
          </w:p>
          <w:p w:rsidR="005B4811" w:rsidRPr="009D77D7" w:rsidRDefault="005B4811" w:rsidP="00145FF0">
            <w:pPr>
              <w:pStyle w:val="ListParagraph"/>
              <w:numPr>
                <w:ilvl w:val="0"/>
                <w:numId w:val="6"/>
              </w:numPr>
              <w:spacing w:before="120" w:after="120"/>
              <w:ind w:left="540"/>
              <w:contextualSpacing w:val="0"/>
              <w:rPr>
                <w:rFonts w:ascii="Times New Roman" w:hAnsi="Times New Roman" w:cs="Times New Roman"/>
                <w:sz w:val="22"/>
                <w:szCs w:val="22"/>
              </w:rPr>
            </w:pPr>
            <w:r w:rsidRPr="009D77D7">
              <w:rPr>
                <w:rFonts w:ascii="Times New Roman" w:hAnsi="Times New Roman" w:cs="Times New Roman"/>
                <w:sz w:val="22"/>
                <w:szCs w:val="22"/>
              </w:rPr>
              <w:t>In some cases, teachers conduct peer observations to observe one another’s classrooms, grounding instruction-specific conversations amongst teachers.</w:t>
            </w:r>
          </w:p>
          <w:p w:rsidR="005B4811" w:rsidRPr="009D77D7" w:rsidRDefault="005B4811" w:rsidP="00CF5E99">
            <w:pPr>
              <w:spacing w:before="120" w:after="120"/>
              <w:rPr>
                <w:rFonts w:ascii="Times New Roman" w:hAnsi="Times New Roman" w:cs="Times New Roman"/>
                <w:i/>
                <w:sz w:val="22"/>
                <w:szCs w:val="22"/>
              </w:rPr>
            </w:pPr>
            <w:r w:rsidRPr="009D77D7">
              <w:rPr>
                <w:rFonts w:ascii="Times New Roman" w:hAnsi="Times New Roman" w:cs="Times New Roman"/>
                <w:i/>
                <w:sz w:val="22"/>
                <w:szCs w:val="22"/>
              </w:rPr>
              <w:t>Professional conversations, targeted coaching, and professional development is perceived as effective and is informed and driven by data and observations around what is working (e.g., helping students to improve) and what is not.</w:t>
            </w:r>
          </w:p>
          <w:p w:rsidR="005B4811" w:rsidRPr="009D77D7" w:rsidRDefault="005B4811" w:rsidP="00145FF0">
            <w:pPr>
              <w:pStyle w:val="ListParagraph"/>
              <w:numPr>
                <w:ilvl w:val="0"/>
                <w:numId w:val="7"/>
              </w:numPr>
              <w:ind w:left="540"/>
              <w:rPr>
                <w:rFonts w:ascii="Times New Roman" w:hAnsi="Times New Roman" w:cs="Times New Roman"/>
                <w:i/>
                <w:sz w:val="22"/>
                <w:szCs w:val="22"/>
              </w:rPr>
            </w:pPr>
            <w:r w:rsidRPr="009D77D7">
              <w:rPr>
                <w:rFonts w:ascii="Times New Roman" w:hAnsi="Times New Roman" w:cs="Times New Roman"/>
                <w:sz w:val="22"/>
                <w:szCs w:val="22"/>
              </w:rPr>
              <w:t xml:space="preserve">In some cases, teachers engage in a formal “coaching cycle” in which teachers co-plan, teach, and then receive feedback on the effectiveness of the lesson.  </w:t>
            </w:r>
          </w:p>
          <w:p w:rsidR="005B4811" w:rsidRPr="009D77D7" w:rsidRDefault="005B4811" w:rsidP="00145FF0">
            <w:pPr>
              <w:pStyle w:val="ListParagraph"/>
              <w:numPr>
                <w:ilvl w:val="0"/>
                <w:numId w:val="4"/>
              </w:numPr>
              <w:spacing w:before="120" w:after="120"/>
              <w:ind w:left="540"/>
              <w:contextualSpacing w:val="0"/>
              <w:rPr>
                <w:sz w:val="22"/>
                <w:szCs w:val="22"/>
              </w:rPr>
            </w:pPr>
            <w:r w:rsidRPr="009D77D7">
              <w:rPr>
                <w:rFonts w:ascii="Times New Roman" w:hAnsi="Times New Roman" w:cs="Times New Roman"/>
                <w:sz w:val="22"/>
                <w:szCs w:val="22"/>
              </w:rPr>
              <w:t>Grade level teams meet frequently to discuss formative and classroom-specific assessments and classroom observations, explicitly focusing on how instruction is or is not working to meet the needs of their students.</w:t>
            </w:r>
          </w:p>
        </w:tc>
        <w:tc>
          <w:tcPr>
            <w:tcW w:w="6030" w:type="dxa"/>
            <w:tcBorders>
              <w:top w:val="single" w:sz="4" w:space="0" w:color="auto"/>
              <w:bottom w:val="nil"/>
              <w:right w:val="nil"/>
            </w:tcBorders>
          </w:tcPr>
          <w:p w:rsidR="005B4811" w:rsidRPr="009D77D7" w:rsidRDefault="00E74B7A" w:rsidP="001A500C">
            <w:pPr>
              <w:spacing w:before="120"/>
              <w:rPr>
                <w:rFonts w:ascii="Times New Roman" w:hAnsi="Times New Roman" w:cs="Times New Roman"/>
                <w:i/>
                <w:sz w:val="22"/>
                <w:szCs w:val="22"/>
              </w:rPr>
            </w:pPr>
            <w:r w:rsidRPr="009D77D7">
              <w:rPr>
                <w:rFonts w:ascii="Times New Roman" w:hAnsi="Times New Roman" w:cs="Times New Roman"/>
                <w:i/>
                <w:sz w:val="22"/>
                <w:szCs w:val="22"/>
              </w:rPr>
              <w:t xml:space="preserve">Have not deliberately focused on the improvement of classroom instruction or fully implemented a tiered system of instructional support. </w:t>
            </w:r>
          </w:p>
          <w:p w:rsidR="00E02615" w:rsidRPr="009D77D7" w:rsidRDefault="00E02615" w:rsidP="00145FF0">
            <w:pPr>
              <w:pStyle w:val="ListParagraph"/>
              <w:numPr>
                <w:ilvl w:val="0"/>
                <w:numId w:val="4"/>
              </w:numPr>
              <w:spacing w:before="80" w:after="80"/>
              <w:ind w:left="518"/>
              <w:contextualSpacing w:val="0"/>
              <w:rPr>
                <w:rFonts w:ascii="Times New Roman" w:hAnsi="Times New Roman" w:cs="Times New Roman"/>
                <w:sz w:val="22"/>
                <w:szCs w:val="22"/>
              </w:rPr>
            </w:pPr>
            <w:r w:rsidRPr="009D77D7">
              <w:rPr>
                <w:rFonts w:ascii="Times New Roman" w:hAnsi="Times New Roman" w:cs="Times New Roman"/>
                <w:sz w:val="22"/>
                <w:szCs w:val="22"/>
              </w:rPr>
              <w:t>Teachers, the ILT, and other staff are not</w:t>
            </w:r>
            <w:r w:rsidR="00E74B7A" w:rsidRPr="009D77D7">
              <w:rPr>
                <w:rFonts w:ascii="Times New Roman" w:hAnsi="Times New Roman" w:cs="Times New Roman"/>
                <w:sz w:val="22"/>
                <w:szCs w:val="22"/>
              </w:rPr>
              <w:t xml:space="preserve"> consistently or</w:t>
            </w:r>
            <w:r w:rsidRPr="009D77D7">
              <w:rPr>
                <w:rFonts w:ascii="Times New Roman" w:hAnsi="Times New Roman" w:cs="Times New Roman"/>
                <w:sz w:val="22"/>
                <w:szCs w:val="22"/>
              </w:rPr>
              <w:t xml:space="preserve"> regularly reviewing data for the explicit purpose of reviewing, refining, or providing </w:t>
            </w:r>
            <w:r w:rsidR="00E74B7A" w:rsidRPr="009D77D7">
              <w:rPr>
                <w:rFonts w:ascii="Times New Roman" w:hAnsi="Times New Roman" w:cs="Times New Roman"/>
                <w:sz w:val="22"/>
                <w:szCs w:val="22"/>
              </w:rPr>
              <w:t xml:space="preserve">core </w:t>
            </w:r>
            <w:r w:rsidRPr="009D77D7">
              <w:rPr>
                <w:rFonts w:ascii="Times New Roman" w:hAnsi="Times New Roman" w:cs="Times New Roman"/>
                <w:sz w:val="22"/>
                <w:szCs w:val="22"/>
              </w:rPr>
              <w:t>instruction</w:t>
            </w:r>
            <w:r w:rsidR="00E74B7A" w:rsidRPr="009D77D7">
              <w:rPr>
                <w:rFonts w:ascii="Times New Roman" w:hAnsi="Times New Roman" w:cs="Times New Roman"/>
                <w:sz w:val="22"/>
                <w:szCs w:val="22"/>
              </w:rPr>
              <w:t xml:space="preserve"> or interventions</w:t>
            </w:r>
            <w:r w:rsidRPr="009D77D7">
              <w:rPr>
                <w:rFonts w:ascii="Times New Roman" w:hAnsi="Times New Roman" w:cs="Times New Roman"/>
                <w:sz w:val="22"/>
                <w:szCs w:val="22"/>
              </w:rPr>
              <w:t xml:space="preserve"> catered to</w:t>
            </w:r>
            <w:r w:rsidR="00E74B7A" w:rsidRPr="009D77D7">
              <w:rPr>
                <w:rFonts w:ascii="Times New Roman" w:hAnsi="Times New Roman" w:cs="Times New Roman"/>
                <w:sz w:val="22"/>
                <w:szCs w:val="22"/>
              </w:rPr>
              <w:t xml:space="preserve"> the specific needs of students.</w:t>
            </w:r>
          </w:p>
          <w:p w:rsidR="001E4CC1" w:rsidRPr="009D77D7" w:rsidRDefault="001E4CC1" w:rsidP="00E74B7A">
            <w:pPr>
              <w:spacing w:before="120"/>
              <w:rPr>
                <w:rFonts w:ascii="Times New Roman" w:hAnsi="Times New Roman" w:cs="Times New Roman"/>
                <w:i/>
                <w:sz w:val="22"/>
                <w:szCs w:val="22"/>
              </w:rPr>
            </w:pPr>
          </w:p>
          <w:p w:rsidR="00E74B7A" w:rsidRPr="009D77D7" w:rsidRDefault="00E74B7A" w:rsidP="00C87B50">
            <w:pPr>
              <w:spacing w:before="240"/>
              <w:rPr>
                <w:rFonts w:ascii="Times New Roman" w:hAnsi="Times New Roman" w:cs="Times New Roman"/>
                <w:i/>
                <w:sz w:val="22"/>
                <w:szCs w:val="22"/>
              </w:rPr>
            </w:pPr>
            <w:r w:rsidRPr="009D77D7">
              <w:rPr>
                <w:rFonts w:ascii="Times New Roman" w:hAnsi="Times New Roman" w:cs="Times New Roman"/>
                <w:i/>
                <w:sz w:val="22"/>
                <w:szCs w:val="22"/>
              </w:rPr>
              <w:t xml:space="preserve">Have not instituted processes (or expectations) for the principal and other personnel (e.g., coaches) to actively visit classrooms and provide teachers with useful teacher-specific feedback based on observations. </w:t>
            </w:r>
          </w:p>
          <w:p w:rsidR="00E74B7A" w:rsidRPr="009D77D7" w:rsidRDefault="00E74B7A" w:rsidP="00F075E0">
            <w:pPr>
              <w:pStyle w:val="ListParagraph"/>
              <w:numPr>
                <w:ilvl w:val="0"/>
                <w:numId w:val="20"/>
              </w:numPr>
              <w:spacing w:before="120" w:after="120"/>
              <w:ind w:left="522"/>
              <w:contextualSpacing w:val="0"/>
              <w:rPr>
                <w:rFonts w:ascii="Times New Roman" w:hAnsi="Times New Roman" w:cs="Times New Roman"/>
                <w:sz w:val="22"/>
                <w:szCs w:val="22"/>
              </w:rPr>
            </w:pPr>
            <w:r w:rsidRPr="009D77D7">
              <w:rPr>
                <w:rFonts w:ascii="Times New Roman" w:hAnsi="Times New Roman" w:cs="Times New Roman"/>
                <w:sz w:val="22"/>
                <w:szCs w:val="22"/>
              </w:rPr>
              <w:t>Classroom observations either by the principal, other administrators, or coaches are sporadic and informal feedback is inconsistent and not focused on instruction or providing teachers with constructive feedback on instruction specific to their observed teaching.</w:t>
            </w:r>
          </w:p>
          <w:p w:rsidR="00C87B50" w:rsidRPr="009D77D7" w:rsidRDefault="00E74B7A" w:rsidP="00F075E0">
            <w:pPr>
              <w:pStyle w:val="ListParagraph"/>
              <w:numPr>
                <w:ilvl w:val="0"/>
                <w:numId w:val="20"/>
              </w:numPr>
              <w:spacing w:before="120" w:after="240"/>
              <w:ind w:left="522"/>
              <w:contextualSpacing w:val="0"/>
              <w:rPr>
                <w:rFonts w:ascii="Times New Roman" w:hAnsi="Times New Roman" w:cs="Times New Roman"/>
                <w:sz w:val="22"/>
                <w:szCs w:val="22"/>
              </w:rPr>
            </w:pPr>
            <w:r w:rsidRPr="009D77D7">
              <w:rPr>
                <w:rFonts w:ascii="Times New Roman" w:hAnsi="Times New Roman" w:cs="Times New Roman"/>
                <w:sz w:val="22"/>
                <w:szCs w:val="22"/>
              </w:rPr>
              <w:t>There are little to no opportunities for teachers to visit one another’s classrooms to learn from one another within and across grade levels.</w:t>
            </w:r>
          </w:p>
          <w:p w:rsidR="00ED2B0D" w:rsidRPr="009D77D7" w:rsidRDefault="00ED2B0D" w:rsidP="00C87B50">
            <w:pPr>
              <w:rPr>
                <w:rFonts w:ascii="Times New Roman" w:hAnsi="Times New Roman" w:cs="Times New Roman"/>
                <w:i/>
                <w:sz w:val="22"/>
                <w:szCs w:val="22"/>
              </w:rPr>
            </w:pPr>
          </w:p>
          <w:p w:rsidR="00E74B7A" w:rsidRPr="009D77D7" w:rsidRDefault="00E74B7A" w:rsidP="001964C5">
            <w:pPr>
              <w:spacing w:before="120"/>
              <w:rPr>
                <w:rFonts w:ascii="Times New Roman" w:hAnsi="Times New Roman" w:cs="Times New Roman"/>
                <w:i/>
                <w:sz w:val="22"/>
                <w:szCs w:val="22"/>
              </w:rPr>
            </w:pPr>
            <w:r w:rsidRPr="009D77D7">
              <w:rPr>
                <w:rFonts w:ascii="Times New Roman" w:hAnsi="Times New Roman" w:cs="Times New Roman"/>
                <w:i/>
                <w:sz w:val="22"/>
                <w:szCs w:val="22"/>
              </w:rPr>
              <w:t xml:space="preserve">There is a lack of professional conversations, targeted coaching, and </w:t>
            </w:r>
            <w:r w:rsidR="00EF4FDB">
              <w:rPr>
                <w:rFonts w:ascii="Times New Roman" w:hAnsi="Times New Roman" w:cs="Times New Roman"/>
                <w:i/>
                <w:sz w:val="22"/>
                <w:szCs w:val="22"/>
              </w:rPr>
              <w:t>follow-up</w:t>
            </w:r>
            <w:r w:rsidRPr="009D77D7">
              <w:rPr>
                <w:rFonts w:ascii="Times New Roman" w:hAnsi="Times New Roman" w:cs="Times New Roman"/>
                <w:i/>
                <w:sz w:val="22"/>
                <w:szCs w:val="22"/>
              </w:rPr>
              <w:t xml:space="preserve"> that </w:t>
            </w:r>
            <w:r w:rsidR="00EF4FDB">
              <w:rPr>
                <w:rFonts w:ascii="Times New Roman" w:hAnsi="Times New Roman" w:cs="Times New Roman"/>
                <w:i/>
                <w:sz w:val="22"/>
                <w:szCs w:val="22"/>
              </w:rPr>
              <w:t>actively uses data and that is focused on improving instruction, or figuring out why certain units or lessons were not effective.</w:t>
            </w:r>
            <w:r w:rsidRPr="009D77D7">
              <w:rPr>
                <w:rFonts w:ascii="Times New Roman" w:hAnsi="Times New Roman" w:cs="Times New Roman"/>
                <w:i/>
                <w:sz w:val="22"/>
                <w:szCs w:val="22"/>
              </w:rPr>
              <w:t xml:space="preserve"> </w:t>
            </w:r>
          </w:p>
          <w:p w:rsidR="005B4811" w:rsidRPr="009D77D7" w:rsidRDefault="00EF4FDB" w:rsidP="00573C4A">
            <w:pPr>
              <w:pStyle w:val="ListParagraph"/>
              <w:numPr>
                <w:ilvl w:val="0"/>
                <w:numId w:val="4"/>
              </w:numPr>
              <w:spacing w:before="120" w:after="120"/>
              <w:ind w:left="518"/>
              <w:contextualSpacing w:val="0"/>
              <w:rPr>
                <w:rFonts w:ascii="Times New Roman" w:hAnsi="Times New Roman" w:cs="Times New Roman"/>
                <w:sz w:val="22"/>
                <w:szCs w:val="22"/>
              </w:rPr>
            </w:pPr>
            <w:r>
              <w:rPr>
                <w:rFonts w:ascii="Times New Roman" w:hAnsi="Times New Roman" w:cs="Times New Roman"/>
                <w:sz w:val="22"/>
                <w:szCs w:val="22"/>
              </w:rPr>
              <w:t>Even when</w:t>
            </w:r>
            <w:r w:rsidR="005B4811" w:rsidRPr="009D77D7">
              <w:rPr>
                <w:rFonts w:ascii="Times New Roman" w:hAnsi="Times New Roman" w:cs="Times New Roman"/>
                <w:sz w:val="22"/>
                <w:szCs w:val="22"/>
              </w:rPr>
              <w:t xml:space="preserve"> teachers are able to </w:t>
            </w:r>
            <w:r>
              <w:rPr>
                <w:rFonts w:ascii="Times New Roman" w:hAnsi="Times New Roman" w:cs="Times New Roman"/>
                <w:sz w:val="22"/>
                <w:szCs w:val="22"/>
              </w:rPr>
              <w:t xml:space="preserve">meet together, </w:t>
            </w:r>
            <w:r w:rsidR="00573C4A">
              <w:rPr>
                <w:rFonts w:ascii="Times New Roman" w:hAnsi="Times New Roman" w:cs="Times New Roman"/>
                <w:sz w:val="22"/>
                <w:szCs w:val="22"/>
              </w:rPr>
              <w:t>conversations and meetings are unstructured, lack agendas or clear objectives, and are not informed by data;</w:t>
            </w:r>
            <w:r w:rsidR="005B4811" w:rsidRPr="009D77D7">
              <w:rPr>
                <w:rFonts w:ascii="Times New Roman" w:hAnsi="Times New Roman" w:cs="Times New Roman"/>
                <w:sz w:val="22"/>
                <w:szCs w:val="22"/>
              </w:rPr>
              <w:t xml:space="preserve"> there is a lack of deliberate or effective follow-through and implementation </w:t>
            </w:r>
            <w:r w:rsidR="001964C5">
              <w:rPr>
                <w:rFonts w:ascii="Times New Roman" w:hAnsi="Times New Roman" w:cs="Times New Roman"/>
                <w:sz w:val="22"/>
                <w:szCs w:val="22"/>
              </w:rPr>
              <w:t xml:space="preserve">of </w:t>
            </w:r>
            <w:r w:rsidR="00573C4A">
              <w:rPr>
                <w:rFonts w:ascii="Times New Roman" w:hAnsi="Times New Roman" w:cs="Times New Roman"/>
                <w:sz w:val="22"/>
                <w:szCs w:val="22"/>
              </w:rPr>
              <w:t>efforts to improvement</w:t>
            </w:r>
            <w:r w:rsidR="005B4811" w:rsidRPr="009D77D7">
              <w:rPr>
                <w:rFonts w:ascii="Times New Roman" w:hAnsi="Times New Roman" w:cs="Times New Roman"/>
                <w:sz w:val="22"/>
                <w:szCs w:val="22"/>
              </w:rPr>
              <w:t xml:space="preserve"> instruction.   </w:t>
            </w:r>
          </w:p>
        </w:tc>
      </w:tr>
    </w:tbl>
    <w:p w:rsidR="00C9081C" w:rsidRDefault="00C9081C" w:rsidP="00B06E43">
      <w:pPr>
        <w:jc w:val="center"/>
        <w:rPr>
          <w:b/>
        </w:rPr>
      </w:pPr>
    </w:p>
    <w:p w:rsidR="00396A29" w:rsidRPr="000519CD" w:rsidRDefault="00C9081C" w:rsidP="00C9081C">
      <w:pPr>
        <w:jc w:val="center"/>
        <w:rPr>
          <w:b/>
        </w:rPr>
      </w:pPr>
      <w:r>
        <w:rPr>
          <w:b/>
        </w:rPr>
        <w:br w:type="page"/>
      </w:r>
      <w:r w:rsidR="00396A29" w:rsidRPr="000519CD">
        <w:rPr>
          <w:b/>
        </w:rPr>
        <w:lastRenderedPageBreak/>
        <w:t>Sustaining Practice #</w:t>
      </w:r>
      <w:r w:rsidR="00396A29">
        <w:rPr>
          <w:b/>
        </w:rPr>
        <w:t>3</w:t>
      </w:r>
    </w:p>
    <w:p w:rsidR="00396A29" w:rsidRPr="002D17F1" w:rsidRDefault="00396A29" w:rsidP="00396A29">
      <w:pPr>
        <w:pStyle w:val="ListParagraph"/>
        <w:jc w:val="center"/>
        <w:rPr>
          <w:b/>
        </w:rPr>
      </w:pPr>
      <w:r>
        <w:rPr>
          <w:b/>
        </w:rPr>
        <w:t>Providing Student-specific Supports and Interventions Informed by Data and Student-specific Needs</w:t>
      </w:r>
    </w:p>
    <w:p w:rsidR="008F5906" w:rsidRPr="007D5A01" w:rsidRDefault="00DE5D7C" w:rsidP="00DE5D7C">
      <w:pPr>
        <w:rPr>
          <w:b/>
        </w:rPr>
      </w:pPr>
      <w:r w:rsidRPr="00DE5D7C">
        <w:rPr>
          <w:b/>
          <w:noProof/>
          <w:lang w:eastAsia="zh-CN"/>
        </w:rPr>
        <w:drawing>
          <wp:anchor distT="0" distB="0" distL="114300" distR="114300" simplePos="0" relativeHeight="251739136" behindDoc="0" locked="0" layoutInCell="1" allowOverlap="1">
            <wp:simplePos x="0" y="0"/>
            <wp:positionH relativeFrom="margin">
              <wp:posOffset>276860</wp:posOffset>
            </wp:positionH>
            <wp:positionV relativeFrom="margin">
              <wp:posOffset>667385</wp:posOffset>
            </wp:positionV>
            <wp:extent cx="1055370" cy="4343400"/>
            <wp:effectExtent l="0" t="0" r="0" b="0"/>
            <wp:wrapSquare wrapText="bothSides"/>
            <wp:docPr id="35" name="Picture 35" descr="In the first year of Turnaround&#10;Through two years of Turnaround&#10;Moving towards Sustainable Turna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5370" cy="4343400"/>
                    </a:xfrm>
                    <a:prstGeom prst="rect">
                      <a:avLst/>
                    </a:prstGeom>
                    <a:noFill/>
                    <a:ln>
                      <a:noFill/>
                    </a:ln>
                  </pic:spPr>
                </pic:pic>
              </a:graphicData>
            </a:graphic>
          </wp:anchor>
        </w:drawing>
      </w:r>
      <w:r w:rsidR="0011041D">
        <w:rPr>
          <w:b/>
          <w:noProof/>
        </w:rPr>
        <w:pict>
          <v:shape id="Text Box 34" o:spid="_x0000_s1041" type="#_x0000_t202" style="position:absolute;margin-left:129.45pt;margin-top:291.4pt;width:531pt;height:162pt;z-index:2517422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" fillcolor="white [3201]" strokecolor="#4f81bd [3204]" strokeweight=".5pt">
            <v:path arrowok="t"/>
            <v:textbox>
              <w:txbxContent>
                <w:p w:rsidR="0090743D" w:rsidRPr="00B15113" w:rsidRDefault="0090743D" w:rsidP="00DE5D7C">
                  <w:pPr>
                    <w:widowControl w:val="0"/>
                    <w:tabs>
                      <w:tab w:val="left" w:pos="0"/>
                    </w:tabs>
                    <w:autoSpaceDE w:val="0"/>
                    <w:autoSpaceDN w:val="0"/>
                    <w:adjustRightInd w:val="0"/>
                    <w:ind w:right="-18"/>
                    <w:rPr>
                      <w:sz w:val="22"/>
                      <w:szCs w:val="22"/>
                      <w:lang w:eastAsia="ja-JP"/>
                    </w:rPr>
                  </w:pPr>
                  <w:r>
                    <w:rPr>
                      <w:sz w:val="22"/>
                      <w:szCs w:val="22"/>
                      <w:lang w:eastAsia="ja-JP"/>
                    </w:rPr>
                    <w:t xml:space="preserve">In the first year, Achievement Gain schools </w:t>
                  </w:r>
                  <w:r>
                    <w:rPr>
                      <w:b/>
                      <w:bCs/>
                      <w:sz w:val="22"/>
                      <w:szCs w:val="22"/>
                      <w:lang w:eastAsia="ja-JP"/>
                    </w:rPr>
                    <w:t>began to use new data systems to collect and review student assessment data much more frequently, focusing on identifying the specific needs of students</w:t>
                  </w:r>
                  <w:r>
                    <w:rPr>
                      <w:sz w:val="22"/>
                      <w:szCs w:val="22"/>
                      <w:lang w:eastAsia="ja-JP"/>
                    </w:rPr>
                    <w:t xml:space="preserve">. Student data was used to ensure that Tier I instruction was appropriately differentiated and that additional Tier II interventions were provided to students based on their specific needs. Staffing, the placement and grouping of </w:t>
                  </w:r>
                  <w:proofErr w:type="gramStart"/>
                  <w:r>
                    <w:rPr>
                      <w:sz w:val="22"/>
                      <w:szCs w:val="22"/>
                      <w:lang w:eastAsia="ja-JP"/>
                    </w:rPr>
                    <w:t>students,</w:t>
                  </w:r>
                  <w:proofErr w:type="gramEnd"/>
                  <w:r>
                    <w:rPr>
                      <w:sz w:val="22"/>
                      <w:szCs w:val="22"/>
                      <w:lang w:eastAsia="ja-JP"/>
                    </w:rPr>
                    <w:t xml:space="preserve"> and the allocation of resources was responsive to these identified needs. Through year two, Achievement Gain schools have become more precise with how interventions are identified and deployed. Teacher teams are meeting frequently and using multiple sources of data to inform the identification of student needs and the (multiple) interventions provided to students, articulated in student-specific actions plans. Schedules are modified to maximize the use of resources (e.g., teachers, enrichment, tutors) that provide </w:t>
                  </w:r>
                  <w:r>
                    <w:rPr>
                      <w:b/>
                      <w:bCs/>
                      <w:sz w:val="22"/>
                      <w:szCs w:val="22"/>
                      <w:lang w:eastAsia="ja-JP"/>
                    </w:rPr>
                    <w:t>targeted</w:t>
                  </w:r>
                  <w:r>
                    <w:rPr>
                      <w:sz w:val="22"/>
                      <w:szCs w:val="22"/>
                      <w:lang w:eastAsia="ja-JP"/>
                    </w:rPr>
                    <w:t xml:space="preserve"> support to </w:t>
                  </w:r>
                  <w:r>
                    <w:rPr>
                      <w:b/>
                      <w:bCs/>
                      <w:sz w:val="22"/>
                      <w:szCs w:val="22"/>
                      <w:lang w:eastAsia="ja-JP"/>
                    </w:rPr>
                    <w:t>more</w:t>
                  </w:r>
                  <w:r>
                    <w:rPr>
                      <w:sz w:val="22"/>
                      <w:szCs w:val="22"/>
                      <w:lang w:eastAsia="ja-JP"/>
                    </w:rPr>
                    <w:t xml:space="preserve"> students, and with greater </w:t>
                  </w:r>
                  <w:r>
                    <w:rPr>
                      <w:b/>
                      <w:bCs/>
                      <w:sz w:val="22"/>
                      <w:szCs w:val="22"/>
                      <w:lang w:eastAsia="ja-JP"/>
                    </w:rPr>
                    <w:t>intensity</w:t>
                  </w:r>
                  <w:r>
                    <w:rPr>
                      <w:sz w:val="22"/>
                      <w:szCs w:val="22"/>
                      <w:lang w:eastAsia="ja-JP"/>
                    </w:rPr>
                    <w:t xml:space="preserve">, than in year one (and significantly more than in pre-turnaround efforts.) </w:t>
                  </w:r>
                  <w:r>
                    <w:rPr>
                      <w:b/>
                      <w:bCs/>
                      <w:sz w:val="22"/>
                      <w:szCs w:val="22"/>
                      <w:lang w:eastAsia="ja-JP"/>
                    </w:rPr>
                    <w:t>As a result, Achievement Gain schools are moving from “routine” use of a tiered system of instructional support to continuously improving and refining the precision of instruction provided to students</w:t>
                  </w:r>
                  <w:r>
                    <w:rPr>
                      <w:sz w:val="22"/>
                      <w:szCs w:val="22"/>
                      <w:lang w:eastAsia="ja-JP"/>
                    </w:rPr>
                    <w:t>.</w:t>
                  </w:r>
                </w:p>
              </w:txbxContent>
            </v:textbox>
            <w10:wrap type="square"/>
          </v:shape>
        </w:pict>
      </w:r>
      <w:r w:rsidR="0011041D">
        <w:rPr>
          <w:b/>
          <w:noProof/>
        </w:rPr>
        <w:pict>
          <v:shape id="Text Box 32" o:spid="_x0000_s1042" type="#_x0000_t202" style="position:absolute;margin-left:129.45pt;margin-top:78.95pt;width:531pt;height:198pt;z-index:2517411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" fillcolor="white [3201]" strokecolor="#4f81bd [3204]" strokeweight=".5pt">
            <v:path arrowok="t"/>
            <v:textbox>
              <w:txbxContent>
                <w:p w:rsidR="0090743D" w:rsidRDefault="0090743D" w:rsidP="00944B8C">
                  <w:pPr>
                    <w:widowControl w:val="0"/>
                    <w:autoSpaceDE w:val="0"/>
                    <w:autoSpaceDN w:val="0"/>
                    <w:adjustRightInd w:val="0"/>
                    <w:spacing w:before="40" w:after="40"/>
                    <w:ind w:right="58"/>
                    <w:rPr>
                      <w:sz w:val="22"/>
                      <w:szCs w:val="22"/>
                      <w:lang w:eastAsia="ja-JP"/>
                    </w:rPr>
                  </w:pPr>
                  <w:r>
                    <w:rPr>
                      <w:sz w:val="22"/>
                      <w:szCs w:val="22"/>
                      <w:lang w:eastAsia="ja-JP"/>
                    </w:rPr>
                    <w:t xml:space="preserve">After two years, leadership, teachers, and coaches in Achievement Gain schools are rigorously using a well-orchestrated system of ongoing data collection and analysis to inform a continuously responsive and adaptive system of tiered instruction attentive to students’ specific academic needs. </w:t>
                  </w:r>
                </w:p>
                <w:p w:rsidR="0090743D" w:rsidRDefault="0090743D" w:rsidP="00944B8C">
                  <w:pPr>
                    <w:widowControl w:val="0"/>
                    <w:autoSpaceDE w:val="0"/>
                    <w:autoSpaceDN w:val="0"/>
                    <w:adjustRightInd w:val="0"/>
                    <w:spacing w:before="120" w:after="40"/>
                    <w:ind w:right="-1814"/>
                    <w:rPr>
                      <w:sz w:val="22"/>
                      <w:szCs w:val="22"/>
                      <w:lang w:eastAsia="ja-JP"/>
                    </w:rPr>
                  </w:pPr>
                  <w:r>
                    <w:rPr>
                      <w:sz w:val="22"/>
                      <w:szCs w:val="22"/>
                      <w:lang w:eastAsia="ja-JP"/>
                    </w:rPr>
                    <w:t xml:space="preserve">In Achievement Gains schools: </w:t>
                  </w:r>
                </w:p>
                <w:p w:rsidR="0090743D" w:rsidRDefault="0090743D" w:rsidP="00944B8C">
                  <w:pPr>
                    <w:widowControl w:val="0"/>
                    <w:autoSpaceDE w:val="0"/>
                    <w:autoSpaceDN w:val="0"/>
                    <w:adjustRightInd w:val="0"/>
                    <w:spacing w:before="80" w:after="80"/>
                    <w:ind w:left="240" w:right="-28"/>
                    <w:rPr>
                      <w:sz w:val="22"/>
                      <w:szCs w:val="22"/>
                      <w:lang w:eastAsia="ja-JP"/>
                    </w:rPr>
                  </w:pPr>
                  <w:r>
                    <w:rPr>
                      <w:i/>
                      <w:iCs/>
                      <w:sz w:val="22"/>
                      <w:szCs w:val="22"/>
                      <w:lang w:eastAsia="ja-JP"/>
                    </w:rPr>
                    <w:t xml:space="preserve">Students are provided with instruction and interventions in direct response to their academic areas of need, </w:t>
                  </w:r>
                  <w:r>
                    <w:rPr>
                      <w:sz w:val="22"/>
                      <w:szCs w:val="22"/>
                      <w:lang w:eastAsia="ja-JP"/>
                    </w:rPr>
                    <w:t>identified through focused analysis of student and/or skill-specific assessments;</w:t>
                  </w:r>
                </w:p>
                <w:p w:rsidR="0090743D" w:rsidRDefault="0090743D" w:rsidP="00944B8C">
                  <w:pPr>
                    <w:widowControl w:val="0"/>
                    <w:autoSpaceDE w:val="0"/>
                    <w:autoSpaceDN w:val="0"/>
                    <w:adjustRightInd w:val="0"/>
                    <w:spacing w:before="80" w:after="80"/>
                    <w:ind w:left="240" w:right="-28"/>
                    <w:rPr>
                      <w:sz w:val="22"/>
                      <w:szCs w:val="22"/>
                      <w:lang w:eastAsia="ja-JP"/>
                    </w:rPr>
                  </w:pPr>
                  <w:r>
                    <w:rPr>
                      <w:i/>
                      <w:iCs/>
                      <w:sz w:val="22"/>
                      <w:szCs w:val="22"/>
                      <w:lang w:eastAsia="ja-JP"/>
                    </w:rPr>
                    <w:t>The principal, coaches, and teachers actively monitor instructional effectiveness and the progress of students’ learning</w:t>
                  </w:r>
                  <w:r>
                    <w:rPr>
                      <w:sz w:val="22"/>
                      <w:szCs w:val="22"/>
                      <w:lang w:eastAsia="ja-JP"/>
                    </w:rPr>
                    <w:t xml:space="preserve"> across the school, within grade-levels, in classrooms, and down to the student-level for the purpose of informing instruction; and</w:t>
                  </w:r>
                </w:p>
                <w:p w:rsidR="0090743D" w:rsidRPr="00B15113" w:rsidRDefault="0090743D" w:rsidP="00944B8C">
                  <w:pPr>
                    <w:widowControl w:val="0"/>
                    <w:tabs>
                      <w:tab w:val="left" w:pos="206"/>
                    </w:tabs>
                    <w:autoSpaceDE w:val="0"/>
                    <w:autoSpaceDN w:val="0"/>
                    <w:adjustRightInd w:val="0"/>
                    <w:spacing w:before="80" w:after="80"/>
                    <w:ind w:left="226" w:right="-28"/>
                    <w:rPr>
                      <w:sz w:val="22"/>
                      <w:szCs w:val="22"/>
                      <w:lang w:eastAsia="ja-JP"/>
                    </w:rPr>
                  </w:pPr>
                  <w:r>
                    <w:rPr>
                      <w:i/>
                      <w:iCs/>
                      <w:sz w:val="22"/>
                      <w:szCs w:val="22"/>
                      <w:lang w:eastAsia="ja-JP"/>
                    </w:rPr>
                    <w:t>Leadership and teachers have the autonomy and flexibility to quickly adapt and modify time (e.g., schedules), resources</w:t>
                  </w:r>
                  <w:r>
                    <w:rPr>
                      <w:sz w:val="22"/>
                      <w:szCs w:val="22"/>
                      <w:lang w:eastAsia="ja-JP"/>
                    </w:rPr>
                    <w:t xml:space="preserve"> (e.g., people and interventionists), </w:t>
                  </w:r>
                  <w:r>
                    <w:rPr>
                      <w:i/>
                      <w:iCs/>
                      <w:sz w:val="22"/>
                      <w:szCs w:val="22"/>
                      <w:lang w:eastAsia="ja-JP"/>
                    </w:rPr>
                    <w:t>and</w:t>
                  </w:r>
                  <w:r>
                    <w:rPr>
                      <w:sz w:val="22"/>
                      <w:szCs w:val="22"/>
                      <w:lang w:eastAsia="ja-JP"/>
                    </w:rPr>
                    <w:t xml:space="preserve"> </w:t>
                  </w:r>
                  <w:r>
                    <w:rPr>
                      <w:i/>
                      <w:iCs/>
                      <w:sz w:val="22"/>
                      <w:szCs w:val="22"/>
                      <w:lang w:eastAsia="ja-JP"/>
                    </w:rPr>
                    <w:t>interventions</w:t>
                  </w:r>
                  <w:r>
                    <w:rPr>
                      <w:sz w:val="22"/>
                      <w:szCs w:val="22"/>
                      <w:lang w:eastAsia="ja-JP"/>
                    </w:rPr>
                    <w:t xml:space="preserve"> to directly and immediately meet student-specific needs.</w:t>
                  </w:r>
                </w:p>
              </w:txbxContent>
            </v:textbox>
            <w10:wrap type="square"/>
          </v:shape>
        </w:pict>
      </w:r>
      <w:r w:rsidR="0011041D">
        <w:rPr>
          <w:b/>
          <w:noProof/>
        </w:rPr>
        <w:pict>
          <v:shape id="Text Box 25" o:spid="_x0000_s1043" type="#_x0000_t202" style="position:absolute;margin-left:129.45pt;margin-top:14.6pt;width:531pt;height:54pt;z-index:2517401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" fillcolor="white [3201]" strokecolor="#4f81bd [3204]" strokeweight=".5pt">
            <v:path arrowok="t"/>
            <v:textbox>
              <w:txbxContent>
                <w:p w:rsidR="0090743D" w:rsidRDefault="0090743D" w:rsidP="00DE5D7C">
                  <w:r>
                    <w:rPr>
                      <w:sz w:val="22"/>
                      <w:szCs w:val="22"/>
                      <w:lang w:eastAsia="ja-JP"/>
                    </w:rPr>
                    <w:t>During year one, Achievement Gain schools developed a well-orchestrated system of ongoing data collection and analysis that informed a continuously responsive and adaptive system of tiered instruction directly attentive to students’ specific academic needs.</w:t>
                  </w:r>
                </w:p>
              </w:txbxContent>
            </v:textbox>
            <w10:wrap type="square"/>
          </v:shape>
        </w:pict>
      </w:r>
      <w:r>
        <w:rPr>
          <w:b/>
        </w:rPr>
        <w:br w:type="page"/>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7758"/>
        <w:gridCol w:w="5994"/>
      </w:tblGrid>
      <w:tr w:rsidR="00DE5D7C" w:rsidTr="00F82AF5">
        <w:tc>
          <w:tcPr>
            <w:tcW w:w="7758" w:type="dxa"/>
            <w:vAlign w:val="center"/>
          </w:tcPr>
          <w:p w:rsidR="00CF5E99" w:rsidRPr="00B7285A" w:rsidRDefault="00CF5E99" w:rsidP="00CF5E99">
            <w:pPr>
              <w:spacing w:before="120" w:after="120"/>
              <w:jc w:val="center"/>
              <w:rPr>
                <w:rFonts w:ascii="Times New Roman" w:hAnsi="Times New Roman" w:cs="Times New Roman"/>
                <w:b/>
                <w:sz w:val="22"/>
                <w:szCs w:val="22"/>
              </w:rPr>
            </w:pPr>
            <w:r w:rsidRPr="00B7285A">
              <w:rPr>
                <w:rFonts w:ascii="Times New Roman" w:hAnsi="Times New Roman" w:cs="Times New Roman"/>
                <w:b/>
                <w:sz w:val="22"/>
                <w:szCs w:val="22"/>
              </w:rPr>
              <w:lastRenderedPageBreak/>
              <w:t>In schools making progress over two years…</w:t>
            </w:r>
          </w:p>
        </w:tc>
        <w:tc>
          <w:tcPr>
            <w:tcW w:w="5994" w:type="dxa"/>
          </w:tcPr>
          <w:p w:rsidR="00CF5E99" w:rsidRPr="00B7285A" w:rsidRDefault="00CF5E99" w:rsidP="00CF5E99">
            <w:pPr>
              <w:spacing w:before="120" w:after="120"/>
              <w:rPr>
                <w:rFonts w:ascii="Times New Roman" w:hAnsi="Times New Roman" w:cs="Times New Roman"/>
                <w:b/>
                <w:sz w:val="22"/>
                <w:szCs w:val="22"/>
              </w:rPr>
            </w:pPr>
            <w:r w:rsidRPr="00B7285A">
              <w:rPr>
                <w:rFonts w:ascii="Times New Roman" w:hAnsi="Times New Roman" w:cs="Times New Roman"/>
                <w:b/>
                <w:sz w:val="22"/>
                <w:szCs w:val="22"/>
              </w:rPr>
              <w:t xml:space="preserve">In </w:t>
            </w:r>
            <w:r w:rsidR="00C87B50" w:rsidRPr="00B7285A">
              <w:rPr>
                <w:rFonts w:ascii="Times New Roman" w:hAnsi="Times New Roman" w:cs="Times New Roman"/>
                <w:b/>
                <w:sz w:val="22"/>
                <w:szCs w:val="22"/>
              </w:rPr>
              <w:t xml:space="preserve">contrast, </w:t>
            </w:r>
            <w:r w:rsidRPr="00B7285A">
              <w:rPr>
                <w:rFonts w:ascii="Times New Roman" w:hAnsi="Times New Roman" w:cs="Times New Roman"/>
                <w:b/>
                <w:sz w:val="22"/>
                <w:szCs w:val="22"/>
              </w:rPr>
              <w:t>schools not making progress over two years…</w:t>
            </w:r>
          </w:p>
        </w:tc>
      </w:tr>
      <w:tr w:rsidR="00DE5D7C" w:rsidTr="00F82AF5">
        <w:trPr>
          <w:trHeight w:val="9017"/>
        </w:trPr>
        <w:tc>
          <w:tcPr>
            <w:tcW w:w="7758" w:type="dxa"/>
          </w:tcPr>
          <w:p w:rsidR="00CF5E99" w:rsidRPr="00B7285A" w:rsidRDefault="00CF5E99" w:rsidP="00CF5E99">
            <w:pPr>
              <w:spacing w:before="120" w:after="120"/>
              <w:rPr>
                <w:rFonts w:ascii="Times New Roman" w:hAnsi="Times New Roman" w:cs="Times New Roman"/>
                <w:i/>
                <w:sz w:val="22"/>
                <w:szCs w:val="22"/>
              </w:rPr>
            </w:pPr>
            <w:r w:rsidRPr="00B7285A">
              <w:rPr>
                <w:rFonts w:ascii="Times New Roman" w:hAnsi="Times New Roman" w:cs="Times New Roman"/>
                <w:i/>
                <w:sz w:val="22"/>
                <w:szCs w:val="22"/>
              </w:rPr>
              <w:t xml:space="preserve">Students are provided with instruction and interventions in direct response to their academic areas of need, identified through focused analysis of student and/or skill-specific assessments </w:t>
            </w:r>
          </w:p>
          <w:p w:rsidR="00CF5E99" w:rsidRPr="00B7285A" w:rsidRDefault="008E7D3E" w:rsidP="00145FF0">
            <w:pPr>
              <w:pStyle w:val="ListParagraph"/>
              <w:numPr>
                <w:ilvl w:val="0"/>
                <w:numId w:val="8"/>
              </w:numPr>
              <w:spacing w:before="120" w:after="120"/>
              <w:ind w:left="540"/>
              <w:contextualSpacing w:val="0"/>
              <w:rPr>
                <w:rFonts w:ascii="Times New Roman" w:hAnsi="Times New Roman" w:cs="Times New Roman"/>
                <w:i/>
                <w:sz w:val="22"/>
                <w:szCs w:val="22"/>
              </w:rPr>
            </w:pPr>
            <w:r w:rsidRPr="00B7285A">
              <w:rPr>
                <w:rFonts w:ascii="Times New Roman" w:hAnsi="Times New Roman" w:cs="Times New Roman"/>
                <w:sz w:val="22"/>
                <w:szCs w:val="22"/>
              </w:rPr>
              <w:t>Data from multiple sources</w:t>
            </w:r>
            <w:r w:rsidR="00CF5E99" w:rsidRPr="00B7285A">
              <w:rPr>
                <w:rFonts w:ascii="Times New Roman" w:hAnsi="Times New Roman" w:cs="Times New Roman"/>
                <w:sz w:val="22"/>
                <w:szCs w:val="22"/>
              </w:rPr>
              <w:t xml:space="preserve"> is typically reviewed and discussed in data team, grade level, or ILT meetings. Teams conduct item analyses to identify needed student skill development and develop action plans to attend to those specific needs, whether that means re-teaching to the whole class, in small groups, or individually.  </w:t>
            </w:r>
          </w:p>
          <w:p w:rsidR="00CF5E99" w:rsidRPr="00B7285A" w:rsidRDefault="00CF5E99" w:rsidP="00145FF0">
            <w:pPr>
              <w:pStyle w:val="ListParagraph"/>
              <w:numPr>
                <w:ilvl w:val="0"/>
                <w:numId w:val="8"/>
              </w:numPr>
              <w:spacing w:before="120" w:after="120"/>
              <w:ind w:left="540"/>
              <w:contextualSpacing w:val="0"/>
              <w:rPr>
                <w:rFonts w:ascii="Times New Roman" w:hAnsi="Times New Roman" w:cs="Times New Roman"/>
                <w:i/>
                <w:sz w:val="22"/>
                <w:szCs w:val="22"/>
              </w:rPr>
            </w:pPr>
            <w:r w:rsidRPr="00B7285A">
              <w:rPr>
                <w:rFonts w:ascii="Times New Roman" w:hAnsi="Times New Roman" w:cs="Times New Roman"/>
                <w:sz w:val="22"/>
                <w:szCs w:val="22"/>
              </w:rPr>
              <w:t>Follow-up assessments (such a</w:t>
            </w:r>
            <w:r w:rsidR="008E7D3E" w:rsidRPr="00B7285A">
              <w:rPr>
                <w:rFonts w:ascii="Times New Roman" w:hAnsi="Times New Roman" w:cs="Times New Roman"/>
                <w:sz w:val="22"/>
                <w:szCs w:val="22"/>
              </w:rPr>
              <w:t xml:space="preserve">s DIBELS, </w:t>
            </w:r>
            <w:proofErr w:type="spellStart"/>
            <w:r w:rsidR="008E7D3E" w:rsidRPr="00B7285A">
              <w:rPr>
                <w:rFonts w:ascii="Times New Roman" w:hAnsi="Times New Roman" w:cs="Times New Roman"/>
                <w:sz w:val="22"/>
                <w:szCs w:val="22"/>
              </w:rPr>
              <w:t>aimsweb</w:t>
            </w:r>
            <w:proofErr w:type="spellEnd"/>
            <w:r w:rsidR="008E7D3E" w:rsidRPr="00B7285A">
              <w:rPr>
                <w:rFonts w:ascii="Times New Roman" w:hAnsi="Times New Roman" w:cs="Times New Roman"/>
                <w:sz w:val="22"/>
                <w:szCs w:val="22"/>
              </w:rPr>
              <w:t xml:space="preserve"> Maze, and </w:t>
            </w:r>
            <w:proofErr w:type="spellStart"/>
            <w:r w:rsidR="008E7D3E" w:rsidRPr="00B7285A">
              <w:rPr>
                <w:rFonts w:ascii="Times New Roman" w:hAnsi="Times New Roman" w:cs="Times New Roman"/>
                <w:sz w:val="22"/>
                <w:szCs w:val="22"/>
              </w:rPr>
              <w:t>ANet</w:t>
            </w:r>
            <w:proofErr w:type="spellEnd"/>
            <w:r w:rsidRPr="00B7285A">
              <w:rPr>
                <w:rFonts w:ascii="Times New Roman" w:hAnsi="Times New Roman" w:cs="Times New Roman"/>
                <w:sz w:val="22"/>
                <w:szCs w:val="22"/>
              </w:rPr>
              <w:t xml:space="preserve">) inform the degree to which students make progress, and if not, what other strategies or interventions can be taken to address the students’ lack of progress. </w:t>
            </w:r>
          </w:p>
          <w:p w:rsidR="00CF5E99" w:rsidRPr="00B7285A" w:rsidRDefault="00CF5E99" w:rsidP="00CF5E99">
            <w:pPr>
              <w:spacing w:before="120" w:after="120"/>
              <w:rPr>
                <w:rFonts w:ascii="Times New Roman" w:hAnsi="Times New Roman" w:cs="Times New Roman"/>
                <w:i/>
                <w:sz w:val="22"/>
                <w:szCs w:val="22"/>
              </w:rPr>
            </w:pPr>
            <w:r w:rsidRPr="00B7285A">
              <w:rPr>
                <w:rFonts w:ascii="Times New Roman" w:hAnsi="Times New Roman" w:cs="Times New Roman"/>
                <w:i/>
                <w:sz w:val="22"/>
                <w:szCs w:val="22"/>
              </w:rPr>
              <w:t>The principal, coaches, and teachers actively monitor instructional effectiveness and the progress of students’ learning, across the school, in grades, in classroom</w:t>
            </w:r>
            <w:r w:rsidR="00C87B50" w:rsidRPr="00B7285A">
              <w:rPr>
                <w:rFonts w:ascii="Times New Roman" w:hAnsi="Times New Roman" w:cs="Times New Roman"/>
                <w:i/>
                <w:sz w:val="22"/>
                <w:szCs w:val="22"/>
              </w:rPr>
              <w:t>s, and down to the student-level, for the purpose of deliberately informing classroom instruction</w:t>
            </w:r>
            <w:r w:rsidRPr="00B7285A">
              <w:rPr>
                <w:rFonts w:ascii="Times New Roman" w:hAnsi="Times New Roman" w:cs="Times New Roman"/>
                <w:i/>
                <w:sz w:val="22"/>
                <w:szCs w:val="22"/>
              </w:rPr>
              <w:t xml:space="preserve">. </w:t>
            </w:r>
          </w:p>
          <w:p w:rsidR="00CF5E99" w:rsidRPr="00B7285A" w:rsidRDefault="00CF5E99" w:rsidP="00145FF0">
            <w:pPr>
              <w:pStyle w:val="ListParagraph"/>
              <w:numPr>
                <w:ilvl w:val="0"/>
                <w:numId w:val="8"/>
              </w:numPr>
              <w:spacing w:before="120" w:after="120"/>
              <w:ind w:left="540"/>
              <w:contextualSpacing w:val="0"/>
              <w:rPr>
                <w:rFonts w:ascii="Times New Roman" w:hAnsi="Times New Roman" w:cs="Times New Roman"/>
                <w:sz w:val="22"/>
                <w:szCs w:val="22"/>
              </w:rPr>
            </w:pPr>
            <w:r w:rsidRPr="00B7285A">
              <w:rPr>
                <w:rFonts w:ascii="Times New Roman" w:hAnsi="Times New Roman" w:cs="Times New Roman"/>
                <w:sz w:val="22"/>
                <w:szCs w:val="22"/>
              </w:rPr>
              <w:t xml:space="preserve">The ILT, teachers, and interventionist closely monitor student progress on specific skills, collecting and quickly sharing data with teachers throughout the school.  For example, one school was able to pinpoint which classrooms (and teachers) were able to maximize MCAS-related skill instructions, and why.   </w:t>
            </w:r>
          </w:p>
          <w:p w:rsidR="00CF5E99" w:rsidRPr="00B7285A" w:rsidRDefault="00CF5E99" w:rsidP="00CF5E99">
            <w:pPr>
              <w:spacing w:before="120" w:after="120"/>
              <w:rPr>
                <w:rFonts w:ascii="Times New Roman" w:hAnsi="Times New Roman" w:cs="Times New Roman"/>
                <w:i/>
                <w:sz w:val="22"/>
                <w:szCs w:val="22"/>
              </w:rPr>
            </w:pPr>
            <w:r w:rsidRPr="00B7285A">
              <w:rPr>
                <w:rFonts w:ascii="Times New Roman" w:hAnsi="Times New Roman" w:cs="Times New Roman"/>
                <w:i/>
                <w:sz w:val="22"/>
                <w:szCs w:val="22"/>
              </w:rPr>
              <w:t xml:space="preserve">Leadership and teachers have the autonomy and flexibility to quickly adapt and modify time (e.g., schedules,) resources (e.g., people and interventionists,) and interventions to directly and immediately meet student-specific needs. </w:t>
            </w:r>
          </w:p>
          <w:p w:rsidR="00CF5E99" w:rsidRPr="00B7285A" w:rsidRDefault="00CF5E99" w:rsidP="00145FF0">
            <w:pPr>
              <w:pStyle w:val="ListParagraph"/>
              <w:numPr>
                <w:ilvl w:val="0"/>
                <w:numId w:val="6"/>
              </w:numPr>
              <w:spacing w:before="120" w:after="120"/>
              <w:ind w:left="540"/>
              <w:contextualSpacing w:val="0"/>
              <w:rPr>
                <w:rFonts w:ascii="Times New Roman" w:hAnsi="Times New Roman" w:cs="Times New Roman"/>
                <w:sz w:val="22"/>
                <w:szCs w:val="22"/>
              </w:rPr>
            </w:pPr>
            <w:r w:rsidRPr="00B7285A">
              <w:rPr>
                <w:rFonts w:ascii="Times New Roman" w:hAnsi="Times New Roman" w:cs="Times New Roman"/>
                <w:sz w:val="22"/>
                <w:szCs w:val="22"/>
              </w:rPr>
              <w:t xml:space="preserve">The ILT and teachers adapt the schedule, deployment of interventions, and student groups in an ongoing fashion to ensure that students requiring additional instruction or interventions are provided with that instruction, additional supports, and interventions.  </w:t>
            </w:r>
          </w:p>
          <w:p w:rsidR="00CF5E99" w:rsidRPr="00B7285A" w:rsidRDefault="00CF5E99" w:rsidP="00145FF0">
            <w:pPr>
              <w:pStyle w:val="ListParagraph"/>
              <w:numPr>
                <w:ilvl w:val="0"/>
                <w:numId w:val="6"/>
              </w:numPr>
              <w:spacing w:before="120" w:after="120"/>
              <w:ind w:left="540"/>
              <w:contextualSpacing w:val="0"/>
              <w:rPr>
                <w:sz w:val="22"/>
                <w:szCs w:val="22"/>
              </w:rPr>
            </w:pPr>
            <w:r w:rsidRPr="00B7285A">
              <w:rPr>
                <w:rFonts w:ascii="Times New Roman" w:hAnsi="Times New Roman" w:cs="Times New Roman"/>
                <w:sz w:val="22"/>
                <w:szCs w:val="22"/>
              </w:rPr>
              <w:t>Upon review of student needs, teachers (in grade-levels) reorganize their student groupings allowing for teachers to attend to specific student needs dependent on their group.  In addition, teachers and interventionist</w:t>
            </w:r>
            <w:r w:rsidR="00C6056D">
              <w:rPr>
                <w:rFonts w:ascii="Times New Roman" w:hAnsi="Times New Roman" w:cs="Times New Roman"/>
                <w:sz w:val="22"/>
                <w:szCs w:val="22"/>
              </w:rPr>
              <w:t>s</w:t>
            </w:r>
            <w:r w:rsidRPr="00B7285A">
              <w:rPr>
                <w:rFonts w:ascii="Times New Roman" w:hAnsi="Times New Roman" w:cs="Times New Roman"/>
                <w:sz w:val="22"/>
                <w:szCs w:val="22"/>
              </w:rPr>
              <w:t xml:space="preserve"> are strategically reassigned to work with different groups of students or individual students throughout the school day dependent on need.</w:t>
            </w:r>
          </w:p>
        </w:tc>
        <w:tc>
          <w:tcPr>
            <w:tcW w:w="5994" w:type="dxa"/>
          </w:tcPr>
          <w:p w:rsidR="00CF5E99" w:rsidRPr="001964C5" w:rsidRDefault="00371626" w:rsidP="00371626">
            <w:pPr>
              <w:spacing w:before="120"/>
              <w:rPr>
                <w:rFonts w:ascii="Times New Roman" w:hAnsi="Times New Roman" w:cs="Times New Roman"/>
                <w:i/>
                <w:sz w:val="22"/>
                <w:szCs w:val="22"/>
              </w:rPr>
            </w:pPr>
            <w:r w:rsidRPr="001964C5">
              <w:rPr>
                <w:rFonts w:ascii="Times New Roman" w:hAnsi="Times New Roman" w:cs="Times New Roman"/>
                <w:i/>
                <w:sz w:val="22"/>
                <w:szCs w:val="22"/>
              </w:rPr>
              <w:t>Are collecting student data, but a</w:t>
            </w:r>
            <w:r w:rsidR="00C87B50" w:rsidRPr="001964C5">
              <w:rPr>
                <w:rFonts w:ascii="Times New Roman" w:hAnsi="Times New Roman" w:cs="Times New Roman"/>
                <w:i/>
                <w:sz w:val="22"/>
                <w:szCs w:val="22"/>
              </w:rPr>
              <w:t xml:space="preserve">re not </w:t>
            </w:r>
            <w:r w:rsidRPr="001964C5">
              <w:rPr>
                <w:rFonts w:ascii="Times New Roman" w:hAnsi="Times New Roman" w:cs="Times New Roman"/>
                <w:i/>
                <w:sz w:val="22"/>
                <w:szCs w:val="22"/>
              </w:rPr>
              <w:t>using this data to provide</w:t>
            </w:r>
            <w:r w:rsidR="00C87B50" w:rsidRPr="001964C5">
              <w:rPr>
                <w:rFonts w:ascii="Times New Roman" w:hAnsi="Times New Roman" w:cs="Times New Roman"/>
                <w:i/>
                <w:sz w:val="22"/>
                <w:szCs w:val="22"/>
              </w:rPr>
              <w:t xml:space="preserve"> all students with instruction and interventions in direct response to their academi</w:t>
            </w:r>
            <w:r w:rsidRPr="001964C5">
              <w:rPr>
                <w:rFonts w:ascii="Times New Roman" w:hAnsi="Times New Roman" w:cs="Times New Roman"/>
                <w:i/>
                <w:sz w:val="22"/>
                <w:szCs w:val="22"/>
              </w:rPr>
              <w:t>c needs; the school lacks</w:t>
            </w:r>
            <w:r w:rsidR="00CF5E99" w:rsidRPr="001964C5">
              <w:rPr>
                <w:rFonts w:ascii="Times New Roman" w:hAnsi="Times New Roman" w:cs="Times New Roman"/>
                <w:i/>
                <w:sz w:val="22"/>
                <w:szCs w:val="22"/>
              </w:rPr>
              <w:t xml:space="preserve"> </w:t>
            </w:r>
            <w:r w:rsidRPr="001964C5">
              <w:rPr>
                <w:rFonts w:ascii="Times New Roman" w:hAnsi="Times New Roman" w:cs="Times New Roman"/>
                <w:i/>
                <w:sz w:val="22"/>
                <w:szCs w:val="22"/>
              </w:rPr>
              <w:t xml:space="preserve">a </w:t>
            </w:r>
            <w:r w:rsidR="00CF5E99" w:rsidRPr="001964C5">
              <w:rPr>
                <w:rFonts w:ascii="Times New Roman" w:hAnsi="Times New Roman" w:cs="Times New Roman"/>
                <w:i/>
                <w:sz w:val="22"/>
                <w:szCs w:val="22"/>
              </w:rPr>
              <w:t xml:space="preserve">deliberate </w:t>
            </w:r>
            <w:r w:rsidRPr="001964C5">
              <w:rPr>
                <w:rFonts w:ascii="Times New Roman" w:hAnsi="Times New Roman" w:cs="Times New Roman"/>
                <w:i/>
                <w:sz w:val="22"/>
                <w:szCs w:val="22"/>
              </w:rPr>
              <w:t>approach</w:t>
            </w:r>
            <w:r w:rsidR="00CF5E99" w:rsidRPr="001964C5">
              <w:rPr>
                <w:rFonts w:ascii="Times New Roman" w:hAnsi="Times New Roman" w:cs="Times New Roman"/>
                <w:i/>
                <w:sz w:val="22"/>
                <w:szCs w:val="22"/>
              </w:rPr>
              <w:t xml:space="preserve"> for using </w:t>
            </w:r>
            <w:r w:rsidRPr="001964C5">
              <w:rPr>
                <w:rFonts w:ascii="Times New Roman" w:hAnsi="Times New Roman" w:cs="Times New Roman"/>
                <w:i/>
                <w:sz w:val="22"/>
                <w:szCs w:val="22"/>
              </w:rPr>
              <w:t>data to inform student-specific instruction.</w:t>
            </w:r>
          </w:p>
          <w:p w:rsidR="00371626" w:rsidRPr="001964C5" w:rsidRDefault="00371626" w:rsidP="00145FF0">
            <w:pPr>
              <w:pStyle w:val="ListParagraph"/>
              <w:numPr>
                <w:ilvl w:val="0"/>
                <w:numId w:val="4"/>
              </w:numPr>
              <w:spacing w:before="80" w:after="80"/>
              <w:ind w:left="518"/>
              <w:contextualSpacing w:val="0"/>
              <w:rPr>
                <w:rFonts w:ascii="Times New Roman" w:hAnsi="Times New Roman" w:cs="Times New Roman"/>
                <w:sz w:val="22"/>
                <w:szCs w:val="22"/>
              </w:rPr>
            </w:pPr>
            <w:r w:rsidRPr="001964C5">
              <w:rPr>
                <w:rFonts w:ascii="Times New Roman" w:hAnsi="Times New Roman" w:cs="Times New Roman"/>
                <w:sz w:val="22"/>
                <w:szCs w:val="22"/>
              </w:rPr>
              <w:t xml:space="preserve">Data collection and review does not allow for an ongoing and adaptive response to students’ specific academic needs.  </w:t>
            </w:r>
          </w:p>
          <w:p w:rsidR="00CF5E99" w:rsidRPr="001964C5" w:rsidRDefault="00371626" w:rsidP="00145FF0">
            <w:pPr>
              <w:pStyle w:val="ListParagraph"/>
              <w:numPr>
                <w:ilvl w:val="0"/>
                <w:numId w:val="4"/>
              </w:numPr>
              <w:spacing w:before="80" w:after="80"/>
              <w:ind w:left="518"/>
              <w:contextualSpacing w:val="0"/>
              <w:rPr>
                <w:rFonts w:ascii="Times New Roman" w:hAnsi="Times New Roman" w:cs="Times New Roman"/>
                <w:sz w:val="22"/>
                <w:szCs w:val="22"/>
              </w:rPr>
            </w:pPr>
            <w:r w:rsidRPr="001964C5">
              <w:rPr>
                <w:rFonts w:ascii="Times New Roman" w:hAnsi="Times New Roman" w:cs="Times New Roman"/>
                <w:sz w:val="22"/>
                <w:szCs w:val="22"/>
              </w:rPr>
              <w:t>Assessment data is not used to monitor student progress and provide timely interventions; or there is a lack of common assessments when needed or appropriate.</w:t>
            </w:r>
          </w:p>
          <w:p w:rsidR="00371626" w:rsidRPr="001964C5" w:rsidRDefault="00371626" w:rsidP="001964C5">
            <w:pPr>
              <w:spacing w:before="360"/>
              <w:rPr>
                <w:rFonts w:ascii="Times New Roman" w:hAnsi="Times New Roman" w:cs="Times New Roman"/>
                <w:i/>
                <w:sz w:val="22"/>
                <w:szCs w:val="22"/>
              </w:rPr>
            </w:pPr>
            <w:r w:rsidRPr="001964C5">
              <w:rPr>
                <w:rFonts w:ascii="Times New Roman" w:hAnsi="Times New Roman" w:cs="Times New Roman"/>
                <w:i/>
                <w:sz w:val="22"/>
                <w:szCs w:val="22"/>
              </w:rPr>
              <w:t>Have a fragmented, or not fully operationally, system for monitoring classroom instruction and student achievement in individual classrooms.</w:t>
            </w:r>
          </w:p>
          <w:p w:rsidR="00371626" w:rsidRPr="001964C5" w:rsidRDefault="00371626" w:rsidP="00145FF0">
            <w:pPr>
              <w:pStyle w:val="ListParagraph"/>
              <w:numPr>
                <w:ilvl w:val="0"/>
                <w:numId w:val="4"/>
              </w:numPr>
              <w:spacing w:before="80" w:after="80"/>
              <w:ind w:left="518"/>
              <w:contextualSpacing w:val="0"/>
              <w:rPr>
                <w:rFonts w:ascii="Times New Roman" w:hAnsi="Times New Roman" w:cs="Times New Roman"/>
                <w:sz w:val="22"/>
                <w:szCs w:val="22"/>
              </w:rPr>
            </w:pPr>
            <w:r w:rsidRPr="001964C5">
              <w:rPr>
                <w:rFonts w:ascii="Times New Roman" w:hAnsi="Times New Roman" w:cs="Times New Roman"/>
                <w:sz w:val="22"/>
                <w:szCs w:val="22"/>
              </w:rPr>
              <w:t>Formative and summative assessments are not regularly used or reviewed to identify student progress and/or student-specific needs.</w:t>
            </w:r>
          </w:p>
          <w:p w:rsidR="00371626" w:rsidRPr="001964C5" w:rsidRDefault="00371626" w:rsidP="00145FF0">
            <w:pPr>
              <w:pStyle w:val="ListParagraph"/>
              <w:numPr>
                <w:ilvl w:val="0"/>
                <w:numId w:val="4"/>
              </w:numPr>
              <w:spacing w:before="80" w:after="80"/>
              <w:ind w:left="518"/>
              <w:contextualSpacing w:val="0"/>
              <w:rPr>
                <w:rFonts w:ascii="Times New Roman" w:hAnsi="Times New Roman" w:cs="Times New Roman"/>
                <w:sz w:val="22"/>
                <w:szCs w:val="22"/>
              </w:rPr>
            </w:pPr>
            <w:r w:rsidRPr="001964C5">
              <w:rPr>
                <w:rFonts w:ascii="Times New Roman" w:hAnsi="Times New Roman" w:cs="Times New Roman"/>
                <w:sz w:val="22"/>
                <w:szCs w:val="22"/>
              </w:rPr>
              <w:t xml:space="preserve">Teacher teams are not regularly reviewing and analyzing data for the explicit purpose of adapting or providing differentiated, student-specific tiered instruction to students. </w:t>
            </w:r>
          </w:p>
          <w:p w:rsidR="00371626" w:rsidRPr="001964C5" w:rsidRDefault="00371626" w:rsidP="001964C5">
            <w:pPr>
              <w:spacing w:before="360"/>
              <w:rPr>
                <w:rFonts w:ascii="Times New Roman" w:hAnsi="Times New Roman" w:cs="Times New Roman"/>
                <w:i/>
                <w:sz w:val="22"/>
                <w:szCs w:val="22"/>
              </w:rPr>
            </w:pPr>
            <w:r w:rsidRPr="001964C5">
              <w:rPr>
                <w:rFonts w:ascii="Times New Roman" w:hAnsi="Times New Roman" w:cs="Times New Roman"/>
                <w:i/>
                <w:sz w:val="22"/>
                <w:szCs w:val="22"/>
              </w:rPr>
              <w:t xml:space="preserve">Have </w:t>
            </w:r>
            <w:r w:rsidR="00993BBB" w:rsidRPr="001964C5">
              <w:rPr>
                <w:rFonts w:ascii="Times New Roman" w:hAnsi="Times New Roman" w:cs="Times New Roman"/>
                <w:i/>
                <w:sz w:val="22"/>
                <w:szCs w:val="22"/>
              </w:rPr>
              <w:t xml:space="preserve">not modified the school schedule or its use of resources in a manner that will dramatically improve teachers’ instruction and the culture of the school. </w:t>
            </w:r>
          </w:p>
          <w:p w:rsidR="00371626" w:rsidRPr="001964C5" w:rsidRDefault="00371626" w:rsidP="00145FF0">
            <w:pPr>
              <w:pStyle w:val="ListParagraph"/>
              <w:numPr>
                <w:ilvl w:val="0"/>
                <w:numId w:val="4"/>
              </w:numPr>
              <w:spacing w:before="80" w:after="80"/>
              <w:ind w:left="518"/>
              <w:contextualSpacing w:val="0"/>
              <w:rPr>
                <w:rFonts w:ascii="Times New Roman" w:hAnsi="Times New Roman" w:cs="Times New Roman"/>
                <w:sz w:val="22"/>
                <w:szCs w:val="22"/>
              </w:rPr>
            </w:pPr>
            <w:r w:rsidRPr="001964C5">
              <w:rPr>
                <w:rFonts w:ascii="Times New Roman" w:hAnsi="Times New Roman" w:cs="Times New Roman"/>
                <w:sz w:val="22"/>
                <w:szCs w:val="22"/>
              </w:rPr>
              <w:t xml:space="preserve">The school community is not readily providing or adapting its instructional response to students’ specific academic needs.  Rather, most responses, if any, are general in nature and given to the whole group and not specific to the needs of groups or individuals students.  </w:t>
            </w:r>
          </w:p>
        </w:tc>
      </w:tr>
    </w:tbl>
    <w:p w:rsidR="00CF5E99" w:rsidRDefault="00CF5E99" w:rsidP="00B0072C">
      <w:pPr>
        <w:sectPr w:rsidR="00CF5E99" w:rsidSect="00B0072C">
          <w:pgSz w:w="15840" w:h="12240" w:orient="landscape"/>
          <w:pgMar w:top="1152" w:right="1152" w:bottom="1152" w:left="1152" w:header="720" w:footer="720" w:gutter="0"/>
          <w:cols w:space="720"/>
        </w:sectPr>
      </w:pPr>
    </w:p>
    <w:p w:rsidR="009177F2" w:rsidRPr="00DD44E3" w:rsidRDefault="009177F2" w:rsidP="00DD44E3">
      <w:pPr>
        <w:rPr>
          <w:b/>
          <w:color w:val="943634" w:themeColor="accent2" w:themeShade="BF"/>
          <w:sz w:val="28"/>
          <w:szCs w:val="28"/>
        </w:rPr>
      </w:pPr>
      <w:r w:rsidRPr="00B67B14">
        <w:rPr>
          <w:b/>
          <w:color w:val="943634" w:themeColor="accent2" w:themeShade="BF"/>
          <w:sz w:val="28"/>
          <w:szCs w:val="28"/>
        </w:rPr>
        <w:lastRenderedPageBreak/>
        <w:t>District Systems and Practices</w:t>
      </w:r>
    </w:p>
    <w:p w:rsidR="009304B1" w:rsidRDefault="009304B1" w:rsidP="00DD44E3">
      <w:pPr>
        <w:pStyle w:val="ListParagraph"/>
        <w:spacing w:before="160" w:line="288" w:lineRule="auto"/>
        <w:ind w:left="0"/>
        <w:rPr>
          <w:rFonts w:eastAsiaTheme="minorHAnsi"/>
          <w:b/>
          <w:color w:val="365F91" w:themeColor="accent1" w:themeShade="BF"/>
          <w:sz w:val="22"/>
          <w:szCs w:val="22"/>
        </w:rPr>
        <w:sectPr w:rsidR="009304B1" w:rsidSect="006F7E45">
          <w:pgSz w:w="12240" w:h="15840"/>
          <w:pgMar w:top="1440" w:right="1152" w:bottom="1152" w:left="1152" w:header="720" w:footer="720" w:gutter="0"/>
          <w:cols w:space="720"/>
        </w:sectPr>
      </w:pPr>
    </w:p>
    <w:p w:rsidR="009177F2" w:rsidRPr="00EF00B3" w:rsidRDefault="00FB2E93" w:rsidP="005A3A9D">
      <w:pPr>
        <w:pStyle w:val="ListParagraph"/>
        <w:spacing w:before="160" w:line="288" w:lineRule="auto"/>
        <w:ind w:left="0"/>
        <w:contextualSpacing w:val="0"/>
        <w:rPr>
          <w:rFonts w:eastAsiaTheme="minorHAnsi"/>
          <w:b/>
          <w:color w:val="365F91" w:themeColor="accent1" w:themeShade="BF"/>
          <w:sz w:val="22"/>
          <w:szCs w:val="22"/>
        </w:rPr>
      </w:pPr>
      <w:r>
        <w:rPr>
          <w:rFonts w:eastAsiaTheme="minorHAnsi"/>
          <w:b/>
          <w:color w:val="365F91" w:themeColor="accent1" w:themeShade="BF"/>
          <w:sz w:val="22"/>
          <w:szCs w:val="22"/>
        </w:rPr>
        <w:lastRenderedPageBreak/>
        <w:t>Overall Finding</w:t>
      </w:r>
    </w:p>
    <w:p w:rsidR="009177F2" w:rsidRPr="0021492E" w:rsidRDefault="009177F2" w:rsidP="009177F2">
      <w:pPr>
        <w:spacing w:line="288" w:lineRule="auto"/>
        <w:rPr>
          <w:rFonts w:eastAsiaTheme="minorHAnsi"/>
          <w:color w:val="000000"/>
          <w:sz w:val="22"/>
          <w:szCs w:val="22"/>
        </w:rPr>
      </w:pPr>
      <w:r w:rsidRPr="0021492E">
        <w:rPr>
          <w:rFonts w:eastAsiaTheme="minorHAnsi"/>
          <w:color w:val="000000"/>
          <w:sz w:val="22"/>
          <w:szCs w:val="22"/>
        </w:rPr>
        <w:t xml:space="preserve">Districts shape the context in which schools operate and therefore have the unique ability to influence schools’ efforts to dramatically improve instruction and outcomes. Conversely, district actions, and inactions, can hamper turnaround efforts. </w:t>
      </w:r>
      <w:r w:rsidRPr="00B67B14">
        <w:rPr>
          <w:rFonts w:eastAsiaTheme="minorHAnsi"/>
          <w:b/>
          <w:color w:val="000000"/>
          <w:sz w:val="22"/>
          <w:szCs w:val="22"/>
        </w:rPr>
        <w:t xml:space="preserve">Our review of the </w:t>
      </w:r>
      <w:r w:rsidR="00A67DD7">
        <w:rPr>
          <w:rFonts w:eastAsiaTheme="minorHAnsi"/>
          <w:b/>
          <w:color w:val="000000"/>
          <w:sz w:val="22"/>
          <w:szCs w:val="22"/>
        </w:rPr>
        <w:t>Monitoring Site Visit report</w:t>
      </w:r>
      <w:r w:rsidR="00AC23B7">
        <w:rPr>
          <w:rFonts w:eastAsiaTheme="minorHAnsi"/>
          <w:b/>
          <w:color w:val="000000"/>
          <w:sz w:val="22"/>
          <w:szCs w:val="22"/>
        </w:rPr>
        <w:t>s</w:t>
      </w:r>
      <w:r w:rsidR="00A67DD7">
        <w:rPr>
          <w:rFonts w:eastAsiaTheme="minorHAnsi"/>
          <w:b/>
          <w:color w:val="000000"/>
          <w:sz w:val="22"/>
          <w:szCs w:val="22"/>
        </w:rPr>
        <w:t xml:space="preserve"> and district and school</w:t>
      </w:r>
      <w:r w:rsidR="00DF5EA4">
        <w:rPr>
          <w:rFonts w:eastAsiaTheme="minorHAnsi"/>
          <w:b/>
          <w:color w:val="000000"/>
          <w:sz w:val="22"/>
          <w:szCs w:val="22"/>
        </w:rPr>
        <w:t xml:space="preserve"> renewal applications indicates</w:t>
      </w:r>
      <w:r w:rsidRPr="00B67B14">
        <w:rPr>
          <w:rFonts w:eastAsiaTheme="minorHAnsi"/>
          <w:b/>
          <w:color w:val="000000"/>
          <w:sz w:val="22"/>
          <w:szCs w:val="22"/>
        </w:rPr>
        <w:t xml:space="preserve"> that there is not one specific district action or set of actions that guarantees turnaround success but there were actions that were repeatedly identified as supporting turnaround efforts.</w:t>
      </w:r>
      <w:r w:rsidRPr="0021492E">
        <w:rPr>
          <w:rFonts w:eastAsiaTheme="minorHAnsi"/>
          <w:color w:val="000000"/>
          <w:sz w:val="22"/>
          <w:szCs w:val="22"/>
        </w:rPr>
        <w:t xml:space="preserve"> </w:t>
      </w:r>
    </w:p>
    <w:p w:rsidR="009177F2" w:rsidRPr="0021492E" w:rsidRDefault="009177F2" w:rsidP="009177F2">
      <w:pPr>
        <w:spacing w:line="288" w:lineRule="auto"/>
        <w:rPr>
          <w:rFonts w:eastAsiaTheme="minorHAnsi"/>
          <w:color w:val="000000"/>
          <w:sz w:val="22"/>
          <w:szCs w:val="22"/>
        </w:rPr>
      </w:pPr>
    </w:p>
    <w:p w:rsidR="00DD44E3" w:rsidRDefault="009177F2" w:rsidP="009177F2">
      <w:pPr>
        <w:spacing w:line="288" w:lineRule="auto"/>
        <w:rPr>
          <w:rFonts w:eastAsiaTheme="minorHAnsi"/>
          <w:color w:val="000000"/>
          <w:sz w:val="22"/>
          <w:szCs w:val="22"/>
        </w:rPr>
      </w:pPr>
      <w:r w:rsidRPr="0021492E">
        <w:rPr>
          <w:rFonts w:eastAsiaTheme="minorHAnsi"/>
          <w:color w:val="000000"/>
          <w:sz w:val="22"/>
          <w:szCs w:val="22"/>
        </w:rPr>
        <w:t>Based on the data available</w:t>
      </w:r>
      <w:r w:rsidR="00FB2E93">
        <w:rPr>
          <w:rStyle w:val="FootnoteReference"/>
          <w:rFonts w:eastAsiaTheme="minorHAnsi"/>
          <w:color w:val="000000"/>
          <w:sz w:val="22"/>
          <w:szCs w:val="22"/>
        </w:rPr>
        <w:footnoteReference w:id="8"/>
      </w:r>
      <w:r w:rsidRPr="0021492E">
        <w:rPr>
          <w:rFonts w:eastAsiaTheme="minorHAnsi"/>
          <w:color w:val="000000"/>
          <w:sz w:val="22"/>
          <w:szCs w:val="22"/>
        </w:rPr>
        <w:t xml:space="preserve">, it is not possible </w:t>
      </w:r>
      <w:r w:rsidR="00FB2E93">
        <w:rPr>
          <w:rFonts w:eastAsiaTheme="minorHAnsi"/>
          <w:color w:val="000000"/>
          <w:sz w:val="22"/>
          <w:szCs w:val="22"/>
        </w:rPr>
        <w:t xml:space="preserve">(or wise) </w:t>
      </w:r>
      <w:r w:rsidRPr="0021492E">
        <w:rPr>
          <w:rFonts w:eastAsiaTheme="minorHAnsi"/>
          <w:color w:val="000000"/>
          <w:sz w:val="22"/>
          <w:szCs w:val="22"/>
        </w:rPr>
        <w:t>to assign causation</w:t>
      </w:r>
      <w:r w:rsidR="00FB2E93">
        <w:rPr>
          <w:rFonts w:eastAsiaTheme="minorHAnsi"/>
          <w:color w:val="000000"/>
          <w:sz w:val="22"/>
          <w:szCs w:val="22"/>
        </w:rPr>
        <w:t xml:space="preserve"> to district actions and supports</w:t>
      </w:r>
      <w:r w:rsidRPr="0021492E">
        <w:rPr>
          <w:rFonts w:eastAsiaTheme="minorHAnsi"/>
          <w:color w:val="000000"/>
          <w:sz w:val="22"/>
          <w:szCs w:val="22"/>
        </w:rPr>
        <w:t xml:space="preserve">. Nevertheless, </w:t>
      </w:r>
      <w:r w:rsidR="00DD44E3">
        <w:rPr>
          <w:rFonts w:eastAsiaTheme="minorHAnsi"/>
          <w:color w:val="000000"/>
          <w:sz w:val="22"/>
          <w:szCs w:val="22"/>
        </w:rPr>
        <w:t xml:space="preserve">in an effort to learn from how districts are striving to support turnaround efforts, </w:t>
      </w:r>
      <w:r w:rsidRPr="0021492E">
        <w:rPr>
          <w:rFonts w:eastAsiaTheme="minorHAnsi"/>
          <w:color w:val="000000"/>
          <w:sz w:val="22"/>
          <w:szCs w:val="22"/>
        </w:rPr>
        <w:t>we identified recurring themes regarding specific district actions perceived to support turnaround efforts. And, we saw patt</w:t>
      </w:r>
      <w:r w:rsidR="00FB2E93">
        <w:rPr>
          <w:rFonts w:eastAsiaTheme="minorHAnsi"/>
          <w:color w:val="000000"/>
          <w:sz w:val="22"/>
          <w:szCs w:val="22"/>
        </w:rPr>
        <w:t>erns by comparing the district</w:t>
      </w:r>
      <w:r w:rsidRPr="0021492E">
        <w:rPr>
          <w:rFonts w:eastAsiaTheme="minorHAnsi"/>
          <w:color w:val="000000"/>
          <w:sz w:val="22"/>
          <w:szCs w:val="22"/>
        </w:rPr>
        <w:t xml:space="preserve"> actions identified as helpful by </w:t>
      </w:r>
      <w:r w:rsidR="00FB2E93">
        <w:rPr>
          <w:rFonts w:eastAsiaTheme="minorHAnsi"/>
          <w:color w:val="000000"/>
          <w:sz w:val="22"/>
          <w:szCs w:val="22"/>
        </w:rPr>
        <w:t xml:space="preserve">Achievement Gain </w:t>
      </w:r>
      <w:r w:rsidRPr="0021492E">
        <w:rPr>
          <w:rFonts w:eastAsiaTheme="minorHAnsi"/>
          <w:color w:val="000000"/>
          <w:sz w:val="22"/>
          <w:szCs w:val="22"/>
        </w:rPr>
        <w:t xml:space="preserve">schools relative to those actions identified as barriers by </w:t>
      </w:r>
      <w:r w:rsidR="00FB2E93">
        <w:rPr>
          <w:rFonts w:eastAsiaTheme="minorHAnsi"/>
          <w:color w:val="000000"/>
          <w:sz w:val="22"/>
          <w:szCs w:val="22"/>
        </w:rPr>
        <w:t xml:space="preserve">Non-Gain </w:t>
      </w:r>
      <w:r w:rsidRPr="0021492E">
        <w:rPr>
          <w:rFonts w:eastAsiaTheme="minorHAnsi"/>
          <w:color w:val="000000"/>
          <w:sz w:val="22"/>
          <w:szCs w:val="22"/>
        </w:rPr>
        <w:t xml:space="preserve">schools. While this comparison is a relatively </w:t>
      </w:r>
      <w:r w:rsidR="00DF5EA4">
        <w:rPr>
          <w:rFonts w:eastAsiaTheme="minorHAnsi"/>
          <w:color w:val="000000"/>
          <w:sz w:val="22"/>
          <w:szCs w:val="22"/>
        </w:rPr>
        <w:t>rough</w:t>
      </w:r>
      <w:r w:rsidRPr="0021492E">
        <w:rPr>
          <w:rFonts w:eastAsiaTheme="minorHAnsi"/>
          <w:color w:val="000000"/>
          <w:sz w:val="22"/>
          <w:szCs w:val="22"/>
        </w:rPr>
        <w:t xml:space="preserve"> approach to identifying differentiating behaviors, it did reveal some </w:t>
      </w:r>
      <w:r w:rsidR="00FB2E93">
        <w:rPr>
          <w:rFonts w:eastAsiaTheme="minorHAnsi"/>
          <w:color w:val="000000"/>
          <w:sz w:val="22"/>
          <w:szCs w:val="22"/>
        </w:rPr>
        <w:t>differences in district actions and point</w:t>
      </w:r>
      <w:r w:rsidR="00DD44E3">
        <w:rPr>
          <w:rFonts w:eastAsiaTheme="minorHAnsi"/>
          <w:color w:val="000000"/>
          <w:sz w:val="22"/>
          <w:szCs w:val="22"/>
        </w:rPr>
        <w:t>s</w:t>
      </w:r>
      <w:r w:rsidR="00FB2E93">
        <w:rPr>
          <w:rFonts w:eastAsiaTheme="minorHAnsi"/>
          <w:color w:val="000000"/>
          <w:sz w:val="22"/>
          <w:szCs w:val="22"/>
        </w:rPr>
        <w:t xml:space="preserve"> to specific actions that </w:t>
      </w:r>
      <w:r w:rsidR="00573C4A">
        <w:rPr>
          <w:rFonts w:eastAsiaTheme="minorHAnsi"/>
          <w:color w:val="000000"/>
          <w:sz w:val="22"/>
          <w:szCs w:val="22"/>
        </w:rPr>
        <w:t>directly support</w:t>
      </w:r>
      <w:r w:rsidR="00FB2E93">
        <w:rPr>
          <w:rFonts w:eastAsiaTheme="minorHAnsi"/>
          <w:color w:val="000000"/>
          <w:sz w:val="22"/>
          <w:szCs w:val="22"/>
        </w:rPr>
        <w:t xml:space="preserve"> school turnaround efforts and those actions that clearly hinder turnaround efforts.</w:t>
      </w:r>
      <w:r w:rsidRPr="0021492E">
        <w:rPr>
          <w:rFonts w:eastAsiaTheme="minorHAnsi"/>
          <w:color w:val="000000"/>
          <w:sz w:val="22"/>
          <w:szCs w:val="22"/>
        </w:rPr>
        <w:t xml:space="preserve"> </w:t>
      </w:r>
    </w:p>
    <w:p w:rsidR="00DD44E3" w:rsidRDefault="00DD44E3" w:rsidP="009177F2">
      <w:pPr>
        <w:spacing w:line="288" w:lineRule="auto"/>
        <w:rPr>
          <w:rFonts w:eastAsiaTheme="minorHAnsi"/>
          <w:color w:val="000000"/>
          <w:sz w:val="22"/>
          <w:szCs w:val="22"/>
        </w:rPr>
      </w:pPr>
    </w:p>
    <w:p w:rsidR="00FB2E93" w:rsidRDefault="0011041D" w:rsidP="009177F2">
      <w:pPr>
        <w:spacing w:line="288" w:lineRule="auto"/>
        <w:rPr>
          <w:rFonts w:eastAsiaTheme="minorHAnsi"/>
          <w:color w:val="000000"/>
          <w:sz w:val="22"/>
          <w:szCs w:val="22"/>
        </w:rPr>
      </w:pPr>
      <w:r>
        <w:rPr>
          <w:rFonts w:eastAsiaTheme="minorHAnsi"/>
          <w:noProof/>
          <w:color w:val="000000"/>
          <w:sz w:val="22"/>
          <w:szCs w:val="22"/>
        </w:rPr>
        <w:pict>
          <v:shape id="Text Box 26" o:spid="_x0000_s1044" type="#_x0000_t202" style="position:absolute;margin-left:-8.55pt;margin-top:30.25pt;width:522pt;height:297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" fillcolor="white [3201]" strokecolor="#c0504d [3205]" strokeweight=".5pt">
            <v:path arrowok="t"/>
            <v:textbox>
              <w:txbxContent>
                <w:p w:rsidR="0090743D" w:rsidRPr="006F7E45" w:rsidRDefault="0090743D" w:rsidP="00FB2E93">
                  <w:pPr>
                    <w:spacing w:line="288" w:lineRule="auto"/>
                    <w:rPr>
                      <w:rFonts w:eastAsiaTheme="minorHAnsi"/>
                      <w:b/>
                      <w:color w:val="000000"/>
                      <w:sz w:val="22"/>
                      <w:szCs w:val="22"/>
                    </w:rPr>
                  </w:pPr>
                  <w:r w:rsidRPr="006F7E45">
                    <w:rPr>
                      <w:rFonts w:eastAsiaTheme="minorHAnsi"/>
                      <w:b/>
                      <w:color w:val="000000"/>
                      <w:sz w:val="22"/>
                      <w:szCs w:val="22"/>
                    </w:rPr>
                    <w:t>A Cautionary Note about District Findings</w:t>
                  </w:r>
                </w:p>
                <w:p w:rsidR="0090743D" w:rsidRPr="006F7E45" w:rsidRDefault="0090743D" w:rsidP="00FB2E93">
                  <w:pPr>
                    <w:spacing w:line="288" w:lineRule="auto"/>
                    <w:rPr>
                      <w:rFonts w:eastAsiaTheme="minorHAnsi"/>
                      <w:color w:val="000000"/>
                      <w:sz w:val="22"/>
                      <w:szCs w:val="22"/>
                    </w:rPr>
                  </w:pPr>
                  <w:r w:rsidRPr="006F7E45">
                    <w:rPr>
                      <w:rFonts w:eastAsiaTheme="minorHAnsi"/>
                      <w:color w:val="000000"/>
                      <w:sz w:val="22"/>
                      <w:szCs w:val="22"/>
                    </w:rPr>
                    <w:t xml:space="preserve">It bears noting that there were district actions (e.g., increased use of data) identified by Achievement Gain schools, Non-Gain schools, and schools making some progress in meeting MAGs. Similarly, </w:t>
                  </w:r>
                  <w:r>
                    <w:rPr>
                      <w:rFonts w:eastAsiaTheme="minorHAnsi"/>
                      <w:color w:val="000000"/>
                      <w:sz w:val="22"/>
                      <w:szCs w:val="22"/>
                    </w:rPr>
                    <w:t xml:space="preserve">Level 4 schools </w:t>
                  </w:r>
                  <w:r w:rsidRPr="006F7E45">
                    <w:rPr>
                      <w:rFonts w:eastAsiaTheme="minorHAnsi"/>
                      <w:color w:val="000000"/>
                      <w:sz w:val="22"/>
                      <w:szCs w:val="22"/>
                    </w:rPr>
                    <w:t xml:space="preserve">within </w:t>
                  </w:r>
                  <w:r>
                    <w:rPr>
                      <w:rFonts w:eastAsiaTheme="minorHAnsi"/>
                      <w:color w:val="000000"/>
                      <w:sz w:val="22"/>
                      <w:szCs w:val="22"/>
                    </w:rPr>
                    <w:t xml:space="preserve">the same district have had </w:t>
                  </w:r>
                  <w:r w:rsidRPr="006F7E45">
                    <w:rPr>
                      <w:rFonts w:eastAsiaTheme="minorHAnsi"/>
                      <w:color w:val="000000"/>
                      <w:sz w:val="22"/>
                      <w:szCs w:val="22"/>
                    </w:rPr>
                    <w:t>varying levels o</w:t>
                  </w:r>
                  <w:r>
                    <w:rPr>
                      <w:rFonts w:eastAsiaTheme="minorHAnsi"/>
                      <w:color w:val="000000"/>
                      <w:sz w:val="22"/>
                      <w:szCs w:val="22"/>
                    </w:rPr>
                    <w:t xml:space="preserve">f success despite receiving </w:t>
                  </w:r>
                  <w:r w:rsidRPr="006F7E45">
                    <w:rPr>
                      <w:rFonts w:eastAsiaTheme="minorHAnsi"/>
                      <w:color w:val="000000"/>
                      <w:sz w:val="22"/>
                      <w:szCs w:val="22"/>
                    </w:rPr>
                    <w:t>similar support</w:t>
                  </w:r>
                  <w:r>
                    <w:rPr>
                      <w:rFonts w:eastAsiaTheme="minorHAnsi"/>
                      <w:color w:val="000000"/>
                      <w:sz w:val="22"/>
                      <w:szCs w:val="22"/>
                    </w:rPr>
                    <w:t>s</w:t>
                  </w:r>
                  <w:r w:rsidRPr="006F7E45">
                    <w:rPr>
                      <w:rFonts w:eastAsiaTheme="minorHAnsi"/>
                      <w:color w:val="000000"/>
                      <w:sz w:val="22"/>
                      <w:szCs w:val="22"/>
                    </w:rPr>
                    <w:t xml:space="preserve"> from the district office.</w:t>
                  </w:r>
                </w:p>
                <w:p w:rsidR="0090743D" w:rsidRPr="006F7E45" w:rsidRDefault="0090743D" w:rsidP="00FB2E93">
                  <w:pPr>
                    <w:spacing w:line="288" w:lineRule="auto"/>
                    <w:rPr>
                      <w:rFonts w:eastAsiaTheme="minorHAnsi"/>
                      <w:color w:val="000000"/>
                      <w:sz w:val="22"/>
                      <w:szCs w:val="22"/>
                    </w:rPr>
                  </w:pPr>
                </w:p>
                <w:p w:rsidR="0090743D" w:rsidRPr="006F7E45" w:rsidRDefault="0090743D" w:rsidP="009304B1">
                  <w:pPr>
                    <w:spacing w:line="288" w:lineRule="auto"/>
                    <w:rPr>
                      <w:rFonts w:eastAsiaTheme="minorHAnsi"/>
                      <w:color w:val="000000"/>
                      <w:sz w:val="22"/>
                      <w:szCs w:val="22"/>
                    </w:rPr>
                  </w:pPr>
                  <w:r w:rsidRPr="006F7E45">
                    <w:rPr>
                      <w:rFonts w:eastAsiaTheme="minorHAnsi"/>
                      <w:b/>
                      <w:i/>
                      <w:color w:val="000000"/>
                      <w:sz w:val="22"/>
                      <w:szCs w:val="22"/>
                    </w:rPr>
                    <w:t>If district capacity and support is crucial, why is there such variance in school performance, among Level 4 schools, within the same district? To this question, we offer the following possibilities</w:t>
                  </w:r>
                  <w:r w:rsidRPr="006F7E45">
                    <w:rPr>
                      <w:rFonts w:eastAsiaTheme="minorHAnsi"/>
                      <w:color w:val="000000"/>
                      <w:sz w:val="22"/>
                      <w:szCs w:val="22"/>
                    </w:rPr>
                    <w:t>:</w:t>
                  </w:r>
                </w:p>
                <w:p w:rsidR="0090743D" w:rsidRPr="009304B1" w:rsidRDefault="0090743D" w:rsidP="00145FF0">
                  <w:pPr>
                    <w:pStyle w:val="ListParagraph"/>
                    <w:numPr>
                      <w:ilvl w:val="0"/>
                      <w:numId w:val="13"/>
                    </w:numPr>
                    <w:spacing w:before="120" w:after="120" w:line="288" w:lineRule="auto"/>
                    <w:ind w:left="630"/>
                    <w:contextualSpacing w:val="0"/>
                    <w:rPr>
                      <w:rFonts w:eastAsiaTheme="minorHAnsi"/>
                      <w:color w:val="000000"/>
                      <w:sz w:val="22"/>
                      <w:szCs w:val="22"/>
                    </w:rPr>
                  </w:pPr>
                  <w:r w:rsidRPr="006F7E45">
                    <w:rPr>
                      <w:rFonts w:eastAsiaTheme="minorHAnsi"/>
                      <w:color w:val="000000"/>
                      <w:sz w:val="22"/>
                      <w:szCs w:val="22"/>
                    </w:rPr>
                    <w:t xml:space="preserve">It may be </w:t>
                  </w:r>
                  <w:r>
                    <w:rPr>
                      <w:rFonts w:eastAsiaTheme="minorHAnsi"/>
                      <w:color w:val="000000"/>
                      <w:sz w:val="22"/>
                      <w:szCs w:val="22"/>
                    </w:rPr>
                    <w:t>that</w:t>
                  </w:r>
                  <w:r w:rsidRPr="006F7E45">
                    <w:rPr>
                      <w:rFonts w:eastAsiaTheme="minorHAnsi"/>
                      <w:color w:val="000000"/>
                      <w:sz w:val="22"/>
                      <w:szCs w:val="22"/>
                    </w:rPr>
                    <w:t xml:space="preserve"> the relative impact of district supports depends on school-level capacity, including the ability of the school to ask for and strategically use district resources and support. As a result, schools that lack the internal capacity to improve may not be able to take full advantage of district supports.</w:t>
                  </w:r>
                </w:p>
                <w:p w:rsidR="0090743D" w:rsidRPr="009304B1" w:rsidRDefault="0090743D" w:rsidP="00145FF0">
                  <w:pPr>
                    <w:pStyle w:val="ListParagraph"/>
                    <w:numPr>
                      <w:ilvl w:val="0"/>
                      <w:numId w:val="13"/>
                    </w:numPr>
                    <w:spacing w:before="120" w:after="120" w:line="288" w:lineRule="auto"/>
                    <w:ind w:left="630"/>
                    <w:contextualSpacing w:val="0"/>
                    <w:rPr>
                      <w:rFonts w:eastAsiaTheme="minorHAnsi"/>
                      <w:color w:val="000000"/>
                      <w:sz w:val="22"/>
                      <w:szCs w:val="22"/>
                    </w:rPr>
                  </w:pPr>
                  <w:r w:rsidRPr="006F7E45">
                    <w:rPr>
                      <w:rFonts w:eastAsiaTheme="minorHAnsi"/>
                      <w:color w:val="000000"/>
                      <w:sz w:val="22"/>
                      <w:szCs w:val="22"/>
                    </w:rPr>
                    <w:t xml:space="preserve">Or, it may be </w:t>
                  </w:r>
                  <w:r>
                    <w:rPr>
                      <w:rFonts w:eastAsiaTheme="minorHAnsi"/>
                      <w:color w:val="000000"/>
                      <w:sz w:val="22"/>
                      <w:szCs w:val="22"/>
                    </w:rPr>
                    <w:t>that districts have difficulty</w:t>
                  </w:r>
                  <w:r w:rsidRPr="006F7E45">
                    <w:rPr>
                      <w:rFonts w:eastAsiaTheme="minorHAnsi"/>
                      <w:color w:val="000000"/>
                      <w:sz w:val="22"/>
                      <w:szCs w:val="22"/>
                    </w:rPr>
                    <w:t xml:space="preserve"> appropriately differentiating the support that they provide to schools. In this situation, i</w:t>
                  </w:r>
                  <w:r>
                    <w:rPr>
                      <w:rFonts w:eastAsiaTheme="minorHAnsi"/>
                      <w:color w:val="000000"/>
                      <w:sz w:val="22"/>
                      <w:szCs w:val="22"/>
                    </w:rPr>
                    <w:t>t is not the school’s capacity—</w:t>
                  </w:r>
                  <w:r w:rsidRPr="006F7E45">
                    <w:rPr>
                      <w:rFonts w:eastAsiaTheme="minorHAnsi"/>
                      <w:color w:val="000000"/>
                      <w:sz w:val="22"/>
                      <w:szCs w:val="22"/>
                    </w:rPr>
                    <w:t>or la</w:t>
                  </w:r>
                  <w:r>
                    <w:rPr>
                      <w:rFonts w:eastAsiaTheme="minorHAnsi"/>
                      <w:color w:val="000000"/>
                      <w:sz w:val="22"/>
                      <w:szCs w:val="22"/>
                    </w:rPr>
                    <w:t>ck thereof—</w:t>
                  </w:r>
                  <w:r w:rsidRPr="006F7E45">
                    <w:rPr>
                      <w:rFonts w:eastAsiaTheme="minorHAnsi"/>
                      <w:color w:val="000000"/>
                      <w:sz w:val="22"/>
                      <w:szCs w:val="22"/>
                    </w:rPr>
                    <w:t>that determines the effectiveness of district supports; rather, there is a lack of alignment, a mismatch, between what the district is providing to schools and what schools fully need in order to engage in successful turnaround.</w:t>
                  </w:r>
                </w:p>
                <w:p w:rsidR="0090743D" w:rsidRPr="006F7E45" w:rsidRDefault="0090743D" w:rsidP="00634196">
                  <w:pPr>
                    <w:spacing w:line="288" w:lineRule="auto"/>
                    <w:ind w:left="180" w:right="62"/>
                    <w:rPr>
                      <w:rFonts w:eastAsiaTheme="minorHAnsi"/>
                      <w:color w:val="000000"/>
                      <w:sz w:val="22"/>
                      <w:szCs w:val="22"/>
                    </w:rPr>
                  </w:pPr>
                  <w:r>
                    <w:rPr>
                      <w:rFonts w:eastAsiaTheme="minorHAnsi"/>
                      <w:color w:val="000000"/>
                      <w:sz w:val="22"/>
                      <w:szCs w:val="22"/>
                    </w:rPr>
                    <w:t>While either of these hypotheses is feasible, we posit</w:t>
                  </w:r>
                  <w:r w:rsidRPr="006F7E45">
                    <w:rPr>
                      <w:rFonts w:eastAsiaTheme="minorHAnsi"/>
                      <w:color w:val="000000"/>
                      <w:sz w:val="22"/>
                      <w:szCs w:val="22"/>
                    </w:rPr>
                    <w:t xml:space="preserve"> that the relationship between district supports and scho</w:t>
                  </w:r>
                  <w:r>
                    <w:rPr>
                      <w:rFonts w:eastAsiaTheme="minorHAnsi"/>
                      <w:color w:val="000000"/>
                      <w:sz w:val="22"/>
                      <w:szCs w:val="22"/>
                    </w:rPr>
                    <w:t xml:space="preserve">ol turnaround is nuanced and that successful turnaround is </w:t>
                  </w:r>
                  <w:r w:rsidRPr="006F7E45">
                    <w:rPr>
                      <w:rFonts w:eastAsiaTheme="minorHAnsi"/>
                      <w:color w:val="000000"/>
                      <w:sz w:val="22"/>
                      <w:szCs w:val="22"/>
                    </w:rPr>
                    <w:t xml:space="preserve">likely a function of </w:t>
                  </w:r>
                  <w:r>
                    <w:rPr>
                      <w:rFonts w:eastAsiaTheme="minorHAnsi"/>
                      <w:color w:val="000000"/>
                      <w:sz w:val="22"/>
                      <w:szCs w:val="22"/>
                    </w:rPr>
                    <w:t xml:space="preserve">differing </w:t>
                  </w:r>
                  <w:r w:rsidRPr="006F7E45">
                    <w:rPr>
                      <w:rFonts w:eastAsiaTheme="minorHAnsi"/>
                      <w:color w:val="000000"/>
                      <w:sz w:val="22"/>
                      <w:szCs w:val="22"/>
                    </w:rPr>
                    <w:t xml:space="preserve">school capacity </w:t>
                  </w:r>
                  <w:r w:rsidRPr="006F7E45">
                    <w:rPr>
                      <w:rFonts w:eastAsiaTheme="minorHAnsi"/>
                      <w:b/>
                      <w:color w:val="000000"/>
                      <w:sz w:val="22"/>
                      <w:szCs w:val="22"/>
                      <w:u w:val="single"/>
                    </w:rPr>
                    <w:t>and</w:t>
                  </w:r>
                  <w:r w:rsidRPr="006F7E45">
                    <w:rPr>
                      <w:rFonts w:eastAsiaTheme="minorHAnsi"/>
                      <w:color w:val="000000"/>
                      <w:sz w:val="22"/>
                      <w:szCs w:val="22"/>
                    </w:rPr>
                    <w:t xml:space="preserve"> district ability to differentiate support. </w:t>
                  </w:r>
                  <w:r>
                    <w:rPr>
                      <w:rFonts w:eastAsiaTheme="minorHAnsi"/>
                      <w:color w:val="000000"/>
                      <w:sz w:val="22"/>
                      <w:szCs w:val="22"/>
                    </w:rPr>
                    <w:t xml:space="preserve">Consequently, addressing both is essential to sustainable school turnaround. </w:t>
                  </w:r>
                </w:p>
                <w:p w:rsidR="0090743D" w:rsidRDefault="0090743D"/>
              </w:txbxContent>
            </v:textbox>
            <w10:wrap type="square"/>
          </v:shape>
        </w:pict>
      </w:r>
      <w:r>
        <w:rPr>
          <w:rFonts w:eastAsiaTheme="minorHAnsi"/>
          <w:noProof/>
          <w:color w:val="000000"/>
          <w:sz w:val="22"/>
          <w:szCs w:val="22"/>
        </w:rPr>
        <w:pict>
          <v:line id="Straight Connector 27" o:spid="_x0000_s1050" alt="line" style="position:absolute;z-index:251697152;visibility:visible;mso-wrap-distance-top:-3e-5mm;mso-wrap-distance-bottom:-3e-5mm" from="-8.5pt,21.25pt" to="51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" strokecolor="black [3040]" strokeweight=".5pt">
            <o:lock v:ext="edit" shapetype="f"/>
          </v:line>
        </w:pict>
      </w:r>
      <w:r w:rsidR="00DD44E3">
        <w:rPr>
          <w:rFonts w:eastAsiaTheme="minorHAnsi"/>
          <w:color w:val="000000"/>
          <w:sz w:val="22"/>
          <w:szCs w:val="22"/>
        </w:rPr>
        <w:t>We</w:t>
      </w:r>
      <w:r w:rsidR="00FB2E93">
        <w:rPr>
          <w:rFonts w:eastAsiaTheme="minorHAnsi"/>
          <w:color w:val="000000"/>
          <w:sz w:val="22"/>
          <w:szCs w:val="22"/>
        </w:rPr>
        <w:t xml:space="preserve"> pose these findings as potential </w:t>
      </w:r>
      <w:r w:rsidR="00FB2E93" w:rsidRPr="00FB2E93">
        <w:rPr>
          <w:rFonts w:eastAsiaTheme="minorHAnsi"/>
          <w:b/>
          <w:color w:val="000000"/>
          <w:sz w:val="22"/>
          <w:szCs w:val="22"/>
        </w:rPr>
        <w:t xml:space="preserve">District Actions Supporting </w:t>
      </w:r>
      <w:r w:rsidR="00FB2E93">
        <w:rPr>
          <w:rFonts w:eastAsiaTheme="minorHAnsi"/>
          <w:b/>
          <w:color w:val="000000"/>
          <w:sz w:val="22"/>
          <w:szCs w:val="22"/>
        </w:rPr>
        <w:t xml:space="preserve">(or Hindering) </w:t>
      </w:r>
      <w:r w:rsidR="00FB2E93" w:rsidRPr="00FB2E93">
        <w:rPr>
          <w:rFonts w:eastAsiaTheme="minorHAnsi"/>
          <w:b/>
          <w:color w:val="000000"/>
          <w:sz w:val="22"/>
          <w:szCs w:val="22"/>
        </w:rPr>
        <w:t>School Turnaround.</w:t>
      </w:r>
    </w:p>
    <w:p w:rsidR="009304B1" w:rsidRDefault="009304B1" w:rsidP="009177F2">
      <w:pPr>
        <w:spacing w:before="80" w:after="80" w:line="288" w:lineRule="auto"/>
        <w:rPr>
          <w:b/>
          <w:i/>
          <w:color w:val="365F91" w:themeColor="accent1" w:themeShade="BF"/>
          <w:sz w:val="22"/>
          <w:szCs w:val="22"/>
        </w:rPr>
        <w:sectPr w:rsidR="009304B1" w:rsidSect="00DF5EA4">
          <w:type w:val="continuous"/>
          <w:pgSz w:w="12240" w:h="15840"/>
          <w:pgMar w:top="1440" w:right="1152" w:bottom="1152" w:left="1152" w:header="720" w:footer="720" w:gutter="0"/>
          <w:cols w:space="720"/>
        </w:sectPr>
      </w:pPr>
    </w:p>
    <w:p w:rsidR="009177F2" w:rsidRPr="00BF59E6" w:rsidRDefault="009177F2" w:rsidP="00983BD0">
      <w:pPr>
        <w:spacing w:before="80" w:after="80" w:line="288" w:lineRule="auto"/>
        <w:rPr>
          <w:b/>
          <w:color w:val="365F91" w:themeColor="accent1" w:themeShade="BF"/>
          <w:sz w:val="22"/>
          <w:szCs w:val="22"/>
        </w:rPr>
      </w:pPr>
      <w:r w:rsidRPr="00BF59E6">
        <w:rPr>
          <w:b/>
          <w:color w:val="365F91" w:themeColor="accent1" w:themeShade="BF"/>
          <w:sz w:val="22"/>
          <w:szCs w:val="22"/>
        </w:rPr>
        <w:lastRenderedPageBreak/>
        <w:t>District Actions Supporting School Turnaround</w:t>
      </w:r>
    </w:p>
    <w:p w:rsidR="009177F2" w:rsidRPr="0021492E" w:rsidRDefault="009177F2" w:rsidP="00055AE9">
      <w:pPr>
        <w:spacing w:line="288" w:lineRule="auto"/>
        <w:rPr>
          <w:sz w:val="22"/>
          <w:szCs w:val="22"/>
          <w:lang w:eastAsia="ja-JP"/>
        </w:rPr>
      </w:pPr>
      <w:r w:rsidRPr="0021492E">
        <w:rPr>
          <w:rFonts w:eastAsiaTheme="minorHAnsi"/>
          <w:color w:val="000000"/>
          <w:sz w:val="22"/>
          <w:szCs w:val="22"/>
        </w:rPr>
        <w:t xml:space="preserve">Five specific clusters of district actions </w:t>
      </w:r>
      <w:r w:rsidR="00DF5EA4">
        <w:rPr>
          <w:rFonts w:eastAsiaTheme="minorHAnsi"/>
          <w:color w:val="000000"/>
          <w:sz w:val="22"/>
          <w:szCs w:val="22"/>
        </w:rPr>
        <w:t xml:space="preserve">appear to have </w:t>
      </w:r>
      <w:r w:rsidR="00FD3BB5">
        <w:rPr>
          <w:rFonts w:eastAsiaTheme="minorHAnsi"/>
          <w:color w:val="000000"/>
          <w:sz w:val="22"/>
          <w:szCs w:val="22"/>
        </w:rPr>
        <w:t>the</w:t>
      </w:r>
      <w:r w:rsidRPr="0021492E">
        <w:rPr>
          <w:rFonts w:eastAsiaTheme="minorHAnsi"/>
          <w:color w:val="000000"/>
          <w:sz w:val="22"/>
          <w:szCs w:val="22"/>
        </w:rPr>
        <w:t xml:space="preserve"> ability to positively influence school-</w:t>
      </w:r>
      <w:r w:rsidR="001964C5">
        <w:rPr>
          <w:rFonts w:eastAsiaTheme="minorHAnsi"/>
          <w:color w:val="000000"/>
          <w:sz w:val="22"/>
          <w:szCs w:val="22"/>
        </w:rPr>
        <w:t xml:space="preserve">level </w:t>
      </w:r>
      <w:r w:rsidRPr="0021492E">
        <w:rPr>
          <w:rFonts w:eastAsiaTheme="minorHAnsi"/>
          <w:color w:val="000000"/>
          <w:sz w:val="22"/>
          <w:szCs w:val="22"/>
        </w:rPr>
        <w:t xml:space="preserve">turnaround efforts: </w:t>
      </w:r>
      <w:r w:rsidRPr="0021492E">
        <w:rPr>
          <w:sz w:val="22"/>
          <w:szCs w:val="22"/>
          <w:lang w:eastAsia="ja-JP"/>
        </w:rPr>
        <w:t xml:space="preserve">(1) </w:t>
      </w:r>
      <w:r>
        <w:rPr>
          <w:sz w:val="22"/>
          <w:szCs w:val="22"/>
          <w:lang w:eastAsia="ja-JP"/>
        </w:rPr>
        <w:t xml:space="preserve">intentional </w:t>
      </w:r>
      <w:r w:rsidRPr="0021492E">
        <w:rPr>
          <w:sz w:val="22"/>
          <w:szCs w:val="22"/>
          <w:lang w:eastAsia="ja-JP"/>
        </w:rPr>
        <w:t xml:space="preserve">district </w:t>
      </w:r>
      <w:r>
        <w:rPr>
          <w:sz w:val="22"/>
          <w:szCs w:val="22"/>
          <w:lang w:eastAsia="ja-JP"/>
        </w:rPr>
        <w:t>focus and/or reorganization</w:t>
      </w:r>
      <w:r w:rsidRPr="0021492E">
        <w:rPr>
          <w:sz w:val="22"/>
          <w:szCs w:val="22"/>
          <w:lang w:eastAsia="ja-JP"/>
        </w:rPr>
        <w:t xml:space="preserve"> to support turnaround; (2) district extension of school autonomy and flexibility; (3) district investment in a coherent curriculum that aligns with state standards; (4) district support for meaningful assessments and data analysis to inform decisions; and (5) district support for effective integration of external partners/providers. </w:t>
      </w:r>
    </w:p>
    <w:p w:rsidR="009177F2" w:rsidRPr="0021492E" w:rsidRDefault="009177F2" w:rsidP="009177F2">
      <w:pPr>
        <w:spacing w:line="288" w:lineRule="auto"/>
        <w:rPr>
          <w:rFonts w:eastAsiaTheme="minorHAnsi"/>
          <w:color w:val="000000"/>
          <w:sz w:val="22"/>
          <w:szCs w:val="22"/>
        </w:rPr>
      </w:pPr>
    </w:p>
    <w:p w:rsidR="00EC20D2" w:rsidRPr="008A0E45" w:rsidRDefault="009177F2" w:rsidP="00145FF0">
      <w:pPr>
        <w:pStyle w:val="ListParagraph"/>
        <w:numPr>
          <w:ilvl w:val="0"/>
          <w:numId w:val="14"/>
        </w:numPr>
        <w:spacing w:line="288" w:lineRule="auto"/>
        <w:ind w:left="360"/>
        <w:rPr>
          <w:rFonts w:eastAsiaTheme="minorHAnsi"/>
          <w:b/>
          <w:color w:val="000000"/>
          <w:sz w:val="22"/>
          <w:szCs w:val="22"/>
        </w:rPr>
      </w:pPr>
      <w:r w:rsidRPr="00EC20D2">
        <w:rPr>
          <w:b/>
          <w:sz w:val="22"/>
          <w:szCs w:val="22"/>
          <w:lang w:eastAsia="ja-JP"/>
        </w:rPr>
        <w:t>The district focused organizational resources and (re)</w:t>
      </w:r>
      <w:r w:rsidR="009304B1">
        <w:rPr>
          <w:b/>
          <w:sz w:val="22"/>
          <w:szCs w:val="22"/>
          <w:lang w:eastAsia="ja-JP"/>
        </w:rPr>
        <w:t xml:space="preserve"> </w:t>
      </w:r>
      <w:r w:rsidRPr="00EC20D2">
        <w:rPr>
          <w:b/>
          <w:sz w:val="22"/>
          <w:szCs w:val="22"/>
          <w:lang w:eastAsia="ja-JP"/>
        </w:rPr>
        <w:t>organized district staff to support turnaround</w:t>
      </w:r>
      <w:r w:rsidRPr="00EC20D2">
        <w:rPr>
          <w:sz w:val="22"/>
          <w:szCs w:val="22"/>
          <w:lang w:eastAsia="ja-JP"/>
        </w:rPr>
        <w:t xml:space="preserve"> </w:t>
      </w:r>
      <w:r w:rsidR="00AC23B7" w:rsidRPr="00EC20D2">
        <w:rPr>
          <w:sz w:val="22"/>
          <w:szCs w:val="22"/>
          <w:lang w:eastAsia="ja-JP"/>
        </w:rPr>
        <w:t>by</w:t>
      </w:r>
      <w:r w:rsidR="00EC20D2" w:rsidRPr="00EC20D2">
        <w:rPr>
          <w:sz w:val="22"/>
          <w:szCs w:val="22"/>
          <w:lang w:eastAsia="ja-JP"/>
        </w:rPr>
        <w:t xml:space="preserve"> </w:t>
      </w:r>
      <w:r w:rsidR="00EC20D2" w:rsidRPr="00EC20D2">
        <w:rPr>
          <w:rFonts w:eastAsiaTheme="minorHAnsi"/>
          <w:i/>
          <w:color w:val="000000"/>
          <w:sz w:val="22"/>
          <w:szCs w:val="22"/>
        </w:rPr>
        <w:t>p</w:t>
      </w:r>
      <w:r w:rsidR="00AC23B7" w:rsidRPr="00EC20D2">
        <w:rPr>
          <w:rFonts w:eastAsiaTheme="minorHAnsi"/>
          <w:i/>
          <w:color w:val="000000"/>
          <w:sz w:val="22"/>
          <w:szCs w:val="22"/>
        </w:rPr>
        <w:t>ri</w:t>
      </w:r>
      <w:r w:rsidRPr="00EC20D2">
        <w:rPr>
          <w:rFonts w:eastAsiaTheme="minorHAnsi"/>
          <w:i/>
          <w:color w:val="000000"/>
          <w:sz w:val="22"/>
          <w:szCs w:val="22"/>
        </w:rPr>
        <w:t>oritizing</w:t>
      </w:r>
      <w:r w:rsidR="00AC23B7" w:rsidRPr="00EC20D2">
        <w:rPr>
          <w:rFonts w:eastAsiaTheme="minorHAnsi"/>
          <w:i/>
          <w:color w:val="000000"/>
          <w:sz w:val="22"/>
          <w:szCs w:val="22"/>
        </w:rPr>
        <w:t xml:space="preserve"> turnaround efforts</w:t>
      </w:r>
      <w:r w:rsidR="00EC20D2" w:rsidRPr="00EC20D2">
        <w:rPr>
          <w:rFonts w:eastAsiaTheme="minorHAnsi"/>
          <w:i/>
          <w:color w:val="000000"/>
          <w:sz w:val="22"/>
          <w:szCs w:val="22"/>
        </w:rPr>
        <w:t>, intentionally articulating a framework for school improvement</w:t>
      </w:r>
      <w:r w:rsidR="00EC20D2" w:rsidRPr="00EC20D2">
        <w:rPr>
          <w:rFonts w:eastAsiaTheme="minorHAnsi"/>
          <w:color w:val="000000"/>
          <w:sz w:val="22"/>
          <w:szCs w:val="22"/>
        </w:rPr>
        <w:t xml:space="preserve"> and </w:t>
      </w:r>
      <w:r w:rsidR="00EC20D2" w:rsidRPr="00EC20D2">
        <w:rPr>
          <w:rFonts w:eastAsiaTheme="minorHAnsi"/>
          <w:i/>
          <w:color w:val="000000"/>
          <w:sz w:val="22"/>
          <w:szCs w:val="22"/>
        </w:rPr>
        <w:t>aligning resources to support turnaround efforts within that framework</w:t>
      </w:r>
      <w:r w:rsidR="00EC20D2" w:rsidRPr="00EC20D2">
        <w:rPr>
          <w:rFonts w:eastAsiaTheme="minorHAnsi"/>
          <w:color w:val="000000"/>
          <w:sz w:val="22"/>
          <w:szCs w:val="22"/>
        </w:rPr>
        <w:t>.</w:t>
      </w:r>
      <w:r w:rsidR="00EC20D2" w:rsidRPr="00EC20D2">
        <w:rPr>
          <w:rFonts w:eastAsiaTheme="minorHAnsi"/>
          <w:b/>
          <w:color w:val="000000"/>
          <w:sz w:val="22"/>
          <w:szCs w:val="22"/>
        </w:rPr>
        <w:t xml:space="preserve"> </w:t>
      </w:r>
    </w:p>
    <w:p w:rsidR="009177F2" w:rsidRPr="00EC20D2" w:rsidRDefault="00EC20D2" w:rsidP="008A0E45">
      <w:pPr>
        <w:spacing w:before="60" w:after="60" w:line="288" w:lineRule="auto"/>
        <w:ind w:firstLine="360"/>
        <w:rPr>
          <w:sz w:val="22"/>
          <w:szCs w:val="22"/>
          <w:lang w:eastAsia="ja-JP"/>
        </w:rPr>
      </w:pPr>
      <w:r>
        <w:rPr>
          <w:rFonts w:eastAsiaTheme="minorHAnsi"/>
          <w:color w:val="000000"/>
          <w:sz w:val="22"/>
          <w:szCs w:val="22"/>
        </w:rPr>
        <w:t>Examples include:</w:t>
      </w:r>
    </w:p>
    <w:p w:rsidR="009177F2" w:rsidRPr="0021492E" w:rsidRDefault="00EC20D2" w:rsidP="00145FF0">
      <w:pPr>
        <w:pStyle w:val="ListParagraph"/>
        <w:numPr>
          <w:ilvl w:val="1"/>
          <w:numId w:val="15"/>
        </w:numPr>
        <w:tabs>
          <w:tab w:val="left" w:pos="720"/>
        </w:tabs>
        <w:spacing w:before="60" w:after="60" w:line="288" w:lineRule="auto"/>
        <w:contextualSpacing w:val="0"/>
        <w:rPr>
          <w:rFonts w:eastAsiaTheme="minorHAnsi"/>
          <w:color w:val="000000"/>
          <w:sz w:val="22"/>
          <w:szCs w:val="22"/>
        </w:rPr>
      </w:pPr>
      <w:r>
        <w:rPr>
          <w:rFonts w:eastAsiaTheme="minorHAnsi"/>
          <w:color w:val="000000"/>
          <w:sz w:val="22"/>
          <w:szCs w:val="22"/>
        </w:rPr>
        <w:t>Demonstrating</w:t>
      </w:r>
      <w:r w:rsidR="009177F2">
        <w:rPr>
          <w:rFonts w:eastAsiaTheme="minorHAnsi"/>
          <w:color w:val="000000"/>
          <w:sz w:val="22"/>
          <w:szCs w:val="22"/>
        </w:rPr>
        <w:t xml:space="preserve"> that Level 4</w:t>
      </w:r>
      <w:r w:rsidR="009177F2" w:rsidRPr="0021492E">
        <w:rPr>
          <w:rFonts w:eastAsiaTheme="minorHAnsi"/>
          <w:color w:val="000000"/>
          <w:sz w:val="22"/>
          <w:szCs w:val="22"/>
        </w:rPr>
        <w:t xml:space="preserve"> schools are a priority by ensuring that multiple district staff members, including the superintendent or deputy, are actively engaged in turnaround efforts (e.g., communicate with school leaders, attend meetings, conduct classroom walkthroughs and monitor external providers</w:t>
      </w:r>
      <w:r w:rsidR="001964C5">
        <w:rPr>
          <w:rFonts w:eastAsiaTheme="minorHAnsi"/>
          <w:color w:val="000000"/>
          <w:sz w:val="22"/>
          <w:szCs w:val="22"/>
        </w:rPr>
        <w:t>)</w:t>
      </w:r>
      <w:r w:rsidR="009177F2">
        <w:rPr>
          <w:rFonts w:eastAsiaTheme="minorHAnsi"/>
          <w:color w:val="000000"/>
          <w:sz w:val="22"/>
          <w:szCs w:val="22"/>
        </w:rPr>
        <w:t>.</w:t>
      </w:r>
    </w:p>
    <w:p w:rsidR="009177F2" w:rsidRPr="00EC20D2" w:rsidRDefault="009177F2" w:rsidP="00145FF0">
      <w:pPr>
        <w:pStyle w:val="ListParagraph"/>
        <w:numPr>
          <w:ilvl w:val="1"/>
          <w:numId w:val="15"/>
        </w:numPr>
        <w:tabs>
          <w:tab w:val="left" w:pos="720"/>
        </w:tabs>
        <w:spacing w:before="60" w:after="60" w:line="288" w:lineRule="auto"/>
        <w:contextualSpacing w:val="0"/>
        <w:rPr>
          <w:rFonts w:eastAsiaTheme="minorHAnsi"/>
          <w:color w:val="000000"/>
          <w:sz w:val="22"/>
          <w:szCs w:val="22"/>
        </w:rPr>
      </w:pPr>
      <w:r>
        <w:rPr>
          <w:rFonts w:eastAsiaTheme="minorHAnsi"/>
          <w:color w:val="000000"/>
          <w:sz w:val="22"/>
          <w:szCs w:val="22"/>
        </w:rPr>
        <w:t>Assign</w:t>
      </w:r>
      <w:r w:rsidR="00EC20D2">
        <w:rPr>
          <w:rFonts w:eastAsiaTheme="minorHAnsi"/>
          <w:color w:val="000000"/>
          <w:sz w:val="22"/>
          <w:szCs w:val="22"/>
        </w:rPr>
        <w:t>ing</w:t>
      </w:r>
      <w:r w:rsidRPr="0021492E">
        <w:rPr>
          <w:rFonts w:eastAsiaTheme="minorHAnsi"/>
          <w:color w:val="000000"/>
          <w:sz w:val="22"/>
          <w:szCs w:val="22"/>
        </w:rPr>
        <w:t xml:space="preserve"> a skilled</w:t>
      </w:r>
      <w:r>
        <w:rPr>
          <w:rFonts w:eastAsiaTheme="minorHAnsi"/>
          <w:color w:val="000000"/>
          <w:sz w:val="22"/>
          <w:szCs w:val="22"/>
        </w:rPr>
        <w:t xml:space="preserve"> district </w:t>
      </w:r>
      <w:r w:rsidR="009304B1">
        <w:rPr>
          <w:rFonts w:eastAsiaTheme="minorHAnsi"/>
          <w:color w:val="000000"/>
          <w:sz w:val="22"/>
          <w:szCs w:val="22"/>
        </w:rPr>
        <w:t>leader</w:t>
      </w:r>
      <w:r>
        <w:rPr>
          <w:rFonts w:eastAsiaTheme="minorHAnsi"/>
          <w:color w:val="000000"/>
          <w:sz w:val="22"/>
          <w:szCs w:val="22"/>
        </w:rPr>
        <w:t>/</w:t>
      </w:r>
      <w:r w:rsidRPr="0021492E">
        <w:rPr>
          <w:rFonts w:eastAsiaTheme="minorHAnsi"/>
          <w:color w:val="000000"/>
          <w:sz w:val="22"/>
          <w:szCs w:val="22"/>
        </w:rPr>
        <w:t xml:space="preserve">liaison </w:t>
      </w:r>
      <w:r>
        <w:rPr>
          <w:rFonts w:eastAsiaTheme="minorHAnsi"/>
          <w:color w:val="000000"/>
          <w:sz w:val="22"/>
          <w:szCs w:val="22"/>
        </w:rPr>
        <w:t xml:space="preserve">to </w:t>
      </w:r>
      <w:r w:rsidR="00FD3BB5">
        <w:rPr>
          <w:rFonts w:eastAsiaTheme="minorHAnsi"/>
          <w:color w:val="000000"/>
          <w:sz w:val="22"/>
          <w:szCs w:val="22"/>
        </w:rPr>
        <w:t>Level 4</w:t>
      </w:r>
      <w:r>
        <w:rPr>
          <w:rFonts w:eastAsiaTheme="minorHAnsi"/>
          <w:color w:val="000000"/>
          <w:sz w:val="22"/>
          <w:szCs w:val="22"/>
        </w:rPr>
        <w:t xml:space="preserve"> schools and establishing regular two-way communication system with school leaders, to: (a) help</w:t>
      </w:r>
      <w:r w:rsidRPr="00CB539D">
        <w:rPr>
          <w:rFonts w:eastAsiaTheme="minorHAnsi"/>
          <w:color w:val="000000"/>
          <w:sz w:val="22"/>
          <w:szCs w:val="22"/>
        </w:rPr>
        <w:t xml:space="preserve"> turnaround schools navigate district policies and procedu</w:t>
      </w:r>
      <w:r>
        <w:rPr>
          <w:rFonts w:eastAsiaTheme="minorHAnsi"/>
          <w:color w:val="000000"/>
          <w:sz w:val="22"/>
          <w:szCs w:val="22"/>
        </w:rPr>
        <w:t>res; (b)</w:t>
      </w:r>
      <w:r w:rsidRPr="00CB539D">
        <w:rPr>
          <w:rFonts w:eastAsiaTheme="minorHAnsi"/>
          <w:color w:val="000000"/>
          <w:sz w:val="22"/>
          <w:szCs w:val="22"/>
        </w:rPr>
        <w:t xml:space="preserve"> directly monitor schools and assess fidelity of implementation of turnaround initiatives</w:t>
      </w:r>
      <w:r>
        <w:rPr>
          <w:rFonts w:eastAsiaTheme="minorHAnsi"/>
          <w:color w:val="000000"/>
          <w:sz w:val="22"/>
          <w:szCs w:val="22"/>
        </w:rPr>
        <w:t>;</w:t>
      </w:r>
      <w:r w:rsidRPr="00CB539D">
        <w:rPr>
          <w:rFonts w:eastAsiaTheme="minorHAnsi"/>
          <w:color w:val="000000"/>
          <w:sz w:val="22"/>
          <w:szCs w:val="22"/>
        </w:rPr>
        <w:t xml:space="preserve"> and </w:t>
      </w:r>
      <w:r>
        <w:rPr>
          <w:rFonts w:eastAsiaTheme="minorHAnsi"/>
          <w:color w:val="000000"/>
          <w:sz w:val="22"/>
          <w:szCs w:val="22"/>
        </w:rPr>
        <w:t>(c) provide</w:t>
      </w:r>
      <w:r w:rsidRPr="00CB539D">
        <w:rPr>
          <w:rFonts w:eastAsiaTheme="minorHAnsi"/>
          <w:color w:val="000000"/>
          <w:sz w:val="22"/>
          <w:szCs w:val="22"/>
        </w:rPr>
        <w:t xml:space="preserve"> constructive feedback </w:t>
      </w:r>
      <w:r>
        <w:rPr>
          <w:rFonts w:eastAsiaTheme="minorHAnsi"/>
          <w:color w:val="000000"/>
          <w:sz w:val="22"/>
          <w:szCs w:val="22"/>
        </w:rPr>
        <w:t xml:space="preserve">to school leaders and staff around key issues </w:t>
      </w:r>
      <w:r w:rsidRPr="00CB539D">
        <w:rPr>
          <w:rFonts w:eastAsiaTheme="minorHAnsi"/>
          <w:color w:val="000000"/>
          <w:sz w:val="22"/>
          <w:szCs w:val="22"/>
        </w:rPr>
        <w:t>(e.g., data team meetings, curricular alignment, quality instruction, an</w:t>
      </w:r>
      <w:r w:rsidR="001964C5">
        <w:rPr>
          <w:rFonts w:eastAsiaTheme="minorHAnsi"/>
          <w:color w:val="000000"/>
          <w:sz w:val="22"/>
          <w:szCs w:val="22"/>
        </w:rPr>
        <w:t>d use of extended learning time</w:t>
      </w:r>
      <w:r w:rsidRPr="00CB539D">
        <w:rPr>
          <w:rFonts w:eastAsiaTheme="minorHAnsi"/>
          <w:color w:val="000000"/>
          <w:sz w:val="22"/>
          <w:szCs w:val="22"/>
        </w:rPr>
        <w:t>)</w:t>
      </w:r>
      <w:r w:rsidR="001964C5">
        <w:rPr>
          <w:rFonts w:eastAsiaTheme="minorHAnsi"/>
          <w:color w:val="000000"/>
          <w:sz w:val="22"/>
          <w:szCs w:val="22"/>
        </w:rPr>
        <w:t>.</w:t>
      </w:r>
    </w:p>
    <w:p w:rsidR="009177F2" w:rsidRPr="0021492E" w:rsidRDefault="00EC20D2" w:rsidP="00145FF0">
      <w:pPr>
        <w:pStyle w:val="ListParagraph"/>
        <w:numPr>
          <w:ilvl w:val="1"/>
          <w:numId w:val="15"/>
        </w:numPr>
        <w:tabs>
          <w:tab w:val="left" w:pos="720"/>
        </w:tabs>
        <w:spacing w:before="60" w:after="60" w:line="288" w:lineRule="auto"/>
        <w:contextualSpacing w:val="0"/>
        <w:rPr>
          <w:rFonts w:eastAsiaTheme="minorHAnsi"/>
          <w:color w:val="000000"/>
          <w:sz w:val="22"/>
          <w:szCs w:val="22"/>
        </w:rPr>
      </w:pPr>
      <w:r>
        <w:rPr>
          <w:rFonts w:eastAsiaTheme="minorHAnsi"/>
          <w:color w:val="000000"/>
          <w:sz w:val="22"/>
          <w:szCs w:val="22"/>
        </w:rPr>
        <w:t>Reorganizing</w:t>
      </w:r>
      <w:r w:rsidR="009177F2" w:rsidRPr="0021492E">
        <w:rPr>
          <w:rFonts w:eastAsiaTheme="minorHAnsi"/>
          <w:color w:val="000000"/>
          <w:sz w:val="22"/>
          <w:szCs w:val="22"/>
        </w:rPr>
        <w:t xml:space="preserve"> or revamp</w:t>
      </w:r>
      <w:r>
        <w:rPr>
          <w:rFonts w:eastAsiaTheme="minorHAnsi"/>
          <w:color w:val="000000"/>
          <w:sz w:val="22"/>
          <w:szCs w:val="22"/>
        </w:rPr>
        <w:t>ing</w:t>
      </w:r>
      <w:r w:rsidR="009177F2" w:rsidRPr="0021492E">
        <w:rPr>
          <w:rFonts w:eastAsiaTheme="minorHAnsi"/>
          <w:color w:val="000000"/>
          <w:sz w:val="22"/>
          <w:szCs w:val="22"/>
        </w:rPr>
        <w:t xml:space="preserve"> </w:t>
      </w:r>
      <w:r w:rsidR="00C6056D">
        <w:rPr>
          <w:rFonts w:eastAsiaTheme="minorHAnsi"/>
          <w:color w:val="000000"/>
          <w:sz w:val="22"/>
          <w:szCs w:val="22"/>
        </w:rPr>
        <w:t xml:space="preserve">the </w:t>
      </w:r>
      <w:r w:rsidR="009177F2" w:rsidRPr="0021492E">
        <w:rPr>
          <w:rFonts w:eastAsiaTheme="minorHAnsi"/>
          <w:color w:val="000000"/>
          <w:sz w:val="22"/>
          <w:szCs w:val="22"/>
        </w:rPr>
        <w:t>district</w:t>
      </w:r>
      <w:r w:rsidR="00C6056D">
        <w:rPr>
          <w:rFonts w:eastAsiaTheme="minorHAnsi"/>
          <w:color w:val="000000"/>
          <w:sz w:val="22"/>
          <w:szCs w:val="22"/>
        </w:rPr>
        <w:t>’s</w:t>
      </w:r>
      <w:r w:rsidR="009177F2" w:rsidRPr="0021492E">
        <w:rPr>
          <w:rFonts w:eastAsiaTheme="minorHAnsi"/>
          <w:color w:val="000000"/>
          <w:sz w:val="22"/>
          <w:szCs w:val="22"/>
        </w:rPr>
        <w:t xml:space="preserve"> human resource</w:t>
      </w:r>
      <w:r w:rsidR="00C6056D">
        <w:rPr>
          <w:rFonts w:eastAsiaTheme="minorHAnsi"/>
          <w:color w:val="000000"/>
          <w:sz w:val="22"/>
          <w:szCs w:val="22"/>
        </w:rPr>
        <w:t>s</w:t>
      </w:r>
      <w:r w:rsidR="009177F2" w:rsidRPr="0021492E">
        <w:rPr>
          <w:rFonts w:eastAsiaTheme="minorHAnsi"/>
          <w:color w:val="000000"/>
          <w:sz w:val="22"/>
          <w:szCs w:val="22"/>
        </w:rPr>
        <w:t xml:space="preserve"> department to improve recruitment and retention efforts with a focus on assigning qualified leaders and teachers to </w:t>
      </w:r>
      <w:r w:rsidR="001E33BA">
        <w:rPr>
          <w:rFonts w:eastAsiaTheme="minorHAnsi"/>
          <w:color w:val="000000"/>
          <w:sz w:val="22"/>
          <w:szCs w:val="22"/>
        </w:rPr>
        <w:t xml:space="preserve">Level 4 </w:t>
      </w:r>
      <w:r w:rsidR="009177F2" w:rsidRPr="0021492E">
        <w:rPr>
          <w:rFonts w:eastAsiaTheme="minorHAnsi"/>
          <w:color w:val="000000"/>
          <w:sz w:val="22"/>
          <w:szCs w:val="22"/>
        </w:rPr>
        <w:t>schools in a timely manner.</w:t>
      </w:r>
    </w:p>
    <w:p w:rsidR="009177F2" w:rsidRDefault="00EC20D2" w:rsidP="00145FF0">
      <w:pPr>
        <w:pStyle w:val="ListParagraph"/>
        <w:numPr>
          <w:ilvl w:val="1"/>
          <w:numId w:val="15"/>
        </w:numPr>
        <w:tabs>
          <w:tab w:val="left" w:pos="720"/>
        </w:tabs>
        <w:spacing w:before="60" w:after="60" w:line="288" w:lineRule="auto"/>
        <w:contextualSpacing w:val="0"/>
        <w:rPr>
          <w:rFonts w:eastAsiaTheme="minorHAnsi"/>
          <w:color w:val="000000"/>
          <w:sz w:val="22"/>
          <w:szCs w:val="22"/>
        </w:rPr>
      </w:pPr>
      <w:r>
        <w:rPr>
          <w:rFonts w:eastAsiaTheme="minorHAnsi"/>
          <w:color w:val="000000"/>
          <w:sz w:val="22"/>
          <w:szCs w:val="22"/>
        </w:rPr>
        <w:t>Allocating</w:t>
      </w:r>
      <w:r w:rsidR="009177F2" w:rsidRPr="0021492E">
        <w:rPr>
          <w:rFonts w:eastAsiaTheme="minorHAnsi"/>
          <w:color w:val="000000"/>
          <w:sz w:val="22"/>
          <w:szCs w:val="22"/>
        </w:rPr>
        <w:t xml:space="preserve"> additional resources to support turnaround priorities (e.g., assign a librarian, </w:t>
      </w:r>
      <w:r w:rsidR="009177F2" w:rsidRPr="0021492E">
        <w:rPr>
          <w:sz w:val="22"/>
          <w:szCs w:val="22"/>
        </w:rPr>
        <w:t>p</w:t>
      </w:r>
      <w:r w:rsidR="009177F2" w:rsidRPr="0021492E">
        <w:rPr>
          <w:rFonts w:eastAsiaTheme="minorHAnsi"/>
          <w:color w:val="000000"/>
          <w:sz w:val="22"/>
          <w:szCs w:val="22"/>
        </w:rPr>
        <w:t>rogram specialist, social worker, bilingual paraprofessional/parent liaison, or part-time computer teacher or purchase computer lab and software, a pre-kindergarten program with two classes, Smart Boards, and computers in all classrooms</w:t>
      </w:r>
      <w:r w:rsidR="001964C5">
        <w:rPr>
          <w:rFonts w:eastAsiaTheme="minorHAnsi"/>
          <w:color w:val="000000"/>
          <w:sz w:val="22"/>
          <w:szCs w:val="22"/>
        </w:rPr>
        <w:t>)</w:t>
      </w:r>
      <w:r w:rsidR="009177F2" w:rsidRPr="0021492E">
        <w:rPr>
          <w:rFonts w:eastAsiaTheme="minorHAnsi"/>
          <w:color w:val="000000"/>
          <w:sz w:val="22"/>
          <w:szCs w:val="22"/>
        </w:rPr>
        <w:t xml:space="preserve">. </w:t>
      </w:r>
    </w:p>
    <w:p w:rsidR="00EC20D2" w:rsidRPr="00EC20D2" w:rsidRDefault="00EC20D2" w:rsidP="00EC20D2">
      <w:pPr>
        <w:tabs>
          <w:tab w:val="left" w:pos="720"/>
        </w:tabs>
        <w:spacing w:before="80" w:after="80" w:line="288" w:lineRule="auto"/>
        <w:rPr>
          <w:rFonts w:eastAsiaTheme="minorHAnsi"/>
          <w:color w:val="000000"/>
          <w:sz w:val="22"/>
          <w:szCs w:val="22"/>
        </w:rPr>
      </w:pPr>
    </w:p>
    <w:p w:rsidR="009304B1" w:rsidRPr="008A0E45" w:rsidRDefault="007C1664" w:rsidP="00145FF0">
      <w:pPr>
        <w:pStyle w:val="ListParagraph"/>
        <w:numPr>
          <w:ilvl w:val="0"/>
          <w:numId w:val="9"/>
        </w:numPr>
        <w:spacing w:line="288" w:lineRule="auto"/>
        <w:ind w:left="360"/>
        <w:rPr>
          <w:rFonts w:eastAsiaTheme="minorHAnsi"/>
          <w:color w:val="000000"/>
          <w:sz w:val="22"/>
          <w:szCs w:val="22"/>
        </w:rPr>
      </w:pPr>
      <w:r>
        <w:rPr>
          <w:b/>
          <w:color w:val="222222"/>
          <w:sz w:val="22"/>
          <w:szCs w:val="22"/>
          <w:lang w:eastAsia="ja-JP"/>
        </w:rPr>
        <w:t>The d</w:t>
      </w:r>
      <w:r w:rsidR="009177F2" w:rsidRPr="00EC20D2">
        <w:rPr>
          <w:b/>
          <w:color w:val="222222"/>
          <w:sz w:val="22"/>
          <w:szCs w:val="22"/>
          <w:lang w:eastAsia="ja-JP"/>
        </w:rPr>
        <w:t>istrict extends Level 4 schools autonomy and flexibility to implement turnaround efforts</w:t>
      </w:r>
      <w:r w:rsidR="00EC20D2" w:rsidRPr="00EC20D2">
        <w:rPr>
          <w:color w:val="222222"/>
          <w:sz w:val="22"/>
          <w:szCs w:val="22"/>
          <w:lang w:eastAsia="ja-JP"/>
        </w:rPr>
        <w:t xml:space="preserve"> </w:t>
      </w:r>
      <w:r w:rsidR="00EC20D2" w:rsidRPr="00EC20D2">
        <w:rPr>
          <w:rFonts w:eastAsiaTheme="minorHAnsi"/>
          <w:color w:val="000000"/>
          <w:sz w:val="22"/>
          <w:szCs w:val="22"/>
        </w:rPr>
        <w:t>b</w:t>
      </w:r>
      <w:r w:rsidR="009177F2" w:rsidRPr="00EC20D2">
        <w:rPr>
          <w:rFonts w:eastAsiaTheme="minorHAnsi"/>
          <w:color w:val="000000"/>
          <w:sz w:val="22"/>
          <w:szCs w:val="22"/>
        </w:rPr>
        <w:t xml:space="preserve">y </w:t>
      </w:r>
      <w:r w:rsidR="009177F2" w:rsidRPr="00EC20D2">
        <w:rPr>
          <w:rFonts w:eastAsiaTheme="minorHAnsi"/>
          <w:i/>
          <w:color w:val="000000"/>
          <w:sz w:val="22"/>
          <w:szCs w:val="22"/>
        </w:rPr>
        <w:t>providing autonomy and flexibility around resources</w:t>
      </w:r>
      <w:r w:rsidR="00EC20D2" w:rsidRPr="00EC20D2">
        <w:rPr>
          <w:rFonts w:eastAsiaTheme="minorHAnsi"/>
          <w:color w:val="000000"/>
          <w:sz w:val="22"/>
          <w:szCs w:val="22"/>
        </w:rPr>
        <w:t xml:space="preserve"> and </w:t>
      </w:r>
      <w:r w:rsidR="00EC20D2" w:rsidRPr="00EC20D2">
        <w:rPr>
          <w:rFonts w:eastAsiaTheme="minorHAnsi"/>
          <w:i/>
          <w:color w:val="000000"/>
          <w:sz w:val="22"/>
          <w:szCs w:val="22"/>
        </w:rPr>
        <w:t>directly addressing policies or district requirements that might hinder turnaround efforts</w:t>
      </w:r>
      <w:r w:rsidR="009304B1">
        <w:rPr>
          <w:rFonts w:eastAsiaTheme="minorHAnsi"/>
          <w:i/>
          <w:color w:val="000000"/>
          <w:sz w:val="22"/>
          <w:szCs w:val="22"/>
        </w:rPr>
        <w:t>.</w:t>
      </w:r>
    </w:p>
    <w:p w:rsidR="00EC20D2" w:rsidRPr="00EC20D2" w:rsidRDefault="00EC20D2" w:rsidP="008A0E45">
      <w:pPr>
        <w:spacing w:before="60" w:after="60" w:line="288" w:lineRule="auto"/>
        <w:ind w:firstLine="360"/>
        <w:rPr>
          <w:sz w:val="22"/>
          <w:szCs w:val="22"/>
          <w:lang w:eastAsia="ja-JP"/>
        </w:rPr>
      </w:pPr>
      <w:r>
        <w:rPr>
          <w:rFonts w:eastAsiaTheme="minorHAnsi"/>
          <w:color w:val="000000"/>
          <w:sz w:val="22"/>
          <w:szCs w:val="22"/>
        </w:rPr>
        <w:t>Examples include:</w:t>
      </w:r>
    </w:p>
    <w:p w:rsidR="009177F2" w:rsidRPr="008A0E45" w:rsidRDefault="009177F2" w:rsidP="00145FF0">
      <w:pPr>
        <w:pStyle w:val="ListParagraph"/>
        <w:numPr>
          <w:ilvl w:val="0"/>
          <w:numId w:val="16"/>
        </w:numPr>
        <w:spacing w:before="60" w:after="60" w:line="288" w:lineRule="auto"/>
        <w:rPr>
          <w:rFonts w:eastAsiaTheme="minorHAnsi"/>
          <w:color w:val="000000"/>
          <w:sz w:val="22"/>
          <w:szCs w:val="22"/>
        </w:rPr>
      </w:pPr>
      <w:r w:rsidRPr="008A0E45">
        <w:rPr>
          <w:rFonts w:eastAsiaTheme="minorHAnsi"/>
          <w:color w:val="000000"/>
          <w:sz w:val="22"/>
          <w:szCs w:val="22"/>
        </w:rPr>
        <w:t>Extend</w:t>
      </w:r>
      <w:r w:rsidR="00EC20D2" w:rsidRPr="008A0E45">
        <w:rPr>
          <w:rFonts w:eastAsiaTheme="minorHAnsi"/>
          <w:color w:val="000000"/>
          <w:sz w:val="22"/>
          <w:szCs w:val="22"/>
        </w:rPr>
        <w:t>ing</w:t>
      </w:r>
      <w:r w:rsidRPr="008A0E45">
        <w:rPr>
          <w:rFonts w:eastAsiaTheme="minorHAnsi"/>
          <w:color w:val="000000"/>
          <w:sz w:val="22"/>
          <w:szCs w:val="22"/>
        </w:rPr>
        <w:t xml:space="preserve"> schools</w:t>
      </w:r>
      <w:r w:rsidR="00573C4A">
        <w:rPr>
          <w:rFonts w:eastAsiaTheme="minorHAnsi"/>
          <w:color w:val="000000"/>
          <w:sz w:val="22"/>
          <w:szCs w:val="22"/>
        </w:rPr>
        <w:t>’</w:t>
      </w:r>
      <w:r w:rsidRPr="008A0E45">
        <w:rPr>
          <w:rFonts w:eastAsiaTheme="minorHAnsi"/>
          <w:color w:val="000000"/>
          <w:sz w:val="22"/>
          <w:szCs w:val="22"/>
        </w:rPr>
        <w:t xml:space="preserve"> autonomy to allocate their budget according to their unique needs as opposed to a standard district formula wherein enrollment dictates </w:t>
      </w:r>
      <w:r w:rsidR="00573C4A">
        <w:rPr>
          <w:rFonts w:eastAsiaTheme="minorHAnsi"/>
          <w:color w:val="000000"/>
          <w:sz w:val="22"/>
          <w:szCs w:val="22"/>
        </w:rPr>
        <w:t xml:space="preserve">a </w:t>
      </w:r>
      <w:r w:rsidRPr="008A0E45">
        <w:rPr>
          <w:rFonts w:eastAsiaTheme="minorHAnsi"/>
          <w:color w:val="000000"/>
          <w:sz w:val="22"/>
          <w:szCs w:val="22"/>
        </w:rPr>
        <w:t>specific number of positions.</w:t>
      </w:r>
    </w:p>
    <w:p w:rsidR="009177F2" w:rsidRPr="008A0E45" w:rsidRDefault="009177F2" w:rsidP="00145FF0">
      <w:pPr>
        <w:pStyle w:val="ListParagraph"/>
        <w:numPr>
          <w:ilvl w:val="0"/>
          <w:numId w:val="16"/>
        </w:numPr>
        <w:spacing w:before="60" w:after="60" w:line="288" w:lineRule="auto"/>
        <w:rPr>
          <w:rFonts w:eastAsiaTheme="minorHAnsi"/>
          <w:color w:val="000000"/>
          <w:sz w:val="22"/>
          <w:szCs w:val="22"/>
        </w:rPr>
      </w:pPr>
      <w:r w:rsidRPr="008A0E45">
        <w:rPr>
          <w:rFonts w:eastAsiaTheme="minorHAnsi"/>
          <w:color w:val="000000"/>
          <w:sz w:val="22"/>
          <w:szCs w:val="22"/>
        </w:rPr>
        <w:t>Address</w:t>
      </w:r>
      <w:r w:rsidR="00EC20D2" w:rsidRPr="008A0E45">
        <w:rPr>
          <w:rFonts w:eastAsiaTheme="minorHAnsi"/>
          <w:color w:val="000000"/>
          <w:sz w:val="22"/>
          <w:szCs w:val="22"/>
        </w:rPr>
        <w:t>ing</w:t>
      </w:r>
      <w:r w:rsidRPr="008A0E45">
        <w:rPr>
          <w:rFonts w:eastAsiaTheme="minorHAnsi"/>
          <w:color w:val="000000"/>
          <w:sz w:val="22"/>
          <w:szCs w:val="22"/>
        </w:rPr>
        <w:t xml:space="preserve"> aspects of collective bargaining agreements that c</w:t>
      </w:r>
      <w:r w:rsidR="009304B1" w:rsidRPr="008A0E45">
        <w:rPr>
          <w:rFonts w:eastAsiaTheme="minorHAnsi"/>
          <w:color w:val="000000"/>
          <w:sz w:val="22"/>
          <w:szCs w:val="22"/>
        </w:rPr>
        <w:t xml:space="preserve">an undermine turnaround efforts, such as </w:t>
      </w:r>
      <w:r w:rsidRPr="008A0E45">
        <w:rPr>
          <w:rFonts w:eastAsiaTheme="minorHAnsi"/>
          <w:color w:val="000000"/>
          <w:sz w:val="22"/>
          <w:szCs w:val="22"/>
        </w:rPr>
        <w:t>adjust</w:t>
      </w:r>
      <w:r w:rsidR="009304B1" w:rsidRPr="008A0E45">
        <w:rPr>
          <w:rFonts w:eastAsiaTheme="minorHAnsi"/>
          <w:color w:val="000000"/>
          <w:sz w:val="22"/>
          <w:szCs w:val="22"/>
        </w:rPr>
        <w:t>ing</w:t>
      </w:r>
      <w:r w:rsidRPr="008A0E45">
        <w:rPr>
          <w:rFonts w:eastAsiaTheme="minorHAnsi"/>
          <w:color w:val="000000"/>
          <w:sz w:val="22"/>
          <w:szCs w:val="22"/>
        </w:rPr>
        <w:t xml:space="preserve"> “bidding and bumping” language to protect staff recruited to work at </w:t>
      </w:r>
      <w:r w:rsidR="001E33BA" w:rsidRPr="008A0E45">
        <w:rPr>
          <w:rFonts w:eastAsiaTheme="minorHAnsi"/>
          <w:color w:val="000000"/>
          <w:sz w:val="22"/>
          <w:szCs w:val="22"/>
        </w:rPr>
        <w:t xml:space="preserve">Level 4 </w:t>
      </w:r>
      <w:r w:rsidRPr="008A0E45">
        <w:rPr>
          <w:rFonts w:eastAsiaTheme="minorHAnsi"/>
          <w:color w:val="000000"/>
          <w:sz w:val="22"/>
          <w:szCs w:val="22"/>
        </w:rPr>
        <w:t xml:space="preserve">schools and avoid </w:t>
      </w:r>
      <w:r w:rsidR="009304B1" w:rsidRPr="008A0E45">
        <w:rPr>
          <w:rFonts w:eastAsiaTheme="minorHAnsi"/>
          <w:color w:val="000000"/>
          <w:sz w:val="22"/>
          <w:szCs w:val="22"/>
        </w:rPr>
        <w:t>having to place</w:t>
      </w:r>
      <w:r w:rsidRPr="008A0E45">
        <w:rPr>
          <w:rFonts w:eastAsiaTheme="minorHAnsi"/>
          <w:color w:val="000000"/>
          <w:sz w:val="22"/>
          <w:szCs w:val="22"/>
        </w:rPr>
        <w:t xml:space="preserve"> ineffective te</w:t>
      </w:r>
      <w:r w:rsidR="009304B1" w:rsidRPr="008A0E45">
        <w:rPr>
          <w:rFonts w:eastAsiaTheme="minorHAnsi"/>
          <w:color w:val="000000"/>
          <w:sz w:val="22"/>
          <w:szCs w:val="22"/>
        </w:rPr>
        <w:t>aches or leaders in</w:t>
      </w:r>
      <w:r w:rsidR="00EC20D2" w:rsidRPr="008A0E45">
        <w:rPr>
          <w:rFonts w:eastAsiaTheme="minorHAnsi"/>
          <w:color w:val="000000"/>
          <w:sz w:val="22"/>
          <w:szCs w:val="22"/>
        </w:rPr>
        <w:t xml:space="preserve"> </w:t>
      </w:r>
      <w:r w:rsidR="001E33BA" w:rsidRPr="008A0E45">
        <w:rPr>
          <w:rFonts w:eastAsiaTheme="minorHAnsi"/>
          <w:color w:val="000000"/>
          <w:sz w:val="22"/>
          <w:szCs w:val="22"/>
        </w:rPr>
        <w:t xml:space="preserve">Level 4 </w:t>
      </w:r>
      <w:r w:rsidR="009304B1" w:rsidRPr="008A0E45">
        <w:rPr>
          <w:rFonts w:eastAsiaTheme="minorHAnsi"/>
          <w:color w:val="000000"/>
          <w:sz w:val="22"/>
          <w:szCs w:val="22"/>
        </w:rPr>
        <w:t>schools.</w:t>
      </w:r>
    </w:p>
    <w:p w:rsidR="008A0E45" w:rsidRPr="008A0E45" w:rsidRDefault="00EC20D2" w:rsidP="00145FF0">
      <w:pPr>
        <w:pStyle w:val="ListParagraph"/>
        <w:numPr>
          <w:ilvl w:val="0"/>
          <w:numId w:val="16"/>
        </w:numPr>
        <w:spacing w:before="60" w:after="60" w:line="288" w:lineRule="auto"/>
        <w:rPr>
          <w:b/>
          <w:color w:val="222222"/>
          <w:sz w:val="22"/>
          <w:szCs w:val="22"/>
          <w:lang w:eastAsia="ja-JP"/>
        </w:rPr>
      </w:pPr>
      <w:r w:rsidRPr="008A0E45">
        <w:rPr>
          <w:rFonts w:eastAsiaTheme="minorHAnsi"/>
          <w:color w:val="000000"/>
          <w:sz w:val="22"/>
          <w:szCs w:val="22"/>
        </w:rPr>
        <w:t>Waiving</w:t>
      </w:r>
      <w:r w:rsidR="009177F2" w:rsidRPr="008A0E45">
        <w:rPr>
          <w:rFonts w:eastAsiaTheme="minorHAnsi"/>
          <w:color w:val="000000"/>
          <w:sz w:val="22"/>
          <w:szCs w:val="22"/>
        </w:rPr>
        <w:t xml:space="preserve"> district assessment requirements if </w:t>
      </w:r>
      <w:r w:rsidR="009304B1" w:rsidRPr="008A0E45">
        <w:rPr>
          <w:rFonts w:eastAsiaTheme="minorHAnsi"/>
          <w:color w:val="000000"/>
          <w:sz w:val="22"/>
          <w:szCs w:val="22"/>
        </w:rPr>
        <w:t xml:space="preserve">a </w:t>
      </w:r>
      <w:r w:rsidR="009177F2" w:rsidRPr="008A0E45">
        <w:rPr>
          <w:rFonts w:eastAsiaTheme="minorHAnsi"/>
          <w:color w:val="000000"/>
          <w:sz w:val="22"/>
          <w:szCs w:val="22"/>
        </w:rPr>
        <w:t>school is already administering effective benchmark and predictive assessments to avoid devoting precious instructional time to redundant assessments</w:t>
      </w:r>
      <w:r w:rsidRPr="008A0E45">
        <w:rPr>
          <w:rFonts w:eastAsiaTheme="minorHAnsi"/>
          <w:color w:val="000000"/>
          <w:sz w:val="22"/>
          <w:szCs w:val="22"/>
        </w:rPr>
        <w:t>.</w:t>
      </w:r>
    </w:p>
    <w:p w:rsidR="008A0E45" w:rsidRDefault="008A0E45" w:rsidP="008A0E45">
      <w:pPr>
        <w:spacing w:before="60" w:after="60" w:line="288" w:lineRule="auto"/>
        <w:ind w:left="360"/>
        <w:rPr>
          <w:b/>
          <w:color w:val="222222"/>
          <w:sz w:val="22"/>
          <w:szCs w:val="22"/>
          <w:lang w:eastAsia="ja-JP"/>
        </w:rPr>
      </w:pPr>
    </w:p>
    <w:p w:rsidR="00682E26" w:rsidRPr="008A0E45" w:rsidRDefault="00682E26" w:rsidP="00682E26">
      <w:pPr>
        <w:spacing w:before="60" w:after="60" w:line="288" w:lineRule="auto"/>
        <w:rPr>
          <w:b/>
          <w:color w:val="222222"/>
          <w:sz w:val="22"/>
          <w:szCs w:val="22"/>
          <w:lang w:eastAsia="ja-JP"/>
        </w:rPr>
        <w:sectPr w:rsidR="00682E26" w:rsidRPr="008A0E45" w:rsidSect="00DF5EA4">
          <w:type w:val="continuous"/>
          <w:pgSz w:w="12240" w:h="15840"/>
          <w:pgMar w:top="1440" w:right="1152" w:bottom="1152" w:left="1152" w:header="720" w:footer="720" w:gutter="0"/>
          <w:cols w:space="720"/>
        </w:sectPr>
      </w:pPr>
    </w:p>
    <w:p w:rsidR="009177F2" w:rsidRPr="008A0E45" w:rsidRDefault="009177F2" w:rsidP="00145FF0">
      <w:pPr>
        <w:pStyle w:val="ListParagraph"/>
        <w:numPr>
          <w:ilvl w:val="0"/>
          <w:numId w:val="9"/>
        </w:numPr>
        <w:spacing w:before="60" w:after="60" w:line="288" w:lineRule="auto"/>
        <w:ind w:left="360"/>
        <w:rPr>
          <w:b/>
          <w:color w:val="222222"/>
          <w:sz w:val="22"/>
          <w:szCs w:val="22"/>
          <w:lang w:eastAsia="ja-JP"/>
        </w:rPr>
      </w:pPr>
      <w:r w:rsidRPr="008A0E45">
        <w:rPr>
          <w:b/>
          <w:color w:val="222222"/>
          <w:sz w:val="22"/>
          <w:szCs w:val="22"/>
          <w:lang w:eastAsia="ja-JP"/>
        </w:rPr>
        <w:lastRenderedPageBreak/>
        <w:t>The District invests in providing a coherent curriculum that aligns with standards and related training</w:t>
      </w:r>
      <w:r w:rsidR="001E33BA" w:rsidRPr="008A0E45">
        <w:rPr>
          <w:b/>
          <w:color w:val="222222"/>
          <w:sz w:val="22"/>
          <w:szCs w:val="22"/>
          <w:lang w:eastAsia="ja-JP"/>
        </w:rPr>
        <w:t xml:space="preserve"> </w:t>
      </w:r>
      <w:r w:rsidR="001E33BA" w:rsidRPr="008A0E45">
        <w:rPr>
          <w:color w:val="222222"/>
          <w:sz w:val="22"/>
          <w:szCs w:val="22"/>
          <w:lang w:eastAsia="ja-JP"/>
        </w:rPr>
        <w:t xml:space="preserve">by </w:t>
      </w:r>
      <w:r w:rsidR="001E33BA" w:rsidRPr="008A0E45">
        <w:rPr>
          <w:i/>
          <w:color w:val="222222"/>
          <w:sz w:val="22"/>
          <w:szCs w:val="22"/>
          <w:lang w:eastAsia="ja-JP"/>
        </w:rPr>
        <w:t>establishing curriculum and curriculum maps</w:t>
      </w:r>
      <w:r w:rsidR="001E33BA" w:rsidRPr="008A0E45">
        <w:rPr>
          <w:color w:val="222222"/>
          <w:sz w:val="22"/>
          <w:szCs w:val="22"/>
          <w:lang w:eastAsia="ja-JP"/>
        </w:rPr>
        <w:t xml:space="preserve"> and </w:t>
      </w:r>
      <w:r w:rsidR="001E33BA" w:rsidRPr="008A0E45">
        <w:rPr>
          <w:i/>
          <w:color w:val="222222"/>
          <w:sz w:val="22"/>
          <w:szCs w:val="22"/>
          <w:lang w:eastAsia="ja-JP"/>
        </w:rPr>
        <w:t>offering training to support implementation of core curriculum.</w:t>
      </w:r>
    </w:p>
    <w:p w:rsidR="001E33BA" w:rsidRPr="001E33BA" w:rsidRDefault="0011041D" w:rsidP="008A0E45">
      <w:pPr>
        <w:spacing w:before="60" w:after="60" w:line="288" w:lineRule="auto"/>
        <w:ind w:firstLine="360"/>
        <w:rPr>
          <w:sz w:val="22"/>
          <w:szCs w:val="22"/>
          <w:lang w:eastAsia="ja-JP"/>
        </w:rPr>
      </w:pPr>
      <w:r w:rsidRPr="0011041D">
        <w:rPr>
          <w:noProof/>
          <w:color w:val="222222"/>
          <w:sz w:val="22"/>
          <w:szCs w:val="22"/>
        </w:rPr>
        <w:pict>
          <v:shape id="Text Box 29" o:spid="_x0000_s1045" type="#_x0000_t202" style="position:absolute;left:0;text-align:left;margin-left:252.45pt;margin-top:-.35pt;width:252pt;height:13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" fillcolor="white [3201]" strokecolor="#c0504d [3205]" strokeweight=".25pt">
            <v:path arrowok="t"/>
            <v:textbox>
              <w:txbxContent>
                <w:p w:rsidR="0090743D" w:rsidRPr="0011399E" w:rsidRDefault="0090743D" w:rsidP="0011399E">
                  <w:pPr>
                    <w:spacing w:before="80" w:after="80" w:line="288" w:lineRule="auto"/>
                    <w:rPr>
                      <w:sz w:val="22"/>
                    </w:rPr>
                  </w:pPr>
                  <w:r w:rsidRPr="0011399E">
                    <w:rPr>
                      <w:i/>
                      <w:sz w:val="20"/>
                      <w:szCs w:val="22"/>
                    </w:rPr>
                    <w:t xml:space="preserve">“The district’s adoption of Reading Street as a core reading program helped align curriculum for ELA.  The reading program provides staff with consistent training and follow-up support. It is noted in our redesign plan that over 50% of our students are not meeting math and ELA targets. Recognizing there is a need to strengthen our core instruction in ELA and math for all subgroups, coaches provide teachers with training on how to use Reading Street for small group and individual instruction.”  </w:t>
                  </w:r>
                </w:p>
              </w:txbxContent>
            </v:textbox>
            <w10:wrap type="square"/>
          </v:shape>
        </w:pict>
      </w:r>
      <w:r w:rsidR="001E33BA">
        <w:rPr>
          <w:rFonts w:eastAsiaTheme="minorHAnsi"/>
          <w:color w:val="000000"/>
          <w:sz w:val="22"/>
          <w:szCs w:val="22"/>
        </w:rPr>
        <w:t>Examples include:</w:t>
      </w:r>
    </w:p>
    <w:p w:rsidR="009177F2" w:rsidRPr="0021492E" w:rsidRDefault="001E33BA" w:rsidP="00145FF0">
      <w:pPr>
        <w:pStyle w:val="ListParagraph"/>
        <w:numPr>
          <w:ilvl w:val="1"/>
          <w:numId w:val="21"/>
        </w:numPr>
        <w:spacing w:before="60" w:after="60" w:line="288" w:lineRule="auto"/>
        <w:contextualSpacing w:val="0"/>
        <w:rPr>
          <w:color w:val="222222"/>
          <w:sz w:val="22"/>
          <w:szCs w:val="22"/>
          <w:lang w:eastAsia="ja-JP"/>
        </w:rPr>
      </w:pPr>
      <w:r>
        <w:rPr>
          <w:color w:val="222222"/>
          <w:sz w:val="22"/>
          <w:szCs w:val="22"/>
          <w:lang w:eastAsia="ja-JP"/>
        </w:rPr>
        <w:t>Providing</w:t>
      </w:r>
      <w:r w:rsidR="009177F2" w:rsidRPr="0021492E">
        <w:rPr>
          <w:color w:val="222222"/>
          <w:sz w:val="22"/>
          <w:szCs w:val="22"/>
          <w:lang w:eastAsia="ja-JP"/>
        </w:rPr>
        <w:t xml:space="preserve"> coherent curriculum and requisite curriculum maps that serve as a foundation for turnaround efforts that rely on progress monitoring, </w:t>
      </w:r>
      <w:r w:rsidR="001964C5">
        <w:rPr>
          <w:color w:val="222222"/>
          <w:sz w:val="22"/>
          <w:szCs w:val="22"/>
          <w:lang w:eastAsia="ja-JP"/>
        </w:rPr>
        <w:t>focused interventions</w:t>
      </w:r>
      <w:r w:rsidR="009422C5">
        <w:rPr>
          <w:color w:val="222222"/>
          <w:sz w:val="22"/>
          <w:szCs w:val="22"/>
          <w:lang w:eastAsia="ja-JP"/>
        </w:rPr>
        <w:t xml:space="preserve"> and data informed decision-making</w:t>
      </w:r>
      <w:r w:rsidR="009177F2" w:rsidRPr="0021492E">
        <w:rPr>
          <w:color w:val="222222"/>
          <w:sz w:val="22"/>
          <w:szCs w:val="22"/>
          <w:lang w:eastAsia="ja-JP"/>
        </w:rPr>
        <w:t>.</w:t>
      </w:r>
    </w:p>
    <w:p w:rsidR="009177F2" w:rsidRPr="0011399E" w:rsidRDefault="001E33BA" w:rsidP="00145FF0">
      <w:pPr>
        <w:pStyle w:val="ListParagraph"/>
        <w:numPr>
          <w:ilvl w:val="1"/>
          <w:numId w:val="21"/>
        </w:numPr>
        <w:spacing w:before="60" w:after="60" w:line="288" w:lineRule="auto"/>
        <w:contextualSpacing w:val="0"/>
        <w:rPr>
          <w:color w:val="222222"/>
          <w:sz w:val="22"/>
          <w:szCs w:val="22"/>
          <w:lang w:eastAsia="ja-JP"/>
        </w:rPr>
      </w:pPr>
      <w:r>
        <w:rPr>
          <w:color w:val="222222"/>
          <w:sz w:val="22"/>
          <w:szCs w:val="22"/>
          <w:lang w:eastAsia="ja-JP"/>
        </w:rPr>
        <w:t>Introducing</w:t>
      </w:r>
      <w:r w:rsidR="009177F2" w:rsidRPr="0021492E">
        <w:rPr>
          <w:color w:val="222222"/>
          <w:sz w:val="22"/>
          <w:szCs w:val="22"/>
          <w:lang w:eastAsia="ja-JP"/>
        </w:rPr>
        <w:t xml:space="preserve"> effective packaged programs that support the curriculum and </w:t>
      </w:r>
      <w:r w:rsidR="0011399E">
        <w:rPr>
          <w:color w:val="222222"/>
          <w:sz w:val="22"/>
          <w:szCs w:val="22"/>
          <w:lang w:eastAsia="ja-JP"/>
        </w:rPr>
        <w:t xml:space="preserve">address </w:t>
      </w:r>
      <w:r w:rsidR="009177F2" w:rsidRPr="0021492E">
        <w:rPr>
          <w:color w:val="222222"/>
          <w:sz w:val="22"/>
          <w:szCs w:val="22"/>
          <w:lang w:eastAsia="ja-JP"/>
        </w:rPr>
        <w:t xml:space="preserve">specific school-level </w:t>
      </w:r>
      <w:r w:rsidR="0011399E">
        <w:rPr>
          <w:color w:val="222222"/>
          <w:sz w:val="22"/>
          <w:szCs w:val="22"/>
          <w:lang w:eastAsia="ja-JP"/>
        </w:rPr>
        <w:t>needs.</w:t>
      </w:r>
      <w:r w:rsidR="009177F2" w:rsidRPr="0021492E">
        <w:rPr>
          <w:color w:val="222222"/>
          <w:sz w:val="22"/>
          <w:szCs w:val="22"/>
          <w:lang w:eastAsia="ja-JP"/>
        </w:rPr>
        <w:t xml:space="preserve"> </w:t>
      </w:r>
    </w:p>
    <w:p w:rsidR="009177F2" w:rsidRPr="0021492E" w:rsidRDefault="009177F2" w:rsidP="009177F2">
      <w:pPr>
        <w:spacing w:line="288" w:lineRule="auto"/>
        <w:rPr>
          <w:b/>
          <w:i/>
          <w:color w:val="222222"/>
          <w:sz w:val="22"/>
          <w:szCs w:val="22"/>
          <w:lang w:eastAsia="ja-JP"/>
        </w:rPr>
      </w:pPr>
    </w:p>
    <w:p w:rsidR="001E33BA" w:rsidRPr="00696C03" w:rsidRDefault="0011041D" w:rsidP="00145FF0">
      <w:pPr>
        <w:pStyle w:val="ListParagraph"/>
        <w:numPr>
          <w:ilvl w:val="0"/>
          <w:numId w:val="9"/>
        </w:numPr>
        <w:spacing w:line="288" w:lineRule="auto"/>
        <w:ind w:left="360"/>
        <w:rPr>
          <w:b/>
          <w:color w:val="222222"/>
          <w:sz w:val="22"/>
          <w:szCs w:val="22"/>
          <w:lang w:eastAsia="ja-JP"/>
        </w:rPr>
      </w:pPr>
      <w:r w:rsidRPr="0011041D">
        <w:rPr>
          <w:i/>
          <w:noProof/>
          <w:sz w:val="22"/>
          <w:szCs w:val="22"/>
        </w:rPr>
        <w:pict>
          <v:shape id="Text Box 28" o:spid="_x0000_s1046" type="#_x0000_t202" style="position:absolute;left:0;text-align:left;margin-left:252.45pt;margin-top:42.9pt;width:252pt;height:134.2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" fillcolor="white [3201]" strokecolor="#c0504d [3205]" strokeweight=".25pt">
            <v:path arrowok="t"/>
            <v:textbox>
              <w:txbxContent>
                <w:p w:rsidR="0090743D" w:rsidRPr="0011399E" w:rsidRDefault="0090743D" w:rsidP="00214A4A">
                  <w:pPr>
                    <w:pStyle w:val="ListParagraph"/>
                    <w:spacing w:line="288" w:lineRule="auto"/>
                    <w:ind w:left="0" w:right="-18"/>
                    <w:rPr>
                      <w:i/>
                      <w:sz w:val="20"/>
                      <w:szCs w:val="22"/>
                    </w:rPr>
                  </w:pPr>
                  <w:r w:rsidRPr="0011399E">
                    <w:rPr>
                      <w:i/>
                      <w:sz w:val="20"/>
                      <w:szCs w:val="22"/>
                    </w:rPr>
                    <w:t xml:space="preserve">“The data compiled by the teams conducting the walkthroughs are shared with the principal and instructional coaches. They then use the data to direct the focus of professional development sessions and provide general feedback to teachers. </w:t>
                  </w:r>
                  <w:r>
                    <w:rPr>
                      <w:i/>
                      <w:sz w:val="20"/>
                      <w:szCs w:val="22"/>
                    </w:rPr>
                    <w:t>…</w:t>
                  </w:r>
                  <w:r w:rsidRPr="0011399E">
                    <w:rPr>
                      <w:i/>
                      <w:sz w:val="20"/>
                      <w:szCs w:val="22"/>
                    </w:rPr>
                    <w:t xml:space="preserve"> The item-by-item analysis provided by the district gives valuable information about the types of questions students are missing, and the results are used to direct the focus of instructional coaches as they work with teachers.” </w:t>
                  </w:r>
                </w:p>
                <w:p w:rsidR="0090743D" w:rsidRDefault="0090743D" w:rsidP="00214A4A"/>
              </w:txbxContent>
            </v:textbox>
            <w10:wrap type="square"/>
          </v:shape>
        </w:pict>
      </w:r>
      <w:r w:rsidR="009177F2" w:rsidRPr="006F7E45">
        <w:rPr>
          <w:b/>
          <w:color w:val="222222"/>
          <w:sz w:val="22"/>
          <w:szCs w:val="22"/>
          <w:lang w:eastAsia="ja-JP"/>
        </w:rPr>
        <w:t>The District supports meaningful assessments and da</w:t>
      </w:r>
      <w:r w:rsidR="001E33BA" w:rsidRPr="006F7E45">
        <w:rPr>
          <w:b/>
          <w:color w:val="222222"/>
          <w:sz w:val="22"/>
          <w:szCs w:val="22"/>
          <w:lang w:eastAsia="ja-JP"/>
        </w:rPr>
        <w:t xml:space="preserve">ta analysis to inform instructional decision making, </w:t>
      </w:r>
      <w:r w:rsidR="001E33BA" w:rsidRPr="006F7E45">
        <w:rPr>
          <w:color w:val="222222"/>
          <w:sz w:val="22"/>
          <w:szCs w:val="22"/>
          <w:lang w:eastAsia="ja-JP"/>
        </w:rPr>
        <w:t>by</w:t>
      </w:r>
      <w:r w:rsidR="001E33BA" w:rsidRPr="006F7E45">
        <w:rPr>
          <w:i/>
          <w:color w:val="222222"/>
          <w:sz w:val="22"/>
          <w:szCs w:val="22"/>
          <w:lang w:eastAsia="ja-JP"/>
        </w:rPr>
        <w:t xml:space="preserve"> providing training on data use and supporting</w:t>
      </w:r>
      <w:r w:rsidR="0011399E">
        <w:rPr>
          <w:i/>
          <w:color w:val="222222"/>
          <w:sz w:val="22"/>
          <w:szCs w:val="22"/>
          <w:lang w:eastAsia="ja-JP"/>
        </w:rPr>
        <w:t xml:space="preserve"> school- and classroom-</w:t>
      </w:r>
      <w:r w:rsidR="001E33BA" w:rsidRPr="006F7E45">
        <w:rPr>
          <w:i/>
          <w:color w:val="222222"/>
          <w:sz w:val="22"/>
          <w:szCs w:val="22"/>
          <w:lang w:eastAsia="ja-JP"/>
        </w:rPr>
        <w:t>walkthroughs focused on effective instructional practices</w:t>
      </w:r>
      <w:r w:rsidR="001E33BA" w:rsidRPr="00696C03">
        <w:rPr>
          <w:color w:val="222222"/>
          <w:sz w:val="22"/>
          <w:szCs w:val="22"/>
          <w:lang w:eastAsia="ja-JP"/>
        </w:rPr>
        <w:t>.</w:t>
      </w:r>
      <w:r w:rsidR="001E33BA" w:rsidRPr="00696C03">
        <w:rPr>
          <w:b/>
          <w:color w:val="222222"/>
          <w:sz w:val="22"/>
          <w:szCs w:val="22"/>
          <w:lang w:eastAsia="ja-JP"/>
        </w:rPr>
        <w:t xml:space="preserve"> </w:t>
      </w:r>
    </w:p>
    <w:p w:rsidR="001E33BA" w:rsidRPr="001E33BA" w:rsidRDefault="001E33BA" w:rsidP="008A0E45">
      <w:pPr>
        <w:spacing w:before="60" w:after="60" w:line="288" w:lineRule="auto"/>
        <w:ind w:firstLine="360"/>
        <w:rPr>
          <w:sz w:val="22"/>
          <w:szCs w:val="22"/>
          <w:lang w:eastAsia="ja-JP"/>
        </w:rPr>
      </w:pPr>
      <w:r>
        <w:rPr>
          <w:rFonts w:eastAsiaTheme="minorHAnsi"/>
          <w:color w:val="000000"/>
          <w:sz w:val="22"/>
          <w:szCs w:val="22"/>
        </w:rPr>
        <w:t>Examples include:</w:t>
      </w:r>
    </w:p>
    <w:p w:rsidR="009177F2" w:rsidRPr="0021492E" w:rsidRDefault="001E33BA" w:rsidP="00145FF0">
      <w:pPr>
        <w:pStyle w:val="ListParagraph"/>
        <w:numPr>
          <w:ilvl w:val="0"/>
          <w:numId w:val="22"/>
        </w:numPr>
        <w:spacing w:before="60" w:after="60" w:line="288" w:lineRule="auto"/>
        <w:contextualSpacing w:val="0"/>
        <w:rPr>
          <w:rFonts w:eastAsiaTheme="minorHAnsi"/>
          <w:color w:val="000000"/>
          <w:sz w:val="22"/>
          <w:szCs w:val="22"/>
        </w:rPr>
      </w:pPr>
      <w:r>
        <w:rPr>
          <w:rFonts w:eastAsiaTheme="minorHAnsi"/>
          <w:color w:val="000000"/>
          <w:sz w:val="22"/>
          <w:szCs w:val="22"/>
        </w:rPr>
        <w:t>Providing</w:t>
      </w:r>
      <w:r w:rsidR="009177F2" w:rsidRPr="0021492E">
        <w:rPr>
          <w:rFonts w:eastAsiaTheme="minorHAnsi"/>
          <w:color w:val="000000"/>
          <w:sz w:val="22"/>
          <w:szCs w:val="22"/>
        </w:rPr>
        <w:t xml:space="preserve"> training </w:t>
      </w:r>
      <w:r>
        <w:rPr>
          <w:rFonts w:eastAsiaTheme="minorHAnsi"/>
          <w:color w:val="000000"/>
          <w:sz w:val="22"/>
          <w:szCs w:val="22"/>
        </w:rPr>
        <w:t>around and supporting the</w:t>
      </w:r>
      <w:r w:rsidR="009177F2" w:rsidRPr="0021492E">
        <w:rPr>
          <w:rFonts w:eastAsiaTheme="minorHAnsi"/>
          <w:color w:val="000000"/>
          <w:sz w:val="22"/>
          <w:szCs w:val="22"/>
        </w:rPr>
        <w:t xml:space="preserve"> effective implementation of data analysis to inform</w:t>
      </w:r>
      <w:r>
        <w:rPr>
          <w:rFonts w:eastAsiaTheme="minorHAnsi"/>
          <w:color w:val="000000"/>
          <w:sz w:val="22"/>
          <w:szCs w:val="22"/>
        </w:rPr>
        <w:t xml:space="preserve"> instructional decisions, through </w:t>
      </w:r>
      <w:r w:rsidR="009177F2" w:rsidRPr="0021492E">
        <w:rPr>
          <w:rFonts w:eastAsiaTheme="minorHAnsi"/>
          <w:color w:val="000000"/>
          <w:sz w:val="22"/>
          <w:szCs w:val="22"/>
        </w:rPr>
        <w:t>professional development, attend</w:t>
      </w:r>
      <w:r>
        <w:rPr>
          <w:rFonts w:eastAsiaTheme="minorHAnsi"/>
          <w:color w:val="000000"/>
          <w:sz w:val="22"/>
          <w:szCs w:val="22"/>
        </w:rPr>
        <w:t>ing</w:t>
      </w:r>
      <w:r w:rsidR="009177F2" w:rsidRPr="0021492E">
        <w:rPr>
          <w:rFonts w:eastAsiaTheme="minorHAnsi"/>
          <w:color w:val="000000"/>
          <w:sz w:val="22"/>
          <w:szCs w:val="22"/>
        </w:rPr>
        <w:t xml:space="preserve"> data team meetings, and track</w:t>
      </w:r>
      <w:r>
        <w:rPr>
          <w:rFonts w:eastAsiaTheme="minorHAnsi"/>
          <w:color w:val="000000"/>
          <w:sz w:val="22"/>
          <w:szCs w:val="22"/>
        </w:rPr>
        <w:t xml:space="preserve">ing student data to monitor the effectiveness of interventions. </w:t>
      </w:r>
      <w:r w:rsidR="009177F2" w:rsidRPr="0021492E">
        <w:rPr>
          <w:rFonts w:eastAsiaTheme="minorHAnsi"/>
          <w:color w:val="000000"/>
          <w:sz w:val="22"/>
          <w:szCs w:val="22"/>
        </w:rPr>
        <w:t xml:space="preserve"> </w:t>
      </w:r>
    </w:p>
    <w:p w:rsidR="009177F2" w:rsidRPr="00A13CED" w:rsidRDefault="009177F2" w:rsidP="00145FF0">
      <w:pPr>
        <w:pStyle w:val="ListParagraph"/>
        <w:numPr>
          <w:ilvl w:val="0"/>
          <w:numId w:val="22"/>
        </w:numPr>
        <w:spacing w:before="60" w:after="60" w:line="288" w:lineRule="auto"/>
        <w:contextualSpacing w:val="0"/>
        <w:rPr>
          <w:rFonts w:eastAsiaTheme="minorHAnsi"/>
          <w:color w:val="000000"/>
          <w:sz w:val="22"/>
          <w:szCs w:val="22"/>
        </w:rPr>
      </w:pPr>
      <w:r w:rsidRPr="0021492E">
        <w:rPr>
          <w:color w:val="000000"/>
          <w:sz w:val="22"/>
          <w:szCs w:val="22"/>
        </w:rPr>
        <w:t>Conduct</w:t>
      </w:r>
      <w:r w:rsidR="001E33BA">
        <w:rPr>
          <w:color w:val="000000"/>
          <w:sz w:val="22"/>
          <w:szCs w:val="22"/>
        </w:rPr>
        <w:t>ing</w:t>
      </w:r>
      <w:r w:rsidRPr="0021492E">
        <w:rPr>
          <w:color w:val="000000"/>
          <w:sz w:val="22"/>
          <w:szCs w:val="22"/>
        </w:rPr>
        <w:t xml:space="preserve"> instructional leadership te</w:t>
      </w:r>
      <w:r>
        <w:rPr>
          <w:color w:val="000000"/>
          <w:sz w:val="22"/>
          <w:szCs w:val="22"/>
        </w:rPr>
        <w:t>am walkthroughs and f</w:t>
      </w:r>
      <w:r w:rsidR="001E33BA">
        <w:rPr>
          <w:color w:val="000000"/>
          <w:sz w:val="22"/>
          <w:szCs w:val="22"/>
        </w:rPr>
        <w:t>acilitating</w:t>
      </w:r>
      <w:r w:rsidRPr="00A13CED">
        <w:rPr>
          <w:color w:val="000000"/>
          <w:sz w:val="22"/>
          <w:szCs w:val="22"/>
        </w:rPr>
        <w:t xml:space="preserve"> meetings and discussions based on walkthroughs focused on effective instructional practices.</w:t>
      </w:r>
    </w:p>
    <w:p w:rsidR="009177F2" w:rsidRPr="0011399E" w:rsidRDefault="009177F2" w:rsidP="0011399E">
      <w:pPr>
        <w:spacing w:line="288" w:lineRule="auto"/>
        <w:rPr>
          <w:color w:val="222222"/>
          <w:sz w:val="22"/>
          <w:szCs w:val="22"/>
          <w:lang w:eastAsia="ja-JP"/>
        </w:rPr>
      </w:pPr>
    </w:p>
    <w:p w:rsidR="00214A4A" w:rsidRPr="008A0E45" w:rsidRDefault="009177F2" w:rsidP="00145FF0">
      <w:pPr>
        <w:pStyle w:val="ListParagraph"/>
        <w:numPr>
          <w:ilvl w:val="0"/>
          <w:numId w:val="9"/>
        </w:numPr>
        <w:spacing w:line="288" w:lineRule="auto"/>
        <w:ind w:left="360"/>
        <w:rPr>
          <w:b/>
          <w:color w:val="222222"/>
          <w:sz w:val="22"/>
          <w:szCs w:val="22"/>
          <w:lang w:eastAsia="ja-JP"/>
        </w:rPr>
      </w:pPr>
      <w:r w:rsidRPr="00214A4A">
        <w:rPr>
          <w:b/>
          <w:color w:val="222222"/>
          <w:sz w:val="22"/>
          <w:szCs w:val="22"/>
          <w:lang w:eastAsia="ja-JP"/>
        </w:rPr>
        <w:t>The District supports effective integration of external partners/providers</w:t>
      </w:r>
      <w:r w:rsidR="00214A4A" w:rsidRPr="00214A4A">
        <w:rPr>
          <w:color w:val="222222"/>
          <w:sz w:val="22"/>
          <w:szCs w:val="22"/>
          <w:lang w:eastAsia="ja-JP"/>
        </w:rPr>
        <w:t xml:space="preserve"> by</w:t>
      </w:r>
      <w:r w:rsidR="00214A4A" w:rsidRPr="00214A4A">
        <w:rPr>
          <w:i/>
          <w:color w:val="222222"/>
          <w:sz w:val="22"/>
          <w:szCs w:val="22"/>
          <w:lang w:eastAsia="ja-JP"/>
        </w:rPr>
        <w:t xml:space="preserve"> helping schools with the selection and management of various providers with different areas of expertise and capacity.</w:t>
      </w:r>
    </w:p>
    <w:p w:rsidR="00214A4A" w:rsidRPr="00214A4A" w:rsidRDefault="00214A4A" w:rsidP="008A0E45">
      <w:pPr>
        <w:spacing w:before="60" w:after="60" w:line="288" w:lineRule="auto"/>
        <w:ind w:firstLine="360"/>
        <w:rPr>
          <w:sz w:val="22"/>
          <w:szCs w:val="22"/>
          <w:lang w:eastAsia="ja-JP"/>
        </w:rPr>
      </w:pPr>
      <w:r>
        <w:rPr>
          <w:rFonts w:eastAsiaTheme="minorHAnsi"/>
          <w:color w:val="000000"/>
          <w:sz w:val="22"/>
          <w:szCs w:val="22"/>
        </w:rPr>
        <w:t>Examples include:</w:t>
      </w:r>
    </w:p>
    <w:p w:rsidR="009177F2" w:rsidRPr="0021492E" w:rsidRDefault="0011041D" w:rsidP="00145FF0">
      <w:pPr>
        <w:pStyle w:val="ListParagraph"/>
        <w:numPr>
          <w:ilvl w:val="0"/>
          <w:numId w:val="23"/>
        </w:numPr>
        <w:spacing w:before="60" w:after="60" w:line="288" w:lineRule="auto"/>
        <w:contextualSpacing w:val="0"/>
        <w:rPr>
          <w:rFonts w:eastAsiaTheme="minorHAnsi"/>
          <w:sz w:val="22"/>
          <w:szCs w:val="22"/>
        </w:rPr>
      </w:pPr>
      <w:r w:rsidRPr="0011041D">
        <w:rPr>
          <w:i/>
          <w:noProof/>
          <w:sz w:val="22"/>
          <w:szCs w:val="22"/>
        </w:rPr>
        <w:pict>
          <v:shape id="Text Box 30" o:spid="_x0000_s1047" type="#_x0000_t202" style="position:absolute;left:0;text-align:left;margin-left:252.45pt;margin-top:.85pt;width:252pt;height:13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" fillcolor="white [3201]" strokecolor="#c0504d [3205]" strokeweight=".25pt">
            <v:path arrowok="t"/>
            <v:textbox>
              <w:txbxContent>
                <w:p w:rsidR="0090743D" w:rsidRPr="00214A4A" w:rsidRDefault="0090743D" w:rsidP="00214A4A">
                  <w:pPr>
                    <w:pStyle w:val="ListParagraph"/>
                    <w:spacing w:line="288" w:lineRule="auto"/>
                    <w:ind w:left="0"/>
                    <w:rPr>
                      <w:sz w:val="20"/>
                    </w:rPr>
                  </w:pPr>
                  <w:r w:rsidRPr="00214A4A">
                    <w:rPr>
                      <w:sz w:val="20"/>
                    </w:rPr>
                    <w:t>“</w:t>
                  </w:r>
                  <w:r w:rsidRPr="00214A4A">
                    <w:rPr>
                      <w:i/>
                      <w:sz w:val="20"/>
                    </w:rPr>
                    <w:t>The district has been instrumental in providing additional resources, most importantly in the form of human capital for the school’s turnaround efforts. Programs and partnerships such as the BURST curriculum, City Connects, City Year, district coaches, Research for Better Teaching and a VISTA Data</w:t>
                  </w:r>
                  <w:r>
                    <w:rPr>
                      <w:i/>
                      <w:sz w:val="20"/>
                    </w:rPr>
                    <w:t xml:space="preserve"> Coordinator, have increased</w:t>
                  </w:r>
                  <w:r w:rsidRPr="00214A4A">
                    <w:rPr>
                      <w:i/>
                      <w:sz w:val="20"/>
                    </w:rPr>
                    <w:t xml:space="preserve"> </w:t>
                  </w:r>
                  <w:r>
                    <w:rPr>
                      <w:i/>
                      <w:sz w:val="20"/>
                    </w:rPr>
                    <w:t>&lt;our school’</w:t>
                  </w:r>
                  <w:r w:rsidRPr="00214A4A">
                    <w:rPr>
                      <w:i/>
                      <w:sz w:val="20"/>
                    </w:rPr>
                    <w:t>s</w:t>
                  </w:r>
                  <w:r>
                    <w:rPr>
                      <w:i/>
                      <w:sz w:val="20"/>
                    </w:rPr>
                    <w:t>&gt;</w:t>
                  </w:r>
                  <w:r w:rsidRPr="00214A4A">
                    <w:rPr>
                      <w:i/>
                      <w:sz w:val="20"/>
                    </w:rPr>
                    <w:t xml:space="preserve"> capacity to make decisions based on data, provide compelling professional development and increase social-</w:t>
                  </w:r>
                  <w:r>
                    <w:rPr>
                      <w:i/>
                      <w:sz w:val="20"/>
                    </w:rPr>
                    <w:t>emotional supports for students.”</w:t>
                  </w:r>
                  <w:r w:rsidRPr="00214A4A">
                    <w:rPr>
                      <w:i/>
                      <w:sz w:val="20"/>
                    </w:rPr>
                    <w:t xml:space="preserve"> </w:t>
                  </w:r>
                </w:p>
                <w:p w:rsidR="0090743D" w:rsidRPr="00214A4A" w:rsidRDefault="0090743D" w:rsidP="00214A4A">
                  <w:pPr>
                    <w:rPr>
                      <w:sz w:val="20"/>
                    </w:rPr>
                  </w:pPr>
                </w:p>
              </w:txbxContent>
            </v:textbox>
            <w10:wrap type="square"/>
          </v:shape>
        </w:pict>
      </w:r>
      <w:r w:rsidR="009177F2" w:rsidRPr="0021492E">
        <w:rPr>
          <w:sz w:val="22"/>
          <w:szCs w:val="22"/>
        </w:rPr>
        <w:t>Select</w:t>
      </w:r>
      <w:r w:rsidR="00214A4A">
        <w:rPr>
          <w:sz w:val="22"/>
          <w:szCs w:val="22"/>
        </w:rPr>
        <w:t>ing</w:t>
      </w:r>
      <w:r w:rsidR="009177F2" w:rsidRPr="0021492E">
        <w:rPr>
          <w:sz w:val="22"/>
          <w:szCs w:val="22"/>
        </w:rPr>
        <w:t xml:space="preserve"> and </w:t>
      </w:r>
      <w:r w:rsidR="00214A4A">
        <w:rPr>
          <w:sz w:val="22"/>
          <w:szCs w:val="22"/>
        </w:rPr>
        <w:t xml:space="preserve">encouraging </w:t>
      </w:r>
      <w:r w:rsidR="009177F2" w:rsidRPr="0021492E">
        <w:rPr>
          <w:sz w:val="22"/>
          <w:szCs w:val="22"/>
        </w:rPr>
        <w:t>partnerships with established providers that build school capacity by introducing external expertise.</w:t>
      </w:r>
    </w:p>
    <w:p w:rsidR="009177F2" w:rsidRPr="00A13CED" w:rsidRDefault="00214A4A" w:rsidP="00145FF0">
      <w:pPr>
        <w:pStyle w:val="ListParagraph"/>
        <w:numPr>
          <w:ilvl w:val="0"/>
          <w:numId w:val="23"/>
        </w:numPr>
        <w:spacing w:before="60" w:after="60" w:line="288" w:lineRule="auto"/>
        <w:contextualSpacing w:val="0"/>
        <w:rPr>
          <w:rFonts w:eastAsiaTheme="minorHAnsi"/>
          <w:sz w:val="22"/>
          <w:szCs w:val="22"/>
        </w:rPr>
      </w:pPr>
      <w:r>
        <w:rPr>
          <w:rFonts w:eastAsiaTheme="minorHAnsi"/>
          <w:sz w:val="22"/>
          <w:szCs w:val="22"/>
        </w:rPr>
        <w:t>Managing</w:t>
      </w:r>
      <w:r w:rsidR="009177F2" w:rsidRPr="0021492E">
        <w:rPr>
          <w:rFonts w:eastAsiaTheme="minorHAnsi"/>
          <w:sz w:val="22"/>
          <w:szCs w:val="22"/>
        </w:rPr>
        <w:t xml:space="preserve"> key partnership in ways that further enhance </w:t>
      </w:r>
      <w:r w:rsidR="009177F2">
        <w:rPr>
          <w:rFonts w:eastAsiaTheme="minorHAnsi"/>
          <w:sz w:val="22"/>
          <w:szCs w:val="22"/>
        </w:rPr>
        <w:t xml:space="preserve">the focus and impact of external partners, such as </w:t>
      </w:r>
      <w:r w:rsidR="009177F2" w:rsidRPr="00A13CED">
        <w:rPr>
          <w:rFonts w:eastAsiaTheme="minorHAnsi"/>
          <w:sz w:val="22"/>
          <w:szCs w:val="22"/>
        </w:rPr>
        <w:t>monitor</w:t>
      </w:r>
      <w:r w:rsidR="009177F2">
        <w:rPr>
          <w:rFonts w:eastAsiaTheme="minorHAnsi"/>
          <w:sz w:val="22"/>
          <w:szCs w:val="22"/>
        </w:rPr>
        <w:t>ing th</w:t>
      </w:r>
      <w:r>
        <w:rPr>
          <w:rFonts w:eastAsiaTheme="minorHAnsi"/>
          <w:sz w:val="22"/>
          <w:szCs w:val="22"/>
        </w:rPr>
        <w:t xml:space="preserve">e work of external partners </w:t>
      </w:r>
      <w:r w:rsidR="009177F2">
        <w:rPr>
          <w:rFonts w:eastAsiaTheme="minorHAnsi"/>
          <w:sz w:val="22"/>
          <w:szCs w:val="22"/>
        </w:rPr>
        <w:t>and working</w:t>
      </w:r>
      <w:r w:rsidR="009177F2" w:rsidRPr="00A13CED">
        <w:rPr>
          <w:rFonts w:eastAsiaTheme="minorHAnsi"/>
          <w:sz w:val="22"/>
          <w:szCs w:val="22"/>
        </w:rPr>
        <w:t xml:space="preserve"> with external partners to </w:t>
      </w:r>
      <w:r w:rsidR="009177F2">
        <w:rPr>
          <w:rFonts w:eastAsiaTheme="minorHAnsi"/>
          <w:sz w:val="22"/>
          <w:szCs w:val="22"/>
        </w:rPr>
        <w:t xml:space="preserve">ensure </w:t>
      </w:r>
      <w:r w:rsidR="009177F2" w:rsidRPr="00A13CED">
        <w:rPr>
          <w:rFonts w:eastAsiaTheme="minorHAnsi"/>
          <w:sz w:val="22"/>
          <w:szCs w:val="22"/>
        </w:rPr>
        <w:t>align</w:t>
      </w:r>
      <w:r w:rsidR="009177F2">
        <w:rPr>
          <w:rFonts w:eastAsiaTheme="minorHAnsi"/>
          <w:sz w:val="22"/>
          <w:szCs w:val="22"/>
        </w:rPr>
        <w:t xml:space="preserve">ment </w:t>
      </w:r>
      <w:r>
        <w:rPr>
          <w:rFonts w:eastAsiaTheme="minorHAnsi"/>
          <w:sz w:val="22"/>
          <w:szCs w:val="22"/>
        </w:rPr>
        <w:t>of partner expertise and content with</w:t>
      </w:r>
      <w:r w:rsidR="009177F2">
        <w:rPr>
          <w:rFonts w:eastAsiaTheme="minorHAnsi"/>
          <w:sz w:val="22"/>
          <w:szCs w:val="22"/>
        </w:rPr>
        <w:t xml:space="preserve"> the district or school’s</w:t>
      </w:r>
      <w:r w:rsidR="009177F2" w:rsidRPr="00A13CED">
        <w:rPr>
          <w:rFonts w:eastAsiaTheme="minorHAnsi"/>
          <w:sz w:val="22"/>
          <w:szCs w:val="22"/>
        </w:rPr>
        <w:t xml:space="preserve"> articulated</w:t>
      </w:r>
      <w:r w:rsidR="009177F2">
        <w:rPr>
          <w:rFonts w:eastAsiaTheme="minorHAnsi"/>
          <w:sz w:val="22"/>
          <w:szCs w:val="22"/>
        </w:rPr>
        <w:t xml:space="preserve"> approach to turnaround. </w:t>
      </w:r>
    </w:p>
    <w:p w:rsidR="009177F2" w:rsidRPr="0021492E" w:rsidRDefault="009177F2" w:rsidP="009177F2">
      <w:pPr>
        <w:spacing w:line="288" w:lineRule="auto"/>
        <w:rPr>
          <w:b/>
          <w:sz w:val="22"/>
          <w:szCs w:val="22"/>
        </w:rPr>
      </w:pPr>
    </w:p>
    <w:p w:rsidR="009177F2" w:rsidRPr="00893170" w:rsidRDefault="009177F2" w:rsidP="00055AE9">
      <w:pPr>
        <w:spacing w:after="80" w:line="288" w:lineRule="auto"/>
        <w:rPr>
          <w:b/>
          <w:color w:val="365F91" w:themeColor="accent1" w:themeShade="BF"/>
          <w:sz w:val="22"/>
          <w:szCs w:val="22"/>
        </w:rPr>
      </w:pPr>
      <w:r w:rsidRPr="00893170">
        <w:rPr>
          <w:b/>
          <w:color w:val="365F91" w:themeColor="accent1" w:themeShade="BF"/>
          <w:sz w:val="22"/>
          <w:szCs w:val="22"/>
        </w:rPr>
        <w:lastRenderedPageBreak/>
        <w:t xml:space="preserve">District Actions Identified as Hindering Turnaround </w:t>
      </w:r>
      <w:r>
        <w:rPr>
          <w:b/>
          <w:color w:val="365F91" w:themeColor="accent1" w:themeShade="BF"/>
          <w:sz w:val="22"/>
          <w:szCs w:val="22"/>
        </w:rPr>
        <w:t>Efforts</w:t>
      </w:r>
    </w:p>
    <w:p w:rsidR="009177F2" w:rsidRPr="0021492E" w:rsidRDefault="009177F2" w:rsidP="009177F2">
      <w:pPr>
        <w:spacing w:line="288" w:lineRule="auto"/>
        <w:rPr>
          <w:sz w:val="22"/>
          <w:szCs w:val="22"/>
        </w:rPr>
      </w:pPr>
      <w:r w:rsidRPr="0021492E">
        <w:rPr>
          <w:sz w:val="22"/>
          <w:szCs w:val="22"/>
        </w:rPr>
        <w:t xml:space="preserve">Across </w:t>
      </w:r>
      <w:r w:rsidR="00055AE9">
        <w:rPr>
          <w:sz w:val="22"/>
          <w:szCs w:val="22"/>
        </w:rPr>
        <w:t>districts with Level 4</w:t>
      </w:r>
      <w:r w:rsidRPr="0021492E">
        <w:rPr>
          <w:sz w:val="22"/>
          <w:szCs w:val="22"/>
        </w:rPr>
        <w:t xml:space="preserve"> schools, four clusters of actions emerged as </w:t>
      </w:r>
      <w:r w:rsidRPr="00893170">
        <w:rPr>
          <w:b/>
          <w:sz w:val="22"/>
          <w:szCs w:val="22"/>
        </w:rPr>
        <w:t>barriers to change</w:t>
      </w:r>
      <w:r w:rsidRPr="0021492E">
        <w:rPr>
          <w:sz w:val="22"/>
          <w:szCs w:val="22"/>
        </w:rPr>
        <w:t xml:space="preserve">. While some of these </w:t>
      </w:r>
      <w:r w:rsidR="00682E26">
        <w:rPr>
          <w:sz w:val="22"/>
          <w:szCs w:val="22"/>
        </w:rPr>
        <w:t>were</w:t>
      </w:r>
      <w:r w:rsidRPr="0021492E">
        <w:rPr>
          <w:sz w:val="22"/>
          <w:szCs w:val="22"/>
        </w:rPr>
        <w:t xml:space="preserve"> the converse of actions that support change (e.g., control versus lack of control of hiring, adequate versus inade</w:t>
      </w:r>
      <w:r w:rsidR="00E754C2">
        <w:rPr>
          <w:sz w:val="22"/>
          <w:szCs w:val="22"/>
        </w:rPr>
        <w:t>quate investment in turnaround</w:t>
      </w:r>
      <w:r w:rsidR="00055AE9">
        <w:rPr>
          <w:sz w:val="22"/>
          <w:szCs w:val="22"/>
        </w:rPr>
        <w:t>)</w:t>
      </w:r>
      <w:r w:rsidR="00E754C2">
        <w:rPr>
          <w:sz w:val="22"/>
          <w:szCs w:val="22"/>
        </w:rPr>
        <w:t>,</w:t>
      </w:r>
      <w:r w:rsidRPr="0021492E">
        <w:rPr>
          <w:sz w:val="22"/>
          <w:szCs w:val="22"/>
        </w:rPr>
        <w:t xml:space="preserve"> others illustrated the extent to which effective district supports depends on the individuals hired to implement the supports.  </w:t>
      </w:r>
    </w:p>
    <w:p w:rsidR="009177F2" w:rsidRDefault="0011041D" w:rsidP="009177F2">
      <w:pPr>
        <w:spacing w:line="288" w:lineRule="auto"/>
        <w:rPr>
          <w:sz w:val="22"/>
          <w:szCs w:val="22"/>
        </w:rPr>
      </w:pPr>
      <w:r w:rsidRPr="0011041D">
        <w:rPr>
          <w:noProof/>
          <w:color w:val="222222"/>
        </w:rPr>
        <w:pict>
          <v:shape id="Text Box 31" o:spid="_x0000_s1048" type="#_x0000_t202" style="position:absolute;margin-left:216.45pt;margin-top:14.3pt;width:4in;height:221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" fillcolor="white [3201]" strokecolor="#c0504d [3205]" strokeweight=".25pt">
            <v:path arrowok="t"/>
            <v:textbox>
              <w:txbxContent>
                <w:p w:rsidR="0090743D" w:rsidRPr="00701157" w:rsidRDefault="0090743D" w:rsidP="00E60986">
                  <w:pPr>
                    <w:ind w:right="-22"/>
                    <w:rPr>
                      <w:i/>
                      <w:sz w:val="20"/>
                    </w:rPr>
                  </w:pPr>
                  <w:r w:rsidRPr="00701157">
                    <w:rPr>
                      <w:sz w:val="20"/>
                    </w:rPr>
                    <w:t>“</w:t>
                  </w:r>
                  <w:r w:rsidRPr="00701157">
                    <w:rPr>
                      <w:i/>
                      <w:sz w:val="20"/>
                    </w:rPr>
                    <w:t>The District is currently regarding all Level 4 schools as identical, whereas each Level 4 school is distinctively different. One size fits all solutions do not work. Communication, training for personnel, support, initiatives, guidance, and departmental interventions need to be differentiated and specifically tailored to meet the needs of each individual school. When making high-stakes intervention decisions, fairness requires that each school in need of improvement be judged on its own merits and not on the basis of the group with which it is identified.”</w:t>
                  </w:r>
                </w:p>
                <w:p w:rsidR="0090743D" w:rsidRPr="00701157" w:rsidRDefault="0090743D" w:rsidP="00E60986">
                  <w:pPr>
                    <w:rPr>
                      <w:sz w:val="20"/>
                    </w:rPr>
                  </w:pPr>
                </w:p>
                <w:p w:rsidR="0090743D" w:rsidRPr="00701157" w:rsidRDefault="0090743D" w:rsidP="00E60986">
                  <w:pPr>
                    <w:pStyle w:val="ListParagraph"/>
                    <w:tabs>
                      <w:tab w:val="left" w:pos="4590"/>
                    </w:tabs>
                    <w:ind w:left="0" w:right="68"/>
                    <w:contextualSpacing w:val="0"/>
                    <w:rPr>
                      <w:i/>
                      <w:color w:val="222222"/>
                      <w:sz w:val="20"/>
                      <w:lang w:eastAsia="ja-JP"/>
                    </w:rPr>
                  </w:pPr>
                  <w:r w:rsidRPr="00701157">
                    <w:rPr>
                      <w:i/>
                      <w:sz w:val="20"/>
                    </w:rPr>
                    <w:t xml:space="preserve">“While we understand the district-level need for consistent data, these duplicate assessment efforts add additional layers of work on the part of teachers and administrators and detract from students’ learning time through the administration of unnecessary tests.  Although some of the assessments are useful, there is little benefit from administering all of the district-mandated tests, including the Terra Nova, two predictive tests, a mid-year test, three sessions of DIBELS and TRC, and end-of-year assessments.”  </w:t>
                  </w:r>
                </w:p>
                <w:p w:rsidR="0090743D" w:rsidRPr="00701157" w:rsidRDefault="0090743D" w:rsidP="00701157">
                  <w:pPr>
                    <w:spacing w:before="80" w:after="80" w:line="288" w:lineRule="auto"/>
                    <w:rPr>
                      <w:sz w:val="20"/>
                    </w:rPr>
                  </w:pPr>
                </w:p>
              </w:txbxContent>
            </v:textbox>
            <w10:wrap type="square"/>
          </v:shape>
        </w:pict>
      </w:r>
    </w:p>
    <w:p w:rsidR="00701157" w:rsidRPr="00701157" w:rsidRDefault="001E33BA" w:rsidP="00145FF0">
      <w:pPr>
        <w:pStyle w:val="ListParagraph"/>
        <w:numPr>
          <w:ilvl w:val="0"/>
          <w:numId w:val="17"/>
        </w:numPr>
        <w:spacing w:line="288" w:lineRule="auto"/>
        <w:ind w:left="270" w:hanging="270"/>
        <w:rPr>
          <w:i/>
          <w:sz w:val="22"/>
          <w:szCs w:val="22"/>
        </w:rPr>
      </w:pPr>
      <w:r w:rsidRPr="00701157">
        <w:rPr>
          <w:sz w:val="22"/>
          <w:szCs w:val="22"/>
        </w:rPr>
        <w:t xml:space="preserve">The </w:t>
      </w:r>
      <w:r w:rsidRPr="00701157">
        <w:rPr>
          <w:b/>
          <w:sz w:val="22"/>
          <w:szCs w:val="22"/>
        </w:rPr>
        <w:t xml:space="preserve">lack of </w:t>
      </w:r>
      <w:r w:rsidR="00EE3CF9">
        <w:rPr>
          <w:b/>
          <w:sz w:val="22"/>
          <w:szCs w:val="22"/>
        </w:rPr>
        <w:t xml:space="preserve">school-level </w:t>
      </w:r>
      <w:r w:rsidRPr="00701157">
        <w:rPr>
          <w:b/>
          <w:sz w:val="22"/>
          <w:szCs w:val="22"/>
        </w:rPr>
        <w:t xml:space="preserve">autonomy or </w:t>
      </w:r>
      <w:r w:rsidR="00EE3CF9">
        <w:rPr>
          <w:b/>
          <w:sz w:val="22"/>
          <w:szCs w:val="22"/>
        </w:rPr>
        <w:t xml:space="preserve">the </w:t>
      </w:r>
      <w:r w:rsidRPr="00701157">
        <w:rPr>
          <w:b/>
          <w:sz w:val="22"/>
          <w:szCs w:val="22"/>
        </w:rPr>
        <w:t xml:space="preserve">differentiation of </w:t>
      </w:r>
      <w:r w:rsidR="00EE3CF9">
        <w:rPr>
          <w:b/>
          <w:sz w:val="22"/>
          <w:szCs w:val="22"/>
        </w:rPr>
        <w:t>district supports to schools</w:t>
      </w:r>
      <w:r w:rsidRPr="00701157">
        <w:rPr>
          <w:b/>
          <w:sz w:val="22"/>
          <w:szCs w:val="22"/>
        </w:rPr>
        <w:t xml:space="preserve"> </w:t>
      </w:r>
      <w:r w:rsidRPr="00701157">
        <w:rPr>
          <w:sz w:val="22"/>
          <w:szCs w:val="22"/>
        </w:rPr>
        <w:t xml:space="preserve">was repeatedly identified as a source of frustration by some schools, primarily because it requires schools to divert attention and resources from their specific priorities to district-wide priorities. </w:t>
      </w:r>
    </w:p>
    <w:p w:rsidR="00701157" w:rsidRPr="00701157" w:rsidRDefault="00701157" w:rsidP="00E60986">
      <w:pPr>
        <w:pStyle w:val="ListParagraph"/>
        <w:spacing w:line="288" w:lineRule="auto"/>
        <w:ind w:left="270" w:hanging="270"/>
        <w:rPr>
          <w:i/>
          <w:sz w:val="22"/>
          <w:szCs w:val="22"/>
        </w:rPr>
      </w:pPr>
    </w:p>
    <w:p w:rsidR="00DD59BE" w:rsidRPr="00DD59BE" w:rsidRDefault="00DD59BE" w:rsidP="00145FF0">
      <w:pPr>
        <w:pStyle w:val="ListParagraph"/>
        <w:numPr>
          <w:ilvl w:val="0"/>
          <w:numId w:val="17"/>
        </w:numPr>
        <w:spacing w:line="288" w:lineRule="auto"/>
        <w:ind w:left="270" w:hanging="270"/>
        <w:rPr>
          <w:i/>
          <w:sz w:val="22"/>
          <w:szCs w:val="22"/>
        </w:rPr>
      </w:pPr>
      <w:r>
        <w:rPr>
          <w:rFonts w:eastAsiaTheme="minorHAnsi"/>
          <w:b/>
          <w:color w:val="000000"/>
          <w:sz w:val="22"/>
          <w:szCs w:val="22"/>
        </w:rPr>
        <w:t xml:space="preserve">District </w:t>
      </w:r>
      <w:r w:rsidR="00812F83">
        <w:rPr>
          <w:rFonts w:eastAsiaTheme="minorHAnsi"/>
          <w:b/>
          <w:color w:val="000000"/>
          <w:sz w:val="22"/>
          <w:szCs w:val="22"/>
        </w:rPr>
        <w:t xml:space="preserve">directed </w:t>
      </w:r>
      <w:r>
        <w:rPr>
          <w:rFonts w:eastAsiaTheme="minorHAnsi"/>
          <w:b/>
          <w:color w:val="000000"/>
          <w:sz w:val="22"/>
          <w:szCs w:val="22"/>
        </w:rPr>
        <w:t xml:space="preserve">shifts in human resources </w:t>
      </w:r>
      <w:r w:rsidR="00812F83">
        <w:rPr>
          <w:rFonts w:eastAsiaTheme="minorHAnsi"/>
          <w:b/>
          <w:color w:val="000000"/>
          <w:sz w:val="22"/>
          <w:szCs w:val="22"/>
        </w:rPr>
        <w:t xml:space="preserve">(or a lack of </w:t>
      </w:r>
      <w:r w:rsidR="00040AE4">
        <w:rPr>
          <w:rFonts w:eastAsiaTheme="minorHAnsi"/>
          <w:b/>
          <w:color w:val="000000"/>
          <w:sz w:val="22"/>
          <w:szCs w:val="22"/>
        </w:rPr>
        <w:t>needed</w:t>
      </w:r>
      <w:r w:rsidR="00E60986">
        <w:rPr>
          <w:rFonts w:eastAsiaTheme="minorHAnsi"/>
          <w:b/>
          <w:color w:val="000000"/>
          <w:sz w:val="22"/>
          <w:szCs w:val="22"/>
        </w:rPr>
        <w:t xml:space="preserve"> shifts)</w:t>
      </w:r>
      <w:r w:rsidR="00701157" w:rsidRPr="00701157">
        <w:rPr>
          <w:rFonts w:eastAsiaTheme="minorHAnsi"/>
          <w:b/>
          <w:color w:val="000000"/>
          <w:sz w:val="22"/>
          <w:szCs w:val="22"/>
        </w:rPr>
        <w:t xml:space="preserve"> </w:t>
      </w:r>
      <w:r w:rsidR="00B7285A">
        <w:rPr>
          <w:rFonts w:eastAsiaTheme="minorHAnsi"/>
          <w:b/>
          <w:color w:val="000000"/>
          <w:sz w:val="22"/>
          <w:szCs w:val="22"/>
        </w:rPr>
        <w:t>hindered</w:t>
      </w:r>
      <w:r w:rsidR="00701157" w:rsidRPr="00701157">
        <w:rPr>
          <w:rFonts w:eastAsiaTheme="minorHAnsi"/>
          <w:b/>
          <w:color w:val="000000"/>
          <w:sz w:val="22"/>
          <w:szCs w:val="22"/>
        </w:rPr>
        <w:t xml:space="preserve"> improvement in some Level 4 schools</w:t>
      </w:r>
      <w:r w:rsidR="00701157">
        <w:rPr>
          <w:rFonts w:eastAsiaTheme="minorHAnsi"/>
          <w:b/>
          <w:i/>
          <w:color w:val="000000"/>
          <w:sz w:val="22"/>
          <w:szCs w:val="22"/>
        </w:rPr>
        <w:t>.</w:t>
      </w:r>
      <w:r>
        <w:rPr>
          <w:rFonts w:eastAsiaTheme="minorHAnsi"/>
          <w:b/>
          <w:i/>
          <w:color w:val="000000"/>
          <w:sz w:val="22"/>
          <w:szCs w:val="22"/>
        </w:rPr>
        <w:t xml:space="preserve"> </w:t>
      </w:r>
      <w:r w:rsidR="00040AE4">
        <w:rPr>
          <w:rFonts w:eastAsiaTheme="minorHAnsi"/>
          <w:color w:val="000000"/>
          <w:sz w:val="22"/>
          <w:szCs w:val="22"/>
        </w:rPr>
        <w:t>Identifying and keeping the right leader</w:t>
      </w:r>
      <w:r w:rsidR="00E60986">
        <w:rPr>
          <w:rFonts w:eastAsiaTheme="minorHAnsi"/>
          <w:color w:val="000000"/>
          <w:sz w:val="22"/>
          <w:szCs w:val="22"/>
        </w:rPr>
        <w:t>s</w:t>
      </w:r>
      <w:r w:rsidR="00040AE4">
        <w:rPr>
          <w:rFonts w:eastAsiaTheme="minorHAnsi"/>
          <w:color w:val="000000"/>
          <w:sz w:val="22"/>
          <w:szCs w:val="22"/>
        </w:rPr>
        <w:t xml:space="preserve"> and teacher</w:t>
      </w:r>
      <w:r w:rsidR="00E60986">
        <w:rPr>
          <w:rFonts w:eastAsiaTheme="minorHAnsi"/>
          <w:color w:val="000000"/>
          <w:sz w:val="22"/>
          <w:szCs w:val="22"/>
        </w:rPr>
        <w:t>s</w:t>
      </w:r>
      <w:r w:rsidR="00040AE4">
        <w:rPr>
          <w:rFonts w:eastAsiaTheme="minorHAnsi"/>
          <w:color w:val="000000"/>
          <w:sz w:val="22"/>
          <w:szCs w:val="22"/>
        </w:rPr>
        <w:t xml:space="preserve"> in place is a crucial aspect of turnaround. Some districts have been unable to prioritize</w:t>
      </w:r>
      <w:r w:rsidR="00E60986">
        <w:rPr>
          <w:rFonts w:eastAsiaTheme="minorHAnsi"/>
          <w:color w:val="000000"/>
          <w:sz w:val="22"/>
          <w:szCs w:val="22"/>
        </w:rPr>
        <w:t xml:space="preserve"> recruitment, </w:t>
      </w:r>
      <w:r w:rsidR="00040AE4" w:rsidRPr="00DD59BE">
        <w:rPr>
          <w:rFonts w:eastAsiaTheme="minorHAnsi"/>
          <w:color w:val="000000"/>
          <w:sz w:val="22"/>
          <w:szCs w:val="22"/>
        </w:rPr>
        <w:t>retent</w:t>
      </w:r>
      <w:r w:rsidR="00E60986">
        <w:rPr>
          <w:rFonts w:eastAsiaTheme="minorHAnsi"/>
          <w:color w:val="000000"/>
          <w:sz w:val="22"/>
          <w:szCs w:val="22"/>
        </w:rPr>
        <w:t>ion, and monitoring of qualified school leaders</w:t>
      </w:r>
      <w:r w:rsidR="00B7285A">
        <w:rPr>
          <w:rFonts w:eastAsiaTheme="minorHAnsi"/>
          <w:color w:val="000000"/>
          <w:sz w:val="22"/>
          <w:szCs w:val="22"/>
        </w:rPr>
        <w:t xml:space="preserve"> for all of their schools</w:t>
      </w:r>
      <w:r w:rsidR="00E60986">
        <w:rPr>
          <w:rFonts w:eastAsiaTheme="minorHAnsi"/>
          <w:color w:val="000000"/>
          <w:sz w:val="22"/>
          <w:szCs w:val="22"/>
        </w:rPr>
        <w:t xml:space="preserve">. </w:t>
      </w:r>
      <w:r w:rsidR="00B7285A">
        <w:rPr>
          <w:rFonts w:eastAsiaTheme="minorHAnsi"/>
          <w:color w:val="000000"/>
          <w:sz w:val="22"/>
          <w:szCs w:val="22"/>
        </w:rPr>
        <w:t>In some cases</w:t>
      </w:r>
      <w:r w:rsidR="00E60986">
        <w:rPr>
          <w:rFonts w:eastAsiaTheme="minorHAnsi"/>
          <w:color w:val="000000"/>
          <w:sz w:val="22"/>
          <w:szCs w:val="22"/>
        </w:rPr>
        <w:t xml:space="preserve">, districts have been slow </w:t>
      </w:r>
      <w:r w:rsidR="00040AE4">
        <w:rPr>
          <w:rFonts w:eastAsiaTheme="minorHAnsi"/>
          <w:color w:val="000000"/>
          <w:sz w:val="22"/>
          <w:szCs w:val="22"/>
        </w:rPr>
        <w:t xml:space="preserve">to replace principals </w:t>
      </w:r>
      <w:r w:rsidR="00B7285A">
        <w:rPr>
          <w:rFonts w:eastAsiaTheme="minorHAnsi"/>
          <w:color w:val="000000"/>
          <w:sz w:val="22"/>
          <w:szCs w:val="22"/>
        </w:rPr>
        <w:t>or</w:t>
      </w:r>
      <w:r w:rsidR="00040AE4">
        <w:rPr>
          <w:rFonts w:eastAsiaTheme="minorHAnsi"/>
          <w:color w:val="000000"/>
          <w:sz w:val="22"/>
          <w:szCs w:val="22"/>
        </w:rPr>
        <w:t xml:space="preserve"> leaders that have not worked o</w:t>
      </w:r>
      <w:r w:rsidR="00E60986">
        <w:rPr>
          <w:rFonts w:eastAsiaTheme="minorHAnsi"/>
          <w:color w:val="000000"/>
          <w:sz w:val="22"/>
          <w:szCs w:val="22"/>
        </w:rPr>
        <w:t xml:space="preserve">ut, even after just one year. </w:t>
      </w:r>
      <w:r w:rsidR="001F157B">
        <w:rPr>
          <w:rFonts w:eastAsiaTheme="minorHAnsi"/>
          <w:color w:val="000000"/>
          <w:sz w:val="22"/>
          <w:szCs w:val="22"/>
        </w:rPr>
        <w:t>Similarly, districts</w:t>
      </w:r>
      <w:r w:rsidR="00E60986">
        <w:rPr>
          <w:rFonts w:eastAsiaTheme="minorHAnsi"/>
          <w:color w:val="000000"/>
          <w:sz w:val="22"/>
          <w:szCs w:val="22"/>
        </w:rPr>
        <w:t xml:space="preserve"> </w:t>
      </w:r>
      <w:r w:rsidR="001F157B">
        <w:rPr>
          <w:rFonts w:eastAsiaTheme="minorHAnsi"/>
          <w:color w:val="000000"/>
          <w:sz w:val="22"/>
          <w:szCs w:val="22"/>
        </w:rPr>
        <w:t>have had difficulty in</w:t>
      </w:r>
      <w:r w:rsidR="00040AE4">
        <w:rPr>
          <w:rFonts w:eastAsiaTheme="minorHAnsi"/>
          <w:color w:val="000000"/>
          <w:sz w:val="22"/>
          <w:szCs w:val="22"/>
        </w:rPr>
        <w:t xml:space="preserve"> identify</w:t>
      </w:r>
      <w:r w:rsidR="001F157B">
        <w:rPr>
          <w:rFonts w:eastAsiaTheme="minorHAnsi"/>
          <w:color w:val="000000"/>
          <w:sz w:val="22"/>
          <w:szCs w:val="22"/>
        </w:rPr>
        <w:t>ing</w:t>
      </w:r>
      <w:r w:rsidR="00040AE4">
        <w:rPr>
          <w:rFonts w:eastAsiaTheme="minorHAnsi"/>
          <w:color w:val="000000"/>
          <w:sz w:val="22"/>
          <w:szCs w:val="22"/>
        </w:rPr>
        <w:t xml:space="preserve"> enough high quality, “turnaround” leaders to</w:t>
      </w:r>
      <w:r w:rsidR="00B7285A">
        <w:rPr>
          <w:rFonts w:eastAsiaTheme="minorHAnsi"/>
          <w:color w:val="000000"/>
          <w:sz w:val="22"/>
          <w:szCs w:val="22"/>
        </w:rPr>
        <w:t xml:space="preserve"> place in each Level 4 school; in a few instances, principals were not in place until the </w:t>
      </w:r>
      <w:r w:rsidR="009177F2" w:rsidRPr="00DD59BE">
        <w:rPr>
          <w:rFonts w:eastAsiaTheme="minorHAnsi"/>
          <w:color w:val="000000"/>
          <w:sz w:val="22"/>
          <w:szCs w:val="22"/>
        </w:rPr>
        <w:t>start of school</w:t>
      </w:r>
      <w:r w:rsidR="00040AE4">
        <w:rPr>
          <w:rFonts w:eastAsiaTheme="minorHAnsi"/>
          <w:color w:val="000000"/>
          <w:sz w:val="22"/>
          <w:szCs w:val="22"/>
        </w:rPr>
        <w:t xml:space="preserve"> year. </w:t>
      </w:r>
      <w:r w:rsidR="00E60986">
        <w:rPr>
          <w:rFonts w:eastAsiaTheme="minorHAnsi"/>
          <w:color w:val="000000"/>
          <w:sz w:val="22"/>
          <w:szCs w:val="22"/>
        </w:rPr>
        <w:t xml:space="preserve">Additional </w:t>
      </w:r>
      <w:r w:rsidR="00040AE4">
        <w:rPr>
          <w:rFonts w:eastAsiaTheme="minorHAnsi"/>
          <w:color w:val="000000"/>
          <w:sz w:val="22"/>
          <w:szCs w:val="22"/>
        </w:rPr>
        <w:t xml:space="preserve">challenges </w:t>
      </w:r>
      <w:r w:rsidR="00E60986">
        <w:rPr>
          <w:rFonts w:eastAsiaTheme="minorHAnsi"/>
          <w:color w:val="000000"/>
          <w:sz w:val="22"/>
          <w:szCs w:val="22"/>
        </w:rPr>
        <w:t>include</w:t>
      </w:r>
      <w:r>
        <w:rPr>
          <w:rFonts w:eastAsiaTheme="minorHAnsi"/>
          <w:color w:val="000000"/>
          <w:sz w:val="22"/>
          <w:szCs w:val="22"/>
        </w:rPr>
        <w:t xml:space="preserve"> </w:t>
      </w:r>
      <w:r w:rsidR="009D46D1">
        <w:rPr>
          <w:rFonts w:eastAsiaTheme="minorHAnsi"/>
          <w:color w:val="000000"/>
          <w:sz w:val="22"/>
          <w:szCs w:val="22"/>
        </w:rPr>
        <w:t xml:space="preserve">the </w:t>
      </w:r>
      <w:r>
        <w:rPr>
          <w:rFonts w:eastAsiaTheme="minorHAnsi"/>
          <w:color w:val="000000"/>
          <w:sz w:val="22"/>
          <w:szCs w:val="22"/>
        </w:rPr>
        <w:t>cutting of crucial positions in</w:t>
      </w:r>
      <w:r w:rsidR="00040AE4">
        <w:rPr>
          <w:rFonts w:eastAsiaTheme="minorHAnsi"/>
          <w:color w:val="000000"/>
          <w:sz w:val="22"/>
          <w:szCs w:val="22"/>
        </w:rPr>
        <w:t xml:space="preserve"> year two of turnaround efforts</w:t>
      </w:r>
      <w:r>
        <w:rPr>
          <w:rFonts w:eastAsiaTheme="minorHAnsi"/>
          <w:color w:val="000000"/>
          <w:sz w:val="22"/>
          <w:szCs w:val="22"/>
        </w:rPr>
        <w:t xml:space="preserve"> and </w:t>
      </w:r>
      <w:r w:rsidR="00040AE4">
        <w:rPr>
          <w:rFonts w:eastAsiaTheme="minorHAnsi"/>
          <w:color w:val="000000"/>
          <w:sz w:val="22"/>
          <w:szCs w:val="22"/>
        </w:rPr>
        <w:t xml:space="preserve">the </w:t>
      </w:r>
      <w:r>
        <w:rPr>
          <w:rFonts w:eastAsiaTheme="minorHAnsi"/>
          <w:color w:val="000000"/>
          <w:sz w:val="22"/>
          <w:szCs w:val="22"/>
        </w:rPr>
        <w:t>lack</w:t>
      </w:r>
      <w:r w:rsidR="009177F2" w:rsidRPr="00DD59BE">
        <w:rPr>
          <w:rFonts w:eastAsiaTheme="minorHAnsi"/>
          <w:color w:val="000000"/>
          <w:sz w:val="22"/>
          <w:szCs w:val="22"/>
        </w:rPr>
        <w:t xml:space="preserve"> of </w:t>
      </w:r>
      <w:r>
        <w:rPr>
          <w:rFonts w:eastAsiaTheme="minorHAnsi"/>
          <w:color w:val="000000"/>
          <w:sz w:val="22"/>
          <w:szCs w:val="22"/>
        </w:rPr>
        <w:t xml:space="preserve">district </w:t>
      </w:r>
      <w:r w:rsidR="009177F2" w:rsidRPr="00DD59BE">
        <w:rPr>
          <w:rFonts w:eastAsiaTheme="minorHAnsi"/>
          <w:color w:val="000000"/>
          <w:sz w:val="22"/>
          <w:szCs w:val="22"/>
        </w:rPr>
        <w:t>attention to assign</w:t>
      </w:r>
      <w:r w:rsidR="00E60986">
        <w:rPr>
          <w:rFonts w:eastAsiaTheme="minorHAnsi"/>
          <w:color w:val="000000"/>
          <w:sz w:val="22"/>
          <w:szCs w:val="22"/>
        </w:rPr>
        <w:t xml:space="preserve">ing key personnel (e.g., </w:t>
      </w:r>
      <w:r w:rsidR="009177F2" w:rsidRPr="00DD59BE">
        <w:rPr>
          <w:rFonts w:eastAsiaTheme="minorHAnsi"/>
          <w:color w:val="000000"/>
          <w:sz w:val="22"/>
          <w:szCs w:val="22"/>
        </w:rPr>
        <w:t>coach</w:t>
      </w:r>
      <w:r w:rsidR="00E60986">
        <w:rPr>
          <w:rFonts w:eastAsiaTheme="minorHAnsi"/>
          <w:color w:val="000000"/>
          <w:sz w:val="22"/>
          <w:szCs w:val="22"/>
        </w:rPr>
        <w:t>es</w:t>
      </w:r>
      <w:r w:rsidR="009177F2" w:rsidRPr="00DD59BE">
        <w:rPr>
          <w:rFonts w:eastAsiaTheme="minorHAnsi"/>
          <w:color w:val="000000"/>
          <w:sz w:val="22"/>
          <w:szCs w:val="22"/>
        </w:rPr>
        <w:t xml:space="preserve"> </w:t>
      </w:r>
      <w:r w:rsidR="00B7285A">
        <w:rPr>
          <w:rFonts w:eastAsiaTheme="minorHAnsi"/>
          <w:color w:val="000000"/>
          <w:sz w:val="22"/>
          <w:szCs w:val="22"/>
        </w:rPr>
        <w:t>or</w:t>
      </w:r>
      <w:r w:rsidR="009177F2" w:rsidRPr="00DD59BE">
        <w:rPr>
          <w:rFonts w:eastAsiaTheme="minorHAnsi"/>
          <w:color w:val="000000"/>
          <w:sz w:val="22"/>
          <w:szCs w:val="22"/>
        </w:rPr>
        <w:t xml:space="preserve"> clas</w:t>
      </w:r>
      <w:r w:rsidR="009D46D1">
        <w:rPr>
          <w:rFonts w:eastAsiaTheme="minorHAnsi"/>
          <w:color w:val="000000"/>
          <w:sz w:val="22"/>
          <w:szCs w:val="22"/>
        </w:rPr>
        <w:t>sroom substitutes) to work in Level 4</w:t>
      </w:r>
      <w:r w:rsidR="009177F2" w:rsidRPr="00DD59BE">
        <w:rPr>
          <w:rFonts w:eastAsiaTheme="minorHAnsi"/>
          <w:color w:val="000000"/>
          <w:sz w:val="22"/>
          <w:szCs w:val="22"/>
        </w:rPr>
        <w:t xml:space="preserve"> schools</w:t>
      </w:r>
      <w:r>
        <w:rPr>
          <w:rFonts w:eastAsiaTheme="minorHAnsi"/>
          <w:color w:val="000000"/>
          <w:sz w:val="22"/>
          <w:szCs w:val="22"/>
        </w:rPr>
        <w:t>. Another human resource ch</w:t>
      </w:r>
      <w:r w:rsidR="009D46D1">
        <w:rPr>
          <w:rFonts w:eastAsiaTheme="minorHAnsi"/>
          <w:color w:val="000000"/>
          <w:sz w:val="22"/>
          <w:szCs w:val="22"/>
        </w:rPr>
        <w:t>allenge resulted</w:t>
      </w:r>
      <w:r>
        <w:rPr>
          <w:rFonts w:eastAsiaTheme="minorHAnsi"/>
          <w:color w:val="000000"/>
          <w:sz w:val="22"/>
          <w:szCs w:val="22"/>
        </w:rPr>
        <w:t xml:space="preserve"> from the district assignment of</w:t>
      </w:r>
      <w:r w:rsidR="009177F2" w:rsidRPr="00DD59BE">
        <w:rPr>
          <w:rFonts w:eastAsiaTheme="minorHAnsi"/>
          <w:color w:val="000000"/>
          <w:sz w:val="22"/>
          <w:szCs w:val="22"/>
        </w:rPr>
        <w:t xml:space="preserve"> students with highly specialized instruction needs (e.g., low-incidence disabilities) </w:t>
      </w:r>
      <w:r>
        <w:rPr>
          <w:rFonts w:eastAsiaTheme="minorHAnsi"/>
          <w:color w:val="000000"/>
          <w:sz w:val="22"/>
          <w:szCs w:val="22"/>
        </w:rPr>
        <w:t>without providing</w:t>
      </w:r>
      <w:r w:rsidR="009177F2" w:rsidRPr="00DD59BE">
        <w:rPr>
          <w:rFonts w:eastAsiaTheme="minorHAnsi"/>
          <w:color w:val="000000"/>
          <w:sz w:val="22"/>
          <w:szCs w:val="22"/>
        </w:rPr>
        <w:t xml:space="preserve"> adequate transition planning, training, or personnel</w:t>
      </w:r>
      <w:r>
        <w:rPr>
          <w:rFonts w:eastAsiaTheme="minorHAnsi"/>
          <w:color w:val="000000"/>
          <w:sz w:val="22"/>
          <w:szCs w:val="22"/>
        </w:rPr>
        <w:t>.</w:t>
      </w:r>
    </w:p>
    <w:p w:rsidR="00DD59BE" w:rsidRPr="00DD59BE" w:rsidRDefault="00DD59BE" w:rsidP="00E60986">
      <w:pPr>
        <w:spacing w:line="288" w:lineRule="auto"/>
        <w:ind w:left="270" w:hanging="270"/>
        <w:rPr>
          <w:i/>
          <w:sz w:val="22"/>
          <w:szCs w:val="22"/>
        </w:rPr>
      </w:pPr>
    </w:p>
    <w:p w:rsidR="009177F2" w:rsidRPr="00055AE9" w:rsidRDefault="00DD59BE" w:rsidP="00145FF0">
      <w:pPr>
        <w:pStyle w:val="ListParagraph"/>
        <w:numPr>
          <w:ilvl w:val="0"/>
          <w:numId w:val="17"/>
        </w:numPr>
        <w:spacing w:line="288" w:lineRule="auto"/>
        <w:ind w:left="270" w:hanging="270"/>
        <w:rPr>
          <w:i/>
          <w:sz w:val="22"/>
          <w:szCs w:val="22"/>
        </w:rPr>
      </w:pPr>
      <w:r>
        <w:rPr>
          <w:b/>
          <w:sz w:val="22"/>
          <w:szCs w:val="22"/>
        </w:rPr>
        <w:t xml:space="preserve">An increase in district oversight and support that is not integrated and aligned with school turnaround efforts. </w:t>
      </w:r>
      <w:r>
        <w:rPr>
          <w:sz w:val="22"/>
          <w:szCs w:val="22"/>
        </w:rPr>
        <w:t>In some instance</w:t>
      </w:r>
      <w:r w:rsidR="00055AE9">
        <w:rPr>
          <w:sz w:val="22"/>
          <w:szCs w:val="22"/>
        </w:rPr>
        <w:t>s</w:t>
      </w:r>
      <w:r>
        <w:rPr>
          <w:sz w:val="22"/>
          <w:szCs w:val="22"/>
        </w:rPr>
        <w:t xml:space="preserve">, increased district supports may interfere with school turnaround efforts, such as when schools </w:t>
      </w:r>
      <w:r w:rsidR="00682E26">
        <w:rPr>
          <w:sz w:val="22"/>
          <w:szCs w:val="22"/>
        </w:rPr>
        <w:t>perceive</w:t>
      </w:r>
      <w:r>
        <w:rPr>
          <w:sz w:val="22"/>
          <w:szCs w:val="22"/>
        </w:rPr>
        <w:t xml:space="preserve"> that the district has</w:t>
      </w:r>
      <w:r w:rsidR="00682E26">
        <w:rPr>
          <w:sz w:val="22"/>
          <w:szCs w:val="22"/>
        </w:rPr>
        <w:t xml:space="preserve"> not</w:t>
      </w:r>
      <w:r>
        <w:rPr>
          <w:sz w:val="22"/>
          <w:szCs w:val="22"/>
        </w:rPr>
        <w:t xml:space="preserve"> provided adequate curricular guidance</w:t>
      </w:r>
      <w:r w:rsidR="00055AE9">
        <w:rPr>
          <w:sz w:val="22"/>
          <w:szCs w:val="22"/>
        </w:rPr>
        <w:t xml:space="preserve">, has not clearly articulated what “effective instruction” means, or has failed to explicitly link district goals with school or provider specific turnaround strategies. </w:t>
      </w:r>
    </w:p>
    <w:p w:rsidR="00055AE9" w:rsidRPr="00055AE9" w:rsidRDefault="00055AE9" w:rsidP="00E60986">
      <w:pPr>
        <w:spacing w:line="288" w:lineRule="auto"/>
        <w:ind w:left="270" w:hanging="270"/>
        <w:rPr>
          <w:i/>
          <w:sz w:val="22"/>
          <w:szCs w:val="22"/>
        </w:rPr>
      </w:pPr>
    </w:p>
    <w:p w:rsidR="00E8506C" w:rsidRPr="00E60986" w:rsidRDefault="00055AE9" w:rsidP="00145FF0">
      <w:pPr>
        <w:pStyle w:val="ListParagraph"/>
        <w:numPr>
          <w:ilvl w:val="0"/>
          <w:numId w:val="17"/>
        </w:numPr>
        <w:spacing w:line="288" w:lineRule="auto"/>
        <w:ind w:left="270" w:hanging="270"/>
        <w:rPr>
          <w:i/>
          <w:sz w:val="22"/>
          <w:szCs w:val="22"/>
        </w:rPr>
      </w:pPr>
      <w:r>
        <w:rPr>
          <w:b/>
          <w:sz w:val="22"/>
          <w:szCs w:val="22"/>
        </w:rPr>
        <w:t xml:space="preserve">School-level loss of confidence in district capacity to support schools to reach goals. </w:t>
      </w:r>
      <w:r>
        <w:rPr>
          <w:sz w:val="22"/>
          <w:szCs w:val="22"/>
        </w:rPr>
        <w:t>Some schools expressed reservations about district oversight, in light of the perception that not all schools were implementing turnaround strategies effectively. Similarly, schools noted that key issues have yet to be resolved, such as negotiating with the teachers union or addressing looming budget cuts that will (and are) leading to the loss of personnel trained during turnaround efforts. Issues related to the sustainability of turnaround efforts—</w:t>
      </w:r>
      <w:r w:rsidR="009D46D1">
        <w:rPr>
          <w:sz w:val="22"/>
          <w:szCs w:val="22"/>
        </w:rPr>
        <w:t>maintaining necessary staffing</w:t>
      </w:r>
      <w:r>
        <w:rPr>
          <w:sz w:val="22"/>
          <w:szCs w:val="22"/>
        </w:rPr>
        <w:t xml:space="preserve">, strategic planning for sustainability, </w:t>
      </w:r>
      <w:r w:rsidR="009D46D1">
        <w:rPr>
          <w:sz w:val="22"/>
          <w:szCs w:val="22"/>
        </w:rPr>
        <w:t xml:space="preserve">addressing unresolved policy issues—have the potential to undermine school confidence and fortitude moving forward. </w:t>
      </w:r>
      <w:r>
        <w:rPr>
          <w:sz w:val="22"/>
          <w:szCs w:val="22"/>
        </w:rPr>
        <w:t xml:space="preserve"> </w:t>
      </w:r>
    </w:p>
    <w:p w:rsidR="00E8506C" w:rsidRPr="0090055E" w:rsidRDefault="00E8506C" w:rsidP="00E8506C">
      <w:pPr>
        <w:spacing w:before="80" w:after="80"/>
        <w:rPr>
          <w:b/>
          <w:color w:val="943634" w:themeColor="accent2" w:themeShade="BF"/>
          <w:sz w:val="28"/>
          <w:szCs w:val="28"/>
        </w:rPr>
      </w:pPr>
      <w:bookmarkStart w:id="3" w:name="BudgetAnalysis"/>
      <w:bookmarkEnd w:id="3"/>
      <w:r w:rsidRPr="0090055E">
        <w:rPr>
          <w:b/>
          <w:color w:val="943634" w:themeColor="accent2" w:themeShade="BF"/>
          <w:sz w:val="28"/>
          <w:szCs w:val="28"/>
        </w:rPr>
        <w:lastRenderedPageBreak/>
        <w:t xml:space="preserve">Trends </w:t>
      </w:r>
      <w:r w:rsidR="001F157B">
        <w:rPr>
          <w:b/>
          <w:color w:val="943634" w:themeColor="accent2" w:themeShade="BF"/>
          <w:sz w:val="28"/>
          <w:szCs w:val="28"/>
        </w:rPr>
        <w:t>in District and School Use of SR</w:t>
      </w:r>
      <w:r w:rsidRPr="0090055E">
        <w:rPr>
          <w:b/>
          <w:color w:val="943634" w:themeColor="accent2" w:themeShade="BF"/>
          <w:sz w:val="28"/>
          <w:szCs w:val="28"/>
        </w:rPr>
        <w:t xml:space="preserve">G and Bridge Grant </w:t>
      </w:r>
      <w:r w:rsidR="00B20377">
        <w:rPr>
          <w:b/>
          <w:color w:val="943634" w:themeColor="accent2" w:themeShade="BF"/>
          <w:sz w:val="28"/>
          <w:szCs w:val="28"/>
        </w:rPr>
        <w:t>Funds</w:t>
      </w:r>
      <w:r w:rsidRPr="0090055E">
        <w:rPr>
          <w:b/>
          <w:color w:val="943634" w:themeColor="accent2" w:themeShade="BF"/>
          <w:sz w:val="28"/>
          <w:szCs w:val="28"/>
        </w:rPr>
        <w:t xml:space="preserve"> </w:t>
      </w:r>
    </w:p>
    <w:p w:rsidR="00E8506C" w:rsidRDefault="005A3A9D" w:rsidP="00983BD0">
      <w:pPr>
        <w:spacing w:before="160" w:after="80"/>
      </w:pPr>
      <w:r>
        <w:rPr>
          <w:b/>
          <w:color w:val="365F91" w:themeColor="accent1" w:themeShade="BF"/>
          <w:sz w:val="22"/>
          <w:szCs w:val="22"/>
        </w:rPr>
        <w:t xml:space="preserve">Overview of Budget Analysis </w:t>
      </w:r>
    </w:p>
    <w:p w:rsidR="00470F73" w:rsidRDefault="005A3A9D" w:rsidP="00E8506C">
      <w:pPr>
        <w:spacing w:line="288" w:lineRule="auto"/>
        <w:rPr>
          <w:sz w:val="22"/>
          <w:szCs w:val="22"/>
        </w:rPr>
      </w:pPr>
      <w:r>
        <w:rPr>
          <w:sz w:val="22"/>
          <w:szCs w:val="22"/>
        </w:rPr>
        <w:t xml:space="preserve">The federal School Improvement Grant </w:t>
      </w:r>
      <w:r w:rsidR="00CE1BF9">
        <w:rPr>
          <w:sz w:val="22"/>
          <w:szCs w:val="22"/>
        </w:rPr>
        <w:t>(SIG) program—known as the School Redesign Grant, or SRG, in Massachusetts—</w:t>
      </w:r>
      <w:r>
        <w:rPr>
          <w:sz w:val="22"/>
          <w:szCs w:val="22"/>
        </w:rPr>
        <w:t xml:space="preserve">provides districts and schools with unprecedented supplemental funding to </w:t>
      </w:r>
      <w:r w:rsidR="00A82005">
        <w:rPr>
          <w:sz w:val="22"/>
          <w:szCs w:val="22"/>
        </w:rPr>
        <w:t>accelerate</w:t>
      </w:r>
      <w:r>
        <w:rPr>
          <w:sz w:val="22"/>
          <w:szCs w:val="22"/>
        </w:rPr>
        <w:t xml:space="preserve"> district and school improvement efforts. </w:t>
      </w:r>
      <w:r w:rsidR="00CE1BF9">
        <w:rPr>
          <w:sz w:val="22"/>
          <w:szCs w:val="22"/>
        </w:rPr>
        <w:t>Drawing upon</w:t>
      </w:r>
      <w:r>
        <w:rPr>
          <w:sz w:val="22"/>
          <w:szCs w:val="22"/>
        </w:rPr>
        <w:t xml:space="preserve"> the experience of previous school improvement efforts, the </w:t>
      </w:r>
      <w:r w:rsidR="001F157B">
        <w:rPr>
          <w:sz w:val="22"/>
          <w:szCs w:val="22"/>
        </w:rPr>
        <w:t>federal</w:t>
      </w:r>
      <w:r>
        <w:rPr>
          <w:sz w:val="22"/>
          <w:szCs w:val="22"/>
        </w:rPr>
        <w:t xml:space="preserve"> SIG program permits schools to </w:t>
      </w:r>
      <w:r w:rsidR="00A82005">
        <w:rPr>
          <w:sz w:val="22"/>
          <w:szCs w:val="22"/>
        </w:rPr>
        <w:t>competitively apply</w:t>
      </w:r>
      <w:r>
        <w:rPr>
          <w:sz w:val="22"/>
          <w:szCs w:val="22"/>
        </w:rPr>
        <w:t xml:space="preserve"> for up to 2 million dollars per year, for up to three years</w:t>
      </w:r>
      <w:r>
        <w:rPr>
          <w:rStyle w:val="FootnoteReference"/>
          <w:sz w:val="22"/>
          <w:szCs w:val="22"/>
        </w:rPr>
        <w:footnoteReference w:id="9"/>
      </w:r>
      <w:r>
        <w:rPr>
          <w:sz w:val="22"/>
          <w:szCs w:val="22"/>
        </w:rPr>
        <w:t>.</w:t>
      </w:r>
      <w:r w:rsidR="008A4C0F">
        <w:rPr>
          <w:sz w:val="22"/>
          <w:szCs w:val="22"/>
        </w:rPr>
        <w:t xml:space="preserve"> </w:t>
      </w:r>
      <w:r w:rsidR="00470F73">
        <w:rPr>
          <w:sz w:val="22"/>
          <w:szCs w:val="22"/>
        </w:rPr>
        <w:t>In 2009, u</w:t>
      </w:r>
      <w:r w:rsidR="008A4C0F">
        <w:rPr>
          <w:sz w:val="22"/>
          <w:szCs w:val="22"/>
        </w:rPr>
        <w:t xml:space="preserve">pon learning that </w:t>
      </w:r>
      <w:r w:rsidR="0096177A">
        <w:rPr>
          <w:sz w:val="22"/>
          <w:szCs w:val="22"/>
        </w:rPr>
        <w:t xml:space="preserve">SIG funds </w:t>
      </w:r>
      <w:r w:rsidR="001703FC">
        <w:rPr>
          <w:sz w:val="22"/>
          <w:szCs w:val="22"/>
        </w:rPr>
        <w:t>could</w:t>
      </w:r>
      <w:r w:rsidR="0096177A">
        <w:rPr>
          <w:sz w:val="22"/>
          <w:szCs w:val="22"/>
        </w:rPr>
        <w:t xml:space="preserve"> support the efforts of Level 4 schools</w:t>
      </w:r>
      <w:r w:rsidR="00470F73">
        <w:rPr>
          <w:sz w:val="22"/>
          <w:szCs w:val="22"/>
        </w:rPr>
        <w:t>,</w:t>
      </w:r>
      <w:r w:rsidR="0096177A">
        <w:rPr>
          <w:sz w:val="22"/>
          <w:szCs w:val="22"/>
        </w:rPr>
        <w:t xml:space="preserve"> </w:t>
      </w:r>
      <w:r w:rsidR="008A4C0F">
        <w:rPr>
          <w:sz w:val="22"/>
          <w:szCs w:val="22"/>
        </w:rPr>
        <w:t xml:space="preserve">Massachusetts’ leaders strategically </w:t>
      </w:r>
      <w:r w:rsidR="008230A5">
        <w:rPr>
          <w:sz w:val="22"/>
          <w:szCs w:val="22"/>
        </w:rPr>
        <w:t>ensured</w:t>
      </w:r>
      <w:r w:rsidR="008A4C0F">
        <w:rPr>
          <w:sz w:val="22"/>
          <w:szCs w:val="22"/>
        </w:rPr>
        <w:t xml:space="preserve"> that Level 4 school</w:t>
      </w:r>
      <w:r w:rsidR="00B96FE7">
        <w:rPr>
          <w:sz w:val="22"/>
          <w:szCs w:val="22"/>
        </w:rPr>
        <w:t>s</w:t>
      </w:r>
      <w:r w:rsidR="008A4C0F">
        <w:rPr>
          <w:sz w:val="22"/>
          <w:szCs w:val="22"/>
        </w:rPr>
        <w:t xml:space="preserve"> (and other eligible schools, based on federal requirements) </w:t>
      </w:r>
      <w:r w:rsidR="00B96FE7">
        <w:rPr>
          <w:sz w:val="22"/>
          <w:szCs w:val="22"/>
        </w:rPr>
        <w:t xml:space="preserve">each </w:t>
      </w:r>
      <w:r w:rsidR="00470F73">
        <w:rPr>
          <w:sz w:val="22"/>
          <w:szCs w:val="22"/>
        </w:rPr>
        <w:t xml:space="preserve">had </w:t>
      </w:r>
      <w:r w:rsidR="008A4C0F">
        <w:rPr>
          <w:sz w:val="22"/>
          <w:szCs w:val="22"/>
        </w:rPr>
        <w:t>a competitive oppo</w:t>
      </w:r>
      <w:r w:rsidR="00CE1BF9">
        <w:rPr>
          <w:sz w:val="22"/>
          <w:szCs w:val="22"/>
        </w:rPr>
        <w:t xml:space="preserve">rtunity to apply for a meaningful amount of funding. To ensure </w:t>
      </w:r>
      <w:r w:rsidR="008230A5">
        <w:rPr>
          <w:sz w:val="22"/>
          <w:szCs w:val="22"/>
        </w:rPr>
        <w:t xml:space="preserve">this </w:t>
      </w:r>
      <w:r w:rsidR="00CE1BF9">
        <w:rPr>
          <w:sz w:val="22"/>
          <w:szCs w:val="22"/>
        </w:rPr>
        <w:t>competitive oppor</w:t>
      </w:r>
      <w:r w:rsidR="000175A3">
        <w:rPr>
          <w:sz w:val="22"/>
          <w:szCs w:val="22"/>
        </w:rPr>
        <w:t>tunity</w:t>
      </w:r>
      <w:r w:rsidR="00CE1BF9">
        <w:rPr>
          <w:sz w:val="22"/>
          <w:szCs w:val="22"/>
        </w:rPr>
        <w:t>, e</w:t>
      </w:r>
      <w:r w:rsidR="00470F73">
        <w:rPr>
          <w:sz w:val="22"/>
          <w:szCs w:val="22"/>
        </w:rPr>
        <w:t xml:space="preserve">ligible schools </w:t>
      </w:r>
      <w:r w:rsidR="009D4E48">
        <w:rPr>
          <w:sz w:val="22"/>
          <w:szCs w:val="22"/>
        </w:rPr>
        <w:t xml:space="preserve">were </w:t>
      </w:r>
      <w:r w:rsidR="0096177A">
        <w:rPr>
          <w:sz w:val="22"/>
          <w:szCs w:val="22"/>
        </w:rPr>
        <w:t xml:space="preserve">encouraged to </w:t>
      </w:r>
      <w:r w:rsidR="00A82005">
        <w:rPr>
          <w:sz w:val="22"/>
          <w:szCs w:val="22"/>
        </w:rPr>
        <w:t xml:space="preserve">submit </w:t>
      </w:r>
      <w:r w:rsidR="000175A3">
        <w:rPr>
          <w:sz w:val="22"/>
          <w:szCs w:val="22"/>
        </w:rPr>
        <w:t xml:space="preserve">SRG grant </w:t>
      </w:r>
      <w:r w:rsidR="00A82005">
        <w:rPr>
          <w:sz w:val="22"/>
          <w:szCs w:val="22"/>
        </w:rPr>
        <w:t xml:space="preserve">proposals in the range of $500 thousand dollars a year, for up to </w:t>
      </w:r>
      <w:r w:rsidR="000175A3">
        <w:rPr>
          <w:sz w:val="22"/>
          <w:szCs w:val="22"/>
        </w:rPr>
        <w:t>$1.5 million over three years</w:t>
      </w:r>
      <w:r w:rsidR="000175A3">
        <w:rPr>
          <w:rStyle w:val="FootnoteReference"/>
          <w:sz w:val="22"/>
          <w:szCs w:val="22"/>
        </w:rPr>
        <w:footnoteReference w:id="10"/>
      </w:r>
      <w:r w:rsidR="0096177A">
        <w:rPr>
          <w:sz w:val="22"/>
          <w:szCs w:val="22"/>
        </w:rPr>
        <w:t xml:space="preserve">. </w:t>
      </w:r>
    </w:p>
    <w:p w:rsidR="00470F73" w:rsidRDefault="00470F73" w:rsidP="00E8506C">
      <w:pPr>
        <w:spacing w:line="288" w:lineRule="auto"/>
        <w:rPr>
          <w:sz w:val="22"/>
          <w:szCs w:val="22"/>
        </w:rPr>
      </w:pPr>
    </w:p>
    <w:p w:rsidR="00470F73" w:rsidRDefault="000175A3" w:rsidP="00E8506C">
      <w:pPr>
        <w:spacing w:line="288" w:lineRule="auto"/>
        <w:rPr>
          <w:sz w:val="22"/>
          <w:szCs w:val="22"/>
        </w:rPr>
      </w:pPr>
      <w:r w:rsidRPr="008230A5">
        <w:rPr>
          <w:sz w:val="22"/>
          <w:szCs w:val="22"/>
        </w:rPr>
        <w:t>In</w:t>
      </w:r>
      <w:r w:rsidR="00470F73" w:rsidRPr="008230A5">
        <w:rPr>
          <w:sz w:val="22"/>
          <w:szCs w:val="22"/>
        </w:rPr>
        <w:t xml:space="preserve"> 2010-11 and 2011-12</w:t>
      </w:r>
      <w:r w:rsidR="00470F73" w:rsidRPr="008230A5">
        <w:rPr>
          <w:rStyle w:val="FootnoteReference"/>
          <w:sz w:val="22"/>
          <w:szCs w:val="22"/>
        </w:rPr>
        <w:footnoteReference w:id="11"/>
      </w:r>
      <w:r w:rsidR="00470F73" w:rsidRPr="008230A5">
        <w:rPr>
          <w:sz w:val="22"/>
          <w:szCs w:val="22"/>
        </w:rPr>
        <w:t>, 30 schools successf</w:t>
      </w:r>
      <w:r w:rsidR="00966AFB">
        <w:rPr>
          <w:sz w:val="22"/>
          <w:szCs w:val="22"/>
        </w:rPr>
        <w:t>ully applied for and received SR</w:t>
      </w:r>
      <w:r w:rsidR="00470F73" w:rsidRPr="008230A5">
        <w:rPr>
          <w:sz w:val="22"/>
          <w:szCs w:val="22"/>
        </w:rPr>
        <w:t>G funding.</w:t>
      </w:r>
      <w:r w:rsidR="00470F73">
        <w:rPr>
          <w:sz w:val="22"/>
          <w:szCs w:val="22"/>
        </w:rPr>
        <w:t xml:space="preserve"> Excluding fringe benefits, </w:t>
      </w:r>
      <w:r w:rsidR="00470F73" w:rsidRPr="008230A5">
        <w:rPr>
          <w:sz w:val="22"/>
          <w:szCs w:val="22"/>
        </w:rPr>
        <w:t>approximately</w:t>
      </w:r>
      <w:r w:rsidR="008230A5" w:rsidRPr="008230A5">
        <w:rPr>
          <w:sz w:val="22"/>
          <w:szCs w:val="22"/>
        </w:rPr>
        <w:t xml:space="preserve"> </w:t>
      </w:r>
      <w:r w:rsidR="008230A5" w:rsidRPr="008230A5">
        <w:rPr>
          <w:b/>
          <w:sz w:val="22"/>
          <w:szCs w:val="22"/>
        </w:rPr>
        <w:t>$27.36 million</w:t>
      </w:r>
      <w:r w:rsidR="008230A5" w:rsidRPr="008230A5">
        <w:rPr>
          <w:sz w:val="22"/>
          <w:szCs w:val="22"/>
        </w:rPr>
        <w:t xml:space="preserve"> </w:t>
      </w:r>
      <w:r w:rsidR="008230A5">
        <w:rPr>
          <w:sz w:val="22"/>
          <w:szCs w:val="22"/>
        </w:rPr>
        <w:t xml:space="preserve">of </w:t>
      </w:r>
      <w:r w:rsidR="008230A5" w:rsidRPr="008230A5">
        <w:rPr>
          <w:sz w:val="22"/>
          <w:szCs w:val="22"/>
        </w:rPr>
        <w:t>SR</w:t>
      </w:r>
      <w:r w:rsidR="00470F73" w:rsidRPr="008230A5">
        <w:rPr>
          <w:sz w:val="22"/>
          <w:szCs w:val="22"/>
        </w:rPr>
        <w:t>G and Bridge Grant</w:t>
      </w:r>
      <w:r w:rsidR="00470F73" w:rsidRPr="008230A5">
        <w:rPr>
          <w:rStyle w:val="FootnoteReference"/>
          <w:sz w:val="22"/>
          <w:szCs w:val="22"/>
        </w:rPr>
        <w:footnoteReference w:id="12"/>
      </w:r>
      <w:r w:rsidR="00470F73" w:rsidRPr="008230A5">
        <w:rPr>
          <w:sz w:val="22"/>
          <w:szCs w:val="22"/>
        </w:rPr>
        <w:t xml:space="preserve"> monies were provided directly to the 30 Cohort 1 and Cohort 2 scho</w:t>
      </w:r>
      <w:r w:rsidR="008230A5">
        <w:rPr>
          <w:sz w:val="22"/>
          <w:szCs w:val="22"/>
        </w:rPr>
        <w:t>ols, representing an aggregate 2-year</w:t>
      </w:r>
      <w:r w:rsidR="00470F73" w:rsidRPr="008230A5">
        <w:rPr>
          <w:sz w:val="22"/>
          <w:szCs w:val="22"/>
        </w:rPr>
        <w:t xml:space="preserve"> per pupil expenditure of </w:t>
      </w:r>
      <w:r w:rsidR="00470F73" w:rsidRPr="008230A5">
        <w:rPr>
          <w:b/>
          <w:sz w:val="22"/>
          <w:szCs w:val="22"/>
        </w:rPr>
        <w:t>$1,679</w:t>
      </w:r>
      <w:r w:rsidR="00470F73" w:rsidRPr="008230A5">
        <w:rPr>
          <w:sz w:val="22"/>
          <w:szCs w:val="22"/>
        </w:rPr>
        <w:t xml:space="preserve"> </w:t>
      </w:r>
      <w:r w:rsidR="008230A5">
        <w:rPr>
          <w:sz w:val="22"/>
          <w:szCs w:val="22"/>
        </w:rPr>
        <w:t>per student.</w:t>
      </w:r>
    </w:p>
    <w:p w:rsidR="00983BD0" w:rsidRPr="00983BD0" w:rsidRDefault="0011041D" w:rsidP="00983BD0">
      <w:pPr>
        <w:spacing w:before="160" w:after="80"/>
      </w:pPr>
      <w:r w:rsidRPr="0011041D">
        <w:rPr>
          <w:noProof/>
          <w:color w:val="222222"/>
        </w:rPr>
        <w:pict>
          <v:shape id="Text Box 1" o:spid="_x0000_s1049" type="#_x0000_t202" style="position:absolute;margin-left:288.45pt;margin-top:5.15pt;width:3in;height:4in;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" fillcolor="white [3201]" strokecolor="#c0504d [3205]" strokeweight=".25pt">
            <v:path arrowok="t"/>
            <v:textbox>
              <w:txbxContent>
                <w:p w:rsidR="0090743D" w:rsidRPr="001703FC" w:rsidRDefault="0090743D" w:rsidP="001703FC">
                  <w:pPr>
                    <w:spacing w:after="80"/>
                    <w:rPr>
                      <w:b/>
                      <w:sz w:val="20"/>
                    </w:rPr>
                  </w:pPr>
                  <w:r w:rsidRPr="001703FC">
                    <w:rPr>
                      <w:b/>
                      <w:sz w:val="20"/>
                    </w:rPr>
                    <w:t>Staffing</w:t>
                  </w:r>
                  <w:r>
                    <w:rPr>
                      <w:b/>
                      <w:sz w:val="20"/>
                    </w:rPr>
                    <w:t xml:space="preserve">, Time and Resources: </w:t>
                  </w:r>
                  <w:r w:rsidRPr="001703FC">
                    <w:rPr>
                      <w:b/>
                      <w:i/>
                      <w:sz w:val="20"/>
                    </w:rPr>
                    <w:t>How and where did schools allocate funds?</w:t>
                  </w:r>
                </w:p>
                <w:p w:rsidR="0090743D" w:rsidRPr="001703FC" w:rsidRDefault="0090743D" w:rsidP="00145FF0">
                  <w:pPr>
                    <w:numPr>
                      <w:ilvl w:val="0"/>
                      <w:numId w:val="11"/>
                    </w:numPr>
                    <w:tabs>
                      <w:tab w:val="clear" w:pos="720"/>
                      <w:tab w:val="num" w:pos="540"/>
                    </w:tabs>
                    <w:ind w:left="360" w:hanging="270"/>
                    <w:rPr>
                      <w:sz w:val="20"/>
                    </w:rPr>
                  </w:pPr>
                  <w:r w:rsidRPr="001703FC">
                    <w:rPr>
                      <w:b/>
                      <w:sz w:val="20"/>
                    </w:rPr>
                    <w:t>Direct Staffing</w:t>
                  </w:r>
                  <w:r w:rsidRPr="001703FC">
                    <w:rPr>
                      <w:sz w:val="20"/>
                    </w:rPr>
                    <w:t>: Hiring full/part time staff</w:t>
                  </w:r>
                </w:p>
                <w:p w:rsidR="0090743D" w:rsidRPr="001703FC" w:rsidRDefault="0090743D" w:rsidP="00145FF0">
                  <w:pPr>
                    <w:numPr>
                      <w:ilvl w:val="0"/>
                      <w:numId w:val="11"/>
                    </w:numPr>
                    <w:tabs>
                      <w:tab w:val="clear" w:pos="720"/>
                      <w:tab w:val="num" w:pos="540"/>
                    </w:tabs>
                    <w:ind w:left="360" w:hanging="270"/>
                    <w:rPr>
                      <w:sz w:val="20"/>
                    </w:rPr>
                  </w:pPr>
                  <w:r w:rsidRPr="001703FC">
                    <w:rPr>
                      <w:b/>
                      <w:sz w:val="20"/>
                    </w:rPr>
                    <w:t>Stipends</w:t>
                  </w:r>
                  <w:r w:rsidRPr="001703FC">
                    <w:rPr>
                      <w:sz w:val="20"/>
                    </w:rPr>
                    <w:t xml:space="preserve"> for required extended time, for teachers and </w:t>
                  </w:r>
                  <w:proofErr w:type="spellStart"/>
                  <w:r w:rsidRPr="001703FC">
                    <w:rPr>
                      <w:sz w:val="20"/>
                    </w:rPr>
                    <w:t>para</w:t>
                  </w:r>
                  <w:proofErr w:type="spellEnd"/>
                  <w:r w:rsidRPr="001703FC">
                    <w:rPr>
                      <w:sz w:val="20"/>
                    </w:rPr>
                    <w:t>-professionals.</w:t>
                  </w:r>
                </w:p>
                <w:p w:rsidR="0090743D" w:rsidRPr="001703FC" w:rsidRDefault="0090743D" w:rsidP="00145FF0">
                  <w:pPr>
                    <w:numPr>
                      <w:ilvl w:val="0"/>
                      <w:numId w:val="11"/>
                    </w:numPr>
                    <w:tabs>
                      <w:tab w:val="clear" w:pos="720"/>
                      <w:tab w:val="num" w:pos="540"/>
                    </w:tabs>
                    <w:ind w:left="360" w:hanging="270"/>
                    <w:rPr>
                      <w:sz w:val="20"/>
                    </w:rPr>
                  </w:pPr>
                  <w:r w:rsidRPr="001703FC">
                    <w:rPr>
                      <w:b/>
                      <w:sz w:val="20"/>
                    </w:rPr>
                    <w:t>Stipend</w:t>
                  </w:r>
                  <w:r>
                    <w:rPr>
                      <w:b/>
                      <w:sz w:val="20"/>
                    </w:rPr>
                    <w:t>s</w:t>
                  </w:r>
                  <w:r w:rsidRPr="001703FC">
                    <w:rPr>
                      <w:sz w:val="20"/>
                    </w:rPr>
                    <w:t xml:space="preserve"> for administrators, teachers and substitutes (not part of required extended time) for professional development</w:t>
                  </w:r>
                </w:p>
                <w:p w:rsidR="0090743D" w:rsidRPr="001703FC" w:rsidRDefault="0090743D" w:rsidP="00145FF0">
                  <w:pPr>
                    <w:numPr>
                      <w:ilvl w:val="0"/>
                      <w:numId w:val="11"/>
                    </w:numPr>
                    <w:tabs>
                      <w:tab w:val="clear" w:pos="720"/>
                      <w:tab w:val="num" w:pos="540"/>
                    </w:tabs>
                    <w:ind w:left="360" w:hanging="270"/>
                    <w:rPr>
                      <w:b/>
                      <w:sz w:val="20"/>
                    </w:rPr>
                  </w:pPr>
                  <w:r w:rsidRPr="001703FC">
                    <w:rPr>
                      <w:b/>
                      <w:sz w:val="20"/>
                    </w:rPr>
                    <w:t>Consultants</w:t>
                  </w:r>
                </w:p>
                <w:p w:rsidR="0090743D" w:rsidRPr="001703FC" w:rsidRDefault="0090743D" w:rsidP="00145FF0">
                  <w:pPr>
                    <w:numPr>
                      <w:ilvl w:val="0"/>
                      <w:numId w:val="11"/>
                    </w:numPr>
                    <w:tabs>
                      <w:tab w:val="clear" w:pos="720"/>
                      <w:tab w:val="num" w:pos="540"/>
                    </w:tabs>
                    <w:ind w:left="360" w:hanging="270"/>
                    <w:rPr>
                      <w:b/>
                      <w:sz w:val="20"/>
                    </w:rPr>
                  </w:pPr>
                  <w:r w:rsidRPr="001703FC">
                    <w:rPr>
                      <w:b/>
                      <w:sz w:val="20"/>
                    </w:rPr>
                    <w:t>Materials</w:t>
                  </w:r>
                  <w:r>
                    <w:rPr>
                      <w:sz w:val="20"/>
                    </w:rPr>
                    <w:t xml:space="preserve">, including technology </w:t>
                  </w:r>
                </w:p>
                <w:p w:rsidR="0090743D" w:rsidRPr="001703FC" w:rsidRDefault="0090743D" w:rsidP="00145FF0">
                  <w:pPr>
                    <w:numPr>
                      <w:ilvl w:val="0"/>
                      <w:numId w:val="11"/>
                    </w:numPr>
                    <w:tabs>
                      <w:tab w:val="clear" w:pos="720"/>
                      <w:tab w:val="num" w:pos="540"/>
                    </w:tabs>
                    <w:ind w:left="360" w:hanging="270"/>
                    <w:rPr>
                      <w:sz w:val="20"/>
                    </w:rPr>
                  </w:pPr>
                  <w:r w:rsidRPr="001703FC">
                    <w:rPr>
                      <w:b/>
                      <w:sz w:val="20"/>
                    </w:rPr>
                    <w:t>Other</w:t>
                  </w:r>
                  <w:r>
                    <w:rPr>
                      <w:sz w:val="20"/>
                    </w:rPr>
                    <w:t xml:space="preserve"> (e.g., </w:t>
                  </w:r>
                  <w:r w:rsidRPr="001703FC">
                    <w:rPr>
                      <w:sz w:val="20"/>
                    </w:rPr>
                    <w:t>Incentives, Travel)</w:t>
                  </w:r>
                </w:p>
                <w:p w:rsidR="0090743D" w:rsidRPr="001703FC" w:rsidRDefault="0090743D" w:rsidP="001703FC">
                  <w:pPr>
                    <w:spacing w:before="160" w:after="80"/>
                    <w:rPr>
                      <w:b/>
                      <w:sz w:val="20"/>
                    </w:rPr>
                  </w:pPr>
                  <w:r w:rsidRPr="001703FC">
                    <w:rPr>
                      <w:b/>
                      <w:sz w:val="20"/>
                    </w:rPr>
                    <w:t>Improvement Focus</w:t>
                  </w:r>
                  <w:r>
                    <w:rPr>
                      <w:b/>
                      <w:sz w:val="20"/>
                    </w:rPr>
                    <w:t xml:space="preserve">: </w:t>
                  </w:r>
                  <w:r w:rsidRPr="001703FC">
                    <w:rPr>
                      <w:b/>
                      <w:i/>
                      <w:sz w:val="20"/>
                    </w:rPr>
                    <w:t xml:space="preserve">What was the </w:t>
                  </w:r>
                  <w:r>
                    <w:rPr>
                      <w:b/>
                      <w:i/>
                      <w:sz w:val="20"/>
                    </w:rPr>
                    <w:t>foci</w:t>
                  </w:r>
                  <w:r w:rsidRPr="001703FC">
                    <w:rPr>
                      <w:b/>
                      <w:i/>
                      <w:sz w:val="20"/>
                    </w:rPr>
                    <w:t xml:space="preserve"> and target of </w:t>
                  </w:r>
                  <w:r>
                    <w:rPr>
                      <w:b/>
                      <w:i/>
                      <w:sz w:val="20"/>
                    </w:rPr>
                    <w:t>SIG funds</w:t>
                  </w:r>
                  <w:r w:rsidRPr="001703FC">
                    <w:rPr>
                      <w:b/>
                      <w:i/>
                      <w:sz w:val="20"/>
                    </w:rPr>
                    <w:t>?</w:t>
                  </w:r>
                </w:p>
                <w:p w:rsidR="0090743D" w:rsidRPr="001703FC" w:rsidRDefault="0090743D" w:rsidP="00145FF0">
                  <w:pPr>
                    <w:numPr>
                      <w:ilvl w:val="0"/>
                      <w:numId w:val="10"/>
                    </w:numPr>
                    <w:tabs>
                      <w:tab w:val="clear" w:pos="720"/>
                      <w:tab w:val="num" w:pos="360"/>
                    </w:tabs>
                    <w:ind w:left="360" w:hanging="270"/>
                    <w:rPr>
                      <w:sz w:val="20"/>
                    </w:rPr>
                  </w:pPr>
                  <w:r>
                    <w:rPr>
                      <w:sz w:val="20"/>
                    </w:rPr>
                    <w:t>Implementation and o</w:t>
                  </w:r>
                  <w:r w:rsidRPr="001703FC">
                    <w:rPr>
                      <w:sz w:val="20"/>
                    </w:rPr>
                    <w:t>versight</w:t>
                  </w:r>
                </w:p>
                <w:p w:rsidR="0090743D" w:rsidRPr="001703FC" w:rsidRDefault="0090743D" w:rsidP="00145FF0">
                  <w:pPr>
                    <w:numPr>
                      <w:ilvl w:val="0"/>
                      <w:numId w:val="10"/>
                    </w:numPr>
                    <w:tabs>
                      <w:tab w:val="clear" w:pos="720"/>
                      <w:tab w:val="num" w:pos="360"/>
                    </w:tabs>
                    <w:ind w:left="360" w:hanging="270"/>
                    <w:rPr>
                      <w:sz w:val="20"/>
                    </w:rPr>
                  </w:pPr>
                  <w:r>
                    <w:rPr>
                      <w:sz w:val="20"/>
                    </w:rPr>
                    <w:t>Redesign team p</w:t>
                  </w:r>
                  <w:r w:rsidRPr="001703FC">
                    <w:rPr>
                      <w:sz w:val="20"/>
                    </w:rPr>
                    <w:t>lanning</w:t>
                  </w:r>
                </w:p>
                <w:p w:rsidR="0090743D" w:rsidRPr="001703FC" w:rsidRDefault="0090743D" w:rsidP="00145FF0">
                  <w:pPr>
                    <w:numPr>
                      <w:ilvl w:val="0"/>
                      <w:numId w:val="10"/>
                    </w:numPr>
                    <w:tabs>
                      <w:tab w:val="clear" w:pos="720"/>
                      <w:tab w:val="num" w:pos="360"/>
                    </w:tabs>
                    <w:ind w:left="360" w:hanging="270"/>
                    <w:rPr>
                      <w:sz w:val="20"/>
                    </w:rPr>
                  </w:pPr>
                  <w:r>
                    <w:rPr>
                      <w:sz w:val="20"/>
                    </w:rPr>
                    <w:t>Direct instructional support to s</w:t>
                  </w:r>
                  <w:r w:rsidRPr="001703FC">
                    <w:rPr>
                      <w:sz w:val="20"/>
                    </w:rPr>
                    <w:t>tudents</w:t>
                  </w:r>
                </w:p>
                <w:p w:rsidR="0090743D" w:rsidRPr="001703FC" w:rsidRDefault="0090743D" w:rsidP="00145FF0">
                  <w:pPr>
                    <w:numPr>
                      <w:ilvl w:val="0"/>
                      <w:numId w:val="10"/>
                    </w:numPr>
                    <w:tabs>
                      <w:tab w:val="clear" w:pos="720"/>
                      <w:tab w:val="num" w:pos="360"/>
                    </w:tabs>
                    <w:ind w:left="360" w:hanging="270"/>
                    <w:rPr>
                      <w:sz w:val="20"/>
                    </w:rPr>
                  </w:pPr>
                  <w:r>
                    <w:rPr>
                      <w:sz w:val="20"/>
                    </w:rPr>
                    <w:t>Formal professional d</w:t>
                  </w:r>
                  <w:r w:rsidRPr="001703FC">
                    <w:rPr>
                      <w:sz w:val="20"/>
                    </w:rPr>
                    <w:t>evelopment</w:t>
                  </w:r>
                </w:p>
                <w:p w:rsidR="0090743D" w:rsidRPr="001703FC" w:rsidRDefault="0090743D" w:rsidP="00145FF0">
                  <w:pPr>
                    <w:numPr>
                      <w:ilvl w:val="0"/>
                      <w:numId w:val="10"/>
                    </w:numPr>
                    <w:tabs>
                      <w:tab w:val="clear" w:pos="720"/>
                      <w:tab w:val="num" w:pos="360"/>
                    </w:tabs>
                    <w:ind w:left="360" w:hanging="270"/>
                    <w:rPr>
                      <w:sz w:val="20"/>
                    </w:rPr>
                  </w:pPr>
                  <w:r>
                    <w:rPr>
                      <w:sz w:val="20"/>
                    </w:rPr>
                    <w:t>Job-embedded professional d</w:t>
                  </w:r>
                  <w:r w:rsidRPr="001703FC">
                    <w:rPr>
                      <w:sz w:val="20"/>
                    </w:rPr>
                    <w:t>evelopment</w:t>
                  </w:r>
                </w:p>
                <w:p w:rsidR="0090743D" w:rsidRPr="001703FC" w:rsidRDefault="0090743D" w:rsidP="00145FF0">
                  <w:pPr>
                    <w:numPr>
                      <w:ilvl w:val="0"/>
                      <w:numId w:val="10"/>
                    </w:numPr>
                    <w:tabs>
                      <w:tab w:val="clear" w:pos="720"/>
                      <w:tab w:val="num" w:pos="360"/>
                    </w:tabs>
                    <w:ind w:left="360" w:hanging="270"/>
                    <w:rPr>
                      <w:sz w:val="20"/>
                    </w:rPr>
                  </w:pPr>
                  <w:r w:rsidRPr="001703FC">
                    <w:rPr>
                      <w:sz w:val="20"/>
                    </w:rPr>
                    <w:t>Data (primarily new assessments)</w:t>
                  </w:r>
                </w:p>
                <w:p w:rsidR="0090743D" w:rsidRPr="001703FC" w:rsidRDefault="0090743D" w:rsidP="00145FF0">
                  <w:pPr>
                    <w:numPr>
                      <w:ilvl w:val="0"/>
                      <w:numId w:val="10"/>
                    </w:numPr>
                    <w:tabs>
                      <w:tab w:val="clear" w:pos="720"/>
                      <w:tab w:val="num" w:pos="360"/>
                    </w:tabs>
                    <w:ind w:left="360" w:hanging="270"/>
                    <w:rPr>
                      <w:sz w:val="20"/>
                    </w:rPr>
                  </w:pPr>
                  <w:r>
                    <w:rPr>
                      <w:sz w:val="20"/>
                    </w:rPr>
                    <w:t xml:space="preserve">Materials, </w:t>
                  </w:r>
                  <w:r w:rsidRPr="001703FC">
                    <w:rPr>
                      <w:sz w:val="20"/>
                    </w:rPr>
                    <w:t>incl</w:t>
                  </w:r>
                  <w:r>
                    <w:rPr>
                      <w:sz w:val="20"/>
                    </w:rPr>
                    <w:t xml:space="preserve">uding technology </w:t>
                  </w:r>
                </w:p>
                <w:p w:rsidR="0090743D" w:rsidRDefault="0090743D" w:rsidP="00145FF0">
                  <w:pPr>
                    <w:numPr>
                      <w:ilvl w:val="0"/>
                      <w:numId w:val="10"/>
                    </w:numPr>
                    <w:tabs>
                      <w:tab w:val="clear" w:pos="720"/>
                      <w:tab w:val="num" w:pos="360"/>
                    </w:tabs>
                    <w:ind w:left="360" w:hanging="270"/>
                    <w:rPr>
                      <w:sz w:val="20"/>
                    </w:rPr>
                  </w:pPr>
                  <w:r>
                    <w:rPr>
                      <w:sz w:val="20"/>
                    </w:rPr>
                    <w:t>Social-emotional programs and s</w:t>
                  </w:r>
                  <w:r w:rsidRPr="001703FC">
                    <w:rPr>
                      <w:sz w:val="20"/>
                    </w:rPr>
                    <w:t>ervices</w:t>
                  </w:r>
                </w:p>
                <w:p w:rsidR="0090743D" w:rsidRDefault="0090743D" w:rsidP="00145FF0">
                  <w:pPr>
                    <w:numPr>
                      <w:ilvl w:val="0"/>
                      <w:numId w:val="10"/>
                    </w:numPr>
                    <w:tabs>
                      <w:tab w:val="clear" w:pos="720"/>
                      <w:tab w:val="num" w:pos="360"/>
                    </w:tabs>
                    <w:ind w:left="360" w:hanging="270"/>
                    <w:rPr>
                      <w:sz w:val="20"/>
                    </w:rPr>
                  </w:pPr>
                  <w:r>
                    <w:rPr>
                      <w:sz w:val="20"/>
                    </w:rPr>
                    <w:t>Parent and community e</w:t>
                  </w:r>
                  <w:r w:rsidRPr="001703FC">
                    <w:rPr>
                      <w:sz w:val="20"/>
                    </w:rPr>
                    <w:t>ngagement</w:t>
                  </w:r>
                </w:p>
                <w:p w:rsidR="0090743D" w:rsidRPr="001703FC" w:rsidRDefault="0090743D" w:rsidP="00145FF0">
                  <w:pPr>
                    <w:numPr>
                      <w:ilvl w:val="0"/>
                      <w:numId w:val="10"/>
                    </w:numPr>
                    <w:tabs>
                      <w:tab w:val="clear" w:pos="720"/>
                      <w:tab w:val="num" w:pos="360"/>
                    </w:tabs>
                    <w:ind w:left="360" w:hanging="270"/>
                    <w:rPr>
                      <w:sz w:val="20"/>
                    </w:rPr>
                  </w:pPr>
                  <w:r>
                    <w:rPr>
                      <w:sz w:val="20"/>
                    </w:rPr>
                    <w:t>Other/m</w:t>
                  </w:r>
                  <w:r w:rsidRPr="001703FC">
                    <w:rPr>
                      <w:sz w:val="20"/>
                    </w:rPr>
                    <w:t>isc.</w:t>
                  </w:r>
                </w:p>
                <w:p w:rsidR="0090743D" w:rsidRPr="001703FC" w:rsidRDefault="0090743D" w:rsidP="001703FC">
                  <w:pPr>
                    <w:rPr>
                      <w:sz w:val="20"/>
                    </w:rPr>
                  </w:pPr>
                </w:p>
              </w:txbxContent>
            </v:textbox>
            <w10:wrap type="square"/>
          </v:shape>
        </w:pict>
      </w:r>
      <w:r w:rsidR="00983BD0">
        <w:rPr>
          <w:b/>
          <w:color w:val="365F91" w:themeColor="accent1" w:themeShade="BF"/>
          <w:sz w:val="22"/>
          <w:szCs w:val="22"/>
        </w:rPr>
        <w:t>Budget Analysis Categories</w:t>
      </w:r>
    </w:p>
    <w:p w:rsidR="00983BD0" w:rsidRDefault="00983BD0" w:rsidP="00983BD0">
      <w:pPr>
        <w:spacing w:line="288" w:lineRule="auto"/>
        <w:rPr>
          <w:sz w:val="22"/>
          <w:szCs w:val="22"/>
        </w:rPr>
      </w:pPr>
      <w:r>
        <w:rPr>
          <w:sz w:val="22"/>
          <w:szCs w:val="22"/>
        </w:rPr>
        <w:t xml:space="preserve">The analysis utilizes two different frames, or lenses, through which to </w:t>
      </w:r>
      <w:r w:rsidR="009D4E48">
        <w:rPr>
          <w:sz w:val="22"/>
          <w:szCs w:val="22"/>
        </w:rPr>
        <w:t>consider</w:t>
      </w:r>
      <w:r>
        <w:rPr>
          <w:sz w:val="22"/>
          <w:szCs w:val="22"/>
        </w:rPr>
        <w:t xml:space="preserve"> how districts and schools allocate funds. </w:t>
      </w:r>
    </w:p>
    <w:p w:rsidR="00983BD0" w:rsidRDefault="00983BD0" w:rsidP="00983BD0">
      <w:pPr>
        <w:spacing w:line="288" w:lineRule="auto"/>
        <w:rPr>
          <w:sz w:val="22"/>
          <w:szCs w:val="22"/>
        </w:rPr>
      </w:pPr>
    </w:p>
    <w:p w:rsidR="00983BD0" w:rsidRDefault="00983BD0" w:rsidP="00983BD0">
      <w:pPr>
        <w:spacing w:line="288" w:lineRule="auto"/>
        <w:rPr>
          <w:sz w:val="22"/>
          <w:szCs w:val="22"/>
        </w:rPr>
      </w:pPr>
      <w:r>
        <w:rPr>
          <w:sz w:val="22"/>
          <w:szCs w:val="22"/>
        </w:rPr>
        <w:t xml:space="preserve">The </w:t>
      </w:r>
      <w:r w:rsidRPr="00983BD0">
        <w:rPr>
          <w:b/>
          <w:sz w:val="22"/>
          <w:szCs w:val="22"/>
        </w:rPr>
        <w:t>Staffing, Time, and Resources</w:t>
      </w:r>
      <w:r>
        <w:rPr>
          <w:sz w:val="22"/>
          <w:szCs w:val="22"/>
        </w:rPr>
        <w:t xml:space="preserve"> lens provides a snapshot of ho</w:t>
      </w:r>
      <w:r w:rsidR="001703FC">
        <w:rPr>
          <w:sz w:val="22"/>
          <w:szCs w:val="22"/>
        </w:rPr>
        <w:t>w districts and school</w:t>
      </w:r>
      <w:r w:rsidR="00CE1BF9">
        <w:rPr>
          <w:sz w:val="22"/>
          <w:szCs w:val="22"/>
        </w:rPr>
        <w:t>s</w:t>
      </w:r>
      <w:r w:rsidR="001703FC">
        <w:rPr>
          <w:sz w:val="22"/>
          <w:szCs w:val="22"/>
        </w:rPr>
        <w:t xml:space="preserve"> allocate</w:t>
      </w:r>
      <w:r>
        <w:rPr>
          <w:sz w:val="22"/>
          <w:szCs w:val="22"/>
        </w:rPr>
        <w:t xml:space="preserve"> funds for the hiring of people, for stipends for teacher</w:t>
      </w:r>
      <w:r w:rsidR="001703FC">
        <w:rPr>
          <w:sz w:val="22"/>
          <w:szCs w:val="22"/>
        </w:rPr>
        <w:t>s</w:t>
      </w:r>
      <w:r>
        <w:rPr>
          <w:sz w:val="22"/>
          <w:szCs w:val="22"/>
        </w:rPr>
        <w:t xml:space="preserve"> primarily </w:t>
      </w:r>
      <w:r w:rsidR="008230A5">
        <w:rPr>
          <w:sz w:val="22"/>
          <w:szCs w:val="22"/>
        </w:rPr>
        <w:t xml:space="preserve">as compensation for </w:t>
      </w:r>
      <w:r>
        <w:rPr>
          <w:sz w:val="22"/>
          <w:szCs w:val="22"/>
        </w:rPr>
        <w:t xml:space="preserve">extended </w:t>
      </w:r>
      <w:r w:rsidR="008230A5">
        <w:rPr>
          <w:sz w:val="22"/>
          <w:szCs w:val="22"/>
        </w:rPr>
        <w:t xml:space="preserve">learning </w:t>
      </w:r>
      <w:r>
        <w:rPr>
          <w:sz w:val="22"/>
          <w:szCs w:val="22"/>
        </w:rPr>
        <w:t xml:space="preserve">time </w:t>
      </w:r>
      <w:r w:rsidR="008230A5">
        <w:rPr>
          <w:sz w:val="22"/>
          <w:szCs w:val="22"/>
        </w:rPr>
        <w:t>and</w:t>
      </w:r>
      <w:r>
        <w:rPr>
          <w:sz w:val="22"/>
          <w:szCs w:val="22"/>
        </w:rPr>
        <w:t xml:space="preserve"> </w:t>
      </w:r>
      <w:r w:rsidR="001703FC">
        <w:rPr>
          <w:sz w:val="22"/>
          <w:szCs w:val="22"/>
        </w:rPr>
        <w:t>for professional development</w:t>
      </w:r>
      <w:r>
        <w:rPr>
          <w:sz w:val="22"/>
          <w:szCs w:val="22"/>
        </w:rPr>
        <w:t xml:space="preserve">, and additional funding for consultants, materials, and other aspects of the work, such as incentives or travel.  </w:t>
      </w:r>
    </w:p>
    <w:p w:rsidR="00983BD0" w:rsidRDefault="00983BD0" w:rsidP="00983BD0">
      <w:pPr>
        <w:spacing w:line="288" w:lineRule="auto"/>
        <w:rPr>
          <w:sz w:val="22"/>
          <w:szCs w:val="22"/>
        </w:rPr>
      </w:pPr>
    </w:p>
    <w:p w:rsidR="00B96FE7" w:rsidRPr="00FD2C0F" w:rsidRDefault="00143C53" w:rsidP="00FD2C0F">
      <w:pPr>
        <w:spacing w:line="288" w:lineRule="auto"/>
        <w:rPr>
          <w:sz w:val="22"/>
          <w:szCs w:val="22"/>
        </w:rPr>
      </w:pPr>
      <w:r>
        <w:rPr>
          <w:sz w:val="22"/>
          <w:szCs w:val="22"/>
        </w:rPr>
        <w:t xml:space="preserve">The </w:t>
      </w:r>
      <w:r w:rsidRPr="00143C53">
        <w:rPr>
          <w:b/>
          <w:sz w:val="22"/>
          <w:szCs w:val="22"/>
        </w:rPr>
        <w:t>Improvement Focus</w:t>
      </w:r>
      <w:r>
        <w:rPr>
          <w:sz w:val="22"/>
          <w:szCs w:val="22"/>
        </w:rPr>
        <w:t xml:space="preserve"> lens distinguishes the </w:t>
      </w:r>
      <w:r w:rsidR="009D4E48">
        <w:rPr>
          <w:sz w:val="22"/>
          <w:szCs w:val="22"/>
        </w:rPr>
        <w:t xml:space="preserve">purposes and intentionality </w:t>
      </w:r>
      <w:r>
        <w:rPr>
          <w:sz w:val="22"/>
          <w:szCs w:val="22"/>
        </w:rPr>
        <w:t>of funds allocated for new staff, for time, and for resources. This lens drills down into the particular foci of each school’s turnaround effort; making distinctions</w:t>
      </w:r>
      <w:r w:rsidR="009D4E48">
        <w:rPr>
          <w:sz w:val="22"/>
          <w:szCs w:val="22"/>
        </w:rPr>
        <w:t>,</w:t>
      </w:r>
      <w:r w:rsidR="00FD5A90">
        <w:rPr>
          <w:sz w:val="22"/>
          <w:szCs w:val="22"/>
        </w:rPr>
        <w:t xml:space="preserve"> for instance,</w:t>
      </w:r>
      <w:r w:rsidR="009D4E48">
        <w:rPr>
          <w:sz w:val="22"/>
          <w:szCs w:val="22"/>
        </w:rPr>
        <w:t xml:space="preserve"> </w:t>
      </w:r>
      <w:r>
        <w:rPr>
          <w:sz w:val="22"/>
          <w:szCs w:val="22"/>
        </w:rPr>
        <w:t xml:space="preserve">between one school’s funding of a new staff person focused on providing </w:t>
      </w:r>
      <w:r w:rsidRPr="001703FC">
        <w:rPr>
          <w:i/>
          <w:sz w:val="22"/>
          <w:szCs w:val="22"/>
        </w:rPr>
        <w:t>direct instruction to students</w:t>
      </w:r>
      <w:r>
        <w:rPr>
          <w:sz w:val="22"/>
          <w:szCs w:val="22"/>
        </w:rPr>
        <w:t>, compared to another school</w:t>
      </w:r>
      <w:r w:rsidR="001703FC">
        <w:rPr>
          <w:sz w:val="22"/>
          <w:szCs w:val="22"/>
        </w:rPr>
        <w:t>’</w:t>
      </w:r>
      <w:r>
        <w:rPr>
          <w:sz w:val="22"/>
          <w:szCs w:val="22"/>
        </w:rPr>
        <w:t xml:space="preserve">s hiring of an administrator to </w:t>
      </w:r>
      <w:r w:rsidR="001703FC">
        <w:rPr>
          <w:sz w:val="22"/>
          <w:szCs w:val="22"/>
        </w:rPr>
        <w:t xml:space="preserve">improve </w:t>
      </w:r>
      <w:r w:rsidR="001703FC" w:rsidRPr="001703FC">
        <w:rPr>
          <w:i/>
          <w:sz w:val="22"/>
          <w:szCs w:val="22"/>
        </w:rPr>
        <w:t>parent and community engagement</w:t>
      </w:r>
      <w:r w:rsidR="001703FC">
        <w:rPr>
          <w:sz w:val="22"/>
          <w:szCs w:val="22"/>
        </w:rPr>
        <w:t>.</w:t>
      </w:r>
      <w:r>
        <w:rPr>
          <w:sz w:val="22"/>
          <w:szCs w:val="22"/>
        </w:rPr>
        <w:t xml:space="preserve"> </w:t>
      </w:r>
    </w:p>
    <w:p w:rsidR="00E8506C" w:rsidRPr="00581820" w:rsidRDefault="00691BCB" w:rsidP="00581820">
      <w:pPr>
        <w:spacing w:after="160"/>
        <w:rPr>
          <w:b/>
          <w:sz w:val="22"/>
          <w:szCs w:val="22"/>
        </w:rPr>
      </w:pPr>
      <w:r>
        <w:rPr>
          <w:b/>
          <w:color w:val="365F91" w:themeColor="accent1" w:themeShade="BF"/>
          <w:sz w:val="22"/>
          <w:szCs w:val="22"/>
        </w:rPr>
        <w:lastRenderedPageBreak/>
        <w:t>Staffing, Time, and Resources</w:t>
      </w:r>
      <w:r w:rsidR="00B53A52">
        <w:rPr>
          <w:b/>
          <w:color w:val="365F91" w:themeColor="accent1" w:themeShade="BF"/>
          <w:sz w:val="22"/>
          <w:szCs w:val="22"/>
        </w:rPr>
        <w:t>: How</w:t>
      </w:r>
      <w:r w:rsidR="00C70DAB">
        <w:rPr>
          <w:b/>
          <w:color w:val="365F91" w:themeColor="accent1" w:themeShade="BF"/>
          <w:sz w:val="22"/>
          <w:szCs w:val="22"/>
        </w:rPr>
        <w:t xml:space="preserve"> and where did schools allocate</w:t>
      </w:r>
      <w:r w:rsidR="00B53A52">
        <w:rPr>
          <w:b/>
          <w:color w:val="365F91" w:themeColor="accent1" w:themeShade="BF"/>
          <w:sz w:val="22"/>
          <w:szCs w:val="22"/>
        </w:rPr>
        <w:t xml:space="preserve"> funds?</w:t>
      </w:r>
    </w:p>
    <w:p w:rsidR="00E8506C" w:rsidRPr="00BB3BA8" w:rsidRDefault="00C46EA3" w:rsidP="00BB3BA8">
      <w:pPr>
        <w:spacing w:line="288" w:lineRule="auto"/>
        <w:rPr>
          <w:sz w:val="22"/>
          <w:szCs w:val="22"/>
        </w:rPr>
      </w:pPr>
      <w:r>
        <w:rPr>
          <w:noProof/>
          <w:lang w:eastAsia="zh-CN"/>
        </w:rPr>
        <w:drawing>
          <wp:anchor distT="0" distB="0" distL="114300" distR="114300" simplePos="0" relativeHeight="251720704" behindDoc="1" locked="0" layoutInCell="1" allowOverlap="1">
            <wp:simplePos x="0" y="0"/>
            <wp:positionH relativeFrom="column">
              <wp:posOffset>2506980</wp:posOffset>
            </wp:positionH>
            <wp:positionV relativeFrom="paragraph">
              <wp:posOffset>629285</wp:posOffset>
            </wp:positionV>
            <wp:extent cx="3787140" cy="1882140"/>
            <wp:effectExtent l="0" t="0" r="3810" b="3810"/>
            <wp:wrapTight wrapText="bothSides">
              <wp:wrapPolygon edited="0">
                <wp:start x="0" y="0"/>
                <wp:lineTo x="0" y="21644"/>
                <wp:lineTo x="21622" y="21644"/>
                <wp:lineTo x="21622" y="0"/>
                <wp:lineTo x="0" y="0"/>
              </wp:wrapPolygon>
            </wp:wrapTight>
            <wp:docPr id="3" name="Chart 3" descr="The percent allocation and dollar amount (in millions) of total SRG and Bridge Grant funds by Staffing, Time, and Resources, 2010 to 2012&#10;Staffing-:$6.45 million, 24%&#10;Stipends: Non-Extended Time $4.06 million, 15%&#10;Stipends: Extended Time: $9.44 million, 34%&#10;Consulting: $5.24 million, 19%&#10;Materials: $1.94 million, 7%&#10;Other: $.34 million,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00E8506C" w:rsidRPr="00652C97">
        <w:rPr>
          <w:sz w:val="22"/>
          <w:szCs w:val="22"/>
        </w:rPr>
        <w:t xml:space="preserve">Excluding fringe benefits, </w:t>
      </w:r>
      <w:r w:rsidR="00581820" w:rsidRPr="00CE3118">
        <w:rPr>
          <w:b/>
          <w:sz w:val="22"/>
          <w:szCs w:val="22"/>
        </w:rPr>
        <w:t>$27.36 million</w:t>
      </w:r>
      <w:r w:rsidR="00581820">
        <w:rPr>
          <w:sz w:val="22"/>
          <w:szCs w:val="22"/>
        </w:rPr>
        <w:t xml:space="preserve"> of </w:t>
      </w:r>
      <w:r w:rsidR="00CE3118">
        <w:rPr>
          <w:sz w:val="22"/>
          <w:szCs w:val="22"/>
        </w:rPr>
        <w:t xml:space="preserve">combined </w:t>
      </w:r>
      <w:r w:rsidR="00FD5A90">
        <w:rPr>
          <w:sz w:val="22"/>
          <w:szCs w:val="22"/>
        </w:rPr>
        <w:t>SR</w:t>
      </w:r>
      <w:r w:rsidR="00581820">
        <w:rPr>
          <w:sz w:val="22"/>
          <w:szCs w:val="22"/>
        </w:rPr>
        <w:t>G</w:t>
      </w:r>
      <w:r w:rsidR="002965A3">
        <w:rPr>
          <w:sz w:val="22"/>
          <w:szCs w:val="22"/>
        </w:rPr>
        <w:t xml:space="preserve"> </w:t>
      </w:r>
      <w:r w:rsidR="008476BC">
        <w:rPr>
          <w:sz w:val="22"/>
          <w:szCs w:val="22"/>
        </w:rPr>
        <w:t xml:space="preserve">program </w:t>
      </w:r>
      <w:r w:rsidR="002965A3">
        <w:rPr>
          <w:sz w:val="22"/>
          <w:szCs w:val="22"/>
        </w:rPr>
        <w:t>(</w:t>
      </w:r>
      <w:r w:rsidR="008476BC">
        <w:rPr>
          <w:sz w:val="22"/>
          <w:szCs w:val="22"/>
        </w:rPr>
        <w:t>$24.67 million)</w:t>
      </w:r>
      <w:r w:rsidR="00581820">
        <w:rPr>
          <w:sz w:val="22"/>
          <w:szCs w:val="22"/>
        </w:rPr>
        <w:t xml:space="preserve"> and Bridge Grant</w:t>
      </w:r>
      <w:r w:rsidR="00BB3BA8">
        <w:rPr>
          <w:sz w:val="22"/>
          <w:szCs w:val="22"/>
        </w:rPr>
        <w:t xml:space="preserve"> ($2.69</w:t>
      </w:r>
      <w:r w:rsidR="008476BC">
        <w:rPr>
          <w:sz w:val="22"/>
          <w:szCs w:val="22"/>
        </w:rPr>
        <w:t xml:space="preserve"> million)</w:t>
      </w:r>
      <w:r w:rsidR="002965A3">
        <w:rPr>
          <w:sz w:val="22"/>
          <w:szCs w:val="22"/>
        </w:rPr>
        <w:t xml:space="preserve"> </w:t>
      </w:r>
      <w:r w:rsidR="008476BC">
        <w:rPr>
          <w:sz w:val="22"/>
          <w:szCs w:val="22"/>
        </w:rPr>
        <w:t xml:space="preserve">funding was awarded to </w:t>
      </w:r>
      <w:r w:rsidR="00581820">
        <w:rPr>
          <w:sz w:val="22"/>
          <w:szCs w:val="22"/>
        </w:rPr>
        <w:t>30 schools</w:t>
      </w:r>
      <w:r w:rsidR="008476BC">
        <w:rPr>
          <w:sz w:val="22"/>
          <w:szCs w:val="22"/>
        </w:rPr>
        <w:t>,</w:t>
      </w:r>
      <w:r w:rsidR="00581820">
        <w:rPr>
          <w:sz w:val="22"/>
          <w:szCs w:val="22"/>
        </w:rPr>
        <w:t xml:space="preserve"> </w:t>
      </w:r>
      <w:r w:rsidR="008476BC">
        <w:rPr>
          <w:sz w:val="22"/>
          <w:szCs w:val="22"/>
        </w:rPr>
        <w:t xml:space="preserve">in </w:t>
      </w:r>
      <w:r w:rsidR="00581820">
        <w:rPr>
          <w:sz w:val="22"/>
          <w:szCs w:val="22"/>
        </w:rPr>
        <w:t>2010-11 and 2011-12</w:t>
      </w:r>
      <w:r w:rsidR="008476BC">
        <w:rPr>
          <w:sz w:val="22"/>
          <w:szCs w:val="22"/>
        </w:rPr>
        <w:t xml:space="preserve">. </w:t>
      </w:r>
      <w:r w:rsidR="00CE3118">
        <w:rPr>
          <w:sz w:val="22"/>
          <w:szCs w:val="22"/>
        </w:rPr>
        <w:t xml:space="preserve">As displayed in Chart 1, </w:t>
      </w:r>
      <w:r w:rsidR="00AA3DCA">
        <w:rPr>
          <w:sz w:val="22"/>
          <w:szCs w:val="22"/>
        </w:rPr>
        <w:t>t</w:t>
      </w:r>
      <w:r w:rsidR="00E8506C" w:rsidRPr="008476BC">
        <w:rPr>
          <w:sz w:val="22"/>
          <w:szCs w:val="22"/>
        </w:rPr>
        <w:t>he largest port</w:t>
      </w:r>
      <w:r w:rsidR="00CE3118">
        <w:rPr>
          <w:sz w:val="22"/>
          <w:szCs w:val="22"/>
        </w:rPr>
        <w:t>ion (34.5% of total funds, $9.44</w:t>
      </w:r>
      <w:r w:rsidR="00FC7625">
        <w:rPr>
          <w:sz w:val="22"/>
          <w:szCs w:val="22"/>
        </w:rPr>
        <w:t xml:space="preserve"> million) was allocated to </w:t>
      </w:r>
      <w:r w:rsidR="00FC7625" w:rsidRPr="006870E0">
        <w:rPr>
          <w:b/>
          <w:i/>
          <w:sz w:val="22"/>
          <w:szCs w:val="22"/>
        </w:rPr>
        <w:t>compensate</w:t>
      </w:r>
      <w:r w:rsidR="00E8506C" w:rsidRPr="006870E0">
        <w:rPr>
          <w:b/>
          <w:i/>
          <w:sz w:val="22"/>
          <w:szCs w:val="22"/>
        </w:rPr>
        <w:t xml:space="preserve"> teachers and teacher assistant</w:t>
      </w:r>
      <w:r w:rsidR="00BB3BA8" w:rsidRPr="006870E0">
        <w:rPr>
          <w:b/>
          <w:i/>
          <w:sz w:val="22"/>
          <w:szCs w:val="22"/>
        </w:rPr>
        <w:t>s</w:t>
      </w:r>
      <w:r w:rsidR="00FC7625" w:rsidRPr="006870E0">
        <w:rPr>
          <w:b/>
          <w:i/>
          <w:sz w:val="22"/>
          <w:szCs w:val="22"/>
        </w:rPr>
        <w:t xml:space="preserve"> for </w:t>
      </w:r>
      <w:r w:rsidR="006870E0">
        <w:rPr>
          <w:b/>
          <w:i/>
          <w:sz w:val="22"/>
          <w:szCs w:val="22"/>
        </w:rPr>
        <w:t>extended</w:t>
      </w:r>
      <w:r w:rsidR="00FC7625" w:rsidRPr="006870E0">
        <w:rPr>
          <w:b/>
          <w:i/>
          <w:sz w:val="22"/>
          <w:szCs w:val="22"/>
        </w:rPr>
        <w:t xml:space="preserve"> time in school</w:t>
      </w:r>
      <w:r w:rsidR="00FC7625">
        <w:rPr>
          <w:sz w:val="22"/>
          <w:szCs w:val="22"/>
        </w:rPr>
        <w:t>, stemming from the federal requirement to</w:t>
      </w:r>
      <w:r w:rsidR="006870E0">
        <w:rPr>
          <w:sz w:val="22"/>
          <w:szCs w:val="22"/>
        </w:rPr>
        <w:t xml:space="preserve"> increase learning time</w:t>
      </w:r>
      <w:r w:rsidR="00BB3BA8">
        <w:rPr>
          <w:rStyle w:val="FootnoteReference"/>
          <w:sz w:val="22"/>
          <w:szCs w:val="22"/>
        </w:rPr>
        <w:footnoteReference w:id="13"/>
      </w:r>
      <w:r w:rsidR="00E8506C" w:rsidRPr="008476BC">
        <w:rPr>
          <w:sz w:val="22"/>
          <w:szCs w:val="22"/>
        </w:rPr>
        <w:t xml:space="preserve">. </w:t>
      </w:r>
      <w:r w:rsidR="00E8506C" w:rsidRPr="00BB3BA8">
        <w:rPr>
          <w:sz w:val="22"/>
          <w:szCs w:val="22"/>
        </w:rPr>
        <w:t xml:space="preserve">The next largest allocation (23.6% of total funds, $6.45 million) went to </w:t>
      </w:r>
      <w:r w:rsidR="00E8506C" w:rsidRPr="0084663F">
        <w:rPr>
          <w:i/>
          <w:sz w:val="22"/>
          <w:szCs w:val="22"/>
        </w:rPr>
        <w:t>direct hiring and staffing of additional teachers and administrators.</w:t>
      </w:r>
      <w:r w:rsidR="00BB3BA8">
        <w:rPr>
          <w:sz w:val="22"/>
          <w:szCs w:val="22"/>
        </w:rPr>
        <w:t xml:space="preserve"> </w:t>
      </w:r>
      <w:r w:rsidR="00E8506C" w:rsidRPr="00BB3BA8">
        <w:rPr>
          <w:sz w:val="22"/>
          <w:szCs w:val="22"/>
        </w:rPr>
        <w:t xml:space="preserve">After staffing, </w:t>
      </w:r>
      <w:r w:rsidR="00E8506C" w:rsidRPr="0084663F">
        <w:rPr>
          <w:i/>
          <w:sz w:val="22"/>
          <w:szCs w:val="22"/>
        </w:rPr>
        <w:t>consulting</w:t>
      </w:r>
      <w:r w:rsidR="00E8506C" w:rsidRPr="00BB3BA8">
        <w:rPr>
          <w:sz w:val="22"/>
          <w:szCs w:val="22"/>
        </w:rPr>
        <w:t xml:space="preserve"> (at $5.2</w:t>
      </w:r>
      <w:r w:rsidR="00CE3118">
        <w:rPr>
          <w:sz w:val="22"/>
          <w:szCs w:val="22"/>
        </w:rPr>
        <w:t>4</w:t>
      </w:r>
      <w:r w:rsidR="00E8506C" w:rsidRPr="00BB3BA8">
        <w:rPr>
          <w:sz w:val="22"/>
          <w:szCs w:val="22"/>
        </w:rPr>
        <w:t xml:space="preserve"> million) and </w:t>
      </w:r>
      <w:r w:rsidR="00E8506C" w:rsidRPr="0084663F">
        <w:rPr>
          <w:i/>
          <w:sz w:val="22"/>
          <w:szCs w:val="22"/>
        </w:rPr>
        <w:t>additional stipends for teachers</w:t>
      </w:r>
      <w:r w:rsidR="00E8506C" w:rsidRPr="00BB3BA8">
        <w:rPr>
          <w:sz w:val="22"/>
          <w:szCs w:val="22"/>
        </w:rPr>
        <w:t xml:space="preserve"> for professional development and summer work (at </w:t>
      </w:r>
      <w:r w:rsidR="00CE3118">
        <w:rPr>
          <w:sz w:val="22"/>
          <w:szCs w:val="22"/>
        </w:rPr>
        <w:t>$</w:t>
      </w:r>
      <w:r w:rsidR="00E8506C" w:rsidRPr="00BB3BA8">
        <w:rPr>
          <w:sz w:val="22"/>
          <w:szCs w:val="22"/>
        </w:rPr>
        <w:t xml:space="preserve">4.05 million) were the next highest areas of funding. </w:t>
      </w:r>
    </w:p>
    <w:p w:rsidR="00E8506C" w:rsidRDefault="00E8506C" w:rsidP="00E8506C">
      <w:pPr>
        <w:rPr>
          <w:noProof/>
        </w:rPr>
      </w:pPr>
    </w:p>
    <w:p w:rsidR="00CE3118" w:rsidRPr="00691BCB" w:rsidRDefault="00691BCB" w:rsidP="00691BCB">
      <w:pPr>
        <w:spacing w:after="160"/>
        <w:rPr>
          <w:b/>
          <w:sz w:val="22"/>
          <w:szCs w:val="22"/>
        </w:rPr>
      </w:pPr>
      <w:r>
        <w:rPr>
          <w:b/>
          <w:color w:val="365F91" w:themeColor="accent1" w:themeShade="BF"/>
          <w:sz w:val="22"/>
          <w:szCs w:val="22"/>
        </w:rPr>
        <w:t>Staffing, Time, and Resources</w:t>
      </w:r>
      <w:r>
        <w:rPr>
          <w:b/>
          <w:sz w:val="22"/>
          <w:szCs w:val="22"/>
        </w:rPr>
        <w:t xml:space="preserve">: </w:t>
      </w:r>
      <w:r>
        <w:rPr>
          <w:b/>
          <w:color w:val="365F91" w:themeColor="accent1" w:themeShade="BF"/>
          <w:sz w:val="22"/>
          <w:szCs w:val="22"/>
        </w:rPr>
        <w:t>Analysis</w:t>
      </w:r>
    </w:p>
    <w:p w:rsidR="00B96FE7" w:rsidRDefault="00FD5A90" w:rsidP="00CE3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sz w:val="22"/>
          <w:szCs w:val="22"/>
        </w:rPr>
      </w:pPr>
      <w:r>
        <w:rPr>
          <w:sz w:val="22"/>
          <w:szCs w:val="22"/>
        </w:rPr>
        <w:t>Comparing the allocation of SR</w:t>
      </w:r>
      <w:r w:rsidR="00683C42">
        <w:rPr>
          <w:sz w:val="22"/>
          <w:szCs w:val="22"/>
        </w:rPr>
        <w:t xml:space="preserve">G resources across schools with different achievement trajectories, we found </w:t>
      </w:r>
      <w:r w:rsidR="00683C42" w:rsidRPr="00683C42">
        <w:rPr>
          <w:b/>
          <w:sz w:val="22"/>
          <w:szCs w:val="22"/>
        </w:rPr>
        <w:t xml:space="preserve">no </w:t>
      </w:r>
      <w:r w:rsidR="00683C42">
        <w:rPr>
          <w:b/>
          <w:bCs/>
          <w:sz w:val="22"/>
          <w:szCs w:val="22"/>
          <w:lang w:eastAsia="ja-JP"/>
        </w:rPr>
        <w:t>apparent or statistical difference</w:t>
      </w:r>
      <w:r w:rsidR="00683C42" w:rsidRPr="00652C97">
        <w:rPr>
          <w:b/>
          <w:bCs/>
          <w:sz w:val="22"/>
          <w:szCs w:val="22"/>
          <w:lang w:eastAsia="ja-JP"/>
        </w:rPr>
        <w:t xml:space="preserve"> in </w:t>
      </w:r>
      <w:r w:rsidR="00683C42">
        <w:rPr>
          <w:b/>
          <w:bCs/>
          <w:sz w:val="22"/>
          <w:szCs w:val="22"/>
          <w:lang w:eastAsia="ja-JP"/>
        </w:rPr>
        <w:t>how</w:t>
      </w:r>
      <w:r w:rsidR="00683C42" w:rsidRPr="00936911">
        <w:rPr>
          <w:b/>
          <w:bCs/>
          <w:sz w:val="22"/>
          <w:szCs w:val="22"/>
          <w:lang w:eastAsia="ja-JP"/>
        </w:rPr>
        <w:t xml:space="preserve"> </w:t>
      </w:r>
      <w:r w:rsidR="00683C42">
        <w:rPr>
          <w:b/>
          <w:bCs/>
          <w:sz w:val="22"/>
          <w:szCs w:val="22"/>
          <w:lang w:eastAsia="ja-JP"/>
        </w:rPr>
        <w:t>Achievement</w:t>
      </w:r>
      <w:r w:rsidR="00683C42" w:rsidRPr="00652C97">
        <w:rPr>
          <w:b/>
          <w:bCs/>
          <w:sz w:val="22"/>
          <w:szCs w:val="22"/>
          <w:lang w:eastAsia="ja-JP"/>
        </w:rPr>
        <w:t xml:space="preserve"> Gain schools and </w:t>
      </w:r>
      <w:r w:rsidR="00683C42">
        <w:rPr>
          <w:b/>
          <w:bCs/>
          <w:sz w:val="22"/>
          <w:szCs w:val="22"/>
          <w:lang w:eastAsia="ja-JP"/>
        </w:rPr>
        <w:t>Non-Gain</w:t>
      </w:r>
      <w:r w:rsidR="00683C42" w:rsidRPr="00652C97">
        <w:rPr>
          <w:b/>
          <w:bCs/>
          <w:sz w:val="22"/>
          <w:szCs w:val="22"/>
          <w:lang w:eastAsia="ja-JP"/>
        </w:rPr>
        <w:t xml:space="preserve"> schools</w:t>
      </w:r>
      <w:r w:rsidR="00683C42">
        <w:rPr>
          <w:b/>
          <w:bCs/>
          <w:sz w:val="22"/>
          <w:szCs w:val="22"/>
          <w:lang w:eastAsia="ja-JP"/>
        </w:rPr>
        <w:t xml:space="preserve"> allocated SRG funds towards staffing, time, and resources. </w:t>
      </w:r>
    </w:p>
    <w:p w:rsidR="00B96FE7" w:rsidRDefault="00B96FE7" w:rsidP="00CE3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sz w:val="22"/>
          <w:szCs w:val="22"/>
        </w:rPr>
      </w:pPr>
    </w:p>
    <w:p w:rsidR="00683C42" w:rsidRPr="002C589A" w:rsidRDefault="005C2C61" w:rsidP="00A31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w:hAnsi="Helvetica" w:cs="Helvetica"/>
          <w:b/>
          <w:color w:val="1F497D" w:themeColor="text2"/>
          <w:szCs w:val="24"/>
          <w:lang w:eastAsia="ja-JP"/>
        </w:rPr>
      </w:pPr>
      <w:proofErr w:type="gramStart"/>
      <w:r>
        <w:rPr>
          <w:b/>
          <w:color w:val="1F497D" w:themeColor="text2"/>
          <w:sz w:val="22"/>
          <w:szCs w:val="22"/>
          <w:lang w:eastAsia="ja-JP"/>
        </w:rPr>
        <w:t>Table 1.</w:t>
      </w:r>
      <w:proofErr w:type="gramEnd"/>
      <w:r>
        <w:rPr>
          <w:b/>
          <w:color w:val="1F497D" w:themeColor="text2"/>
          <w:sz w:val="22"/>
          <w:szCs w:val="22"/>
          <w:lang w:eastAsia="ja-JP"/>
        </w:rPr>
        <w:t xml:space="preserve"> Percent a</w:t>
      </w:r>
      <w:r w:rsidR="00FD5A90">
        <w:rPr>
          <w:b/>
          <w:color w:val="1F497D" w:themeColor="text2"/>
          <w:sz w:val="22"/>
          <w:szCs w:val="22"/>
          <w:lang w:eastAsia="ja-JP"/>
        </w:rPr>
        <w:t>llocation of SR</w:t>
      </w:r>
      <w:r w:rsidR="00683C42" w:rsidRPr="002C589A">
        <w:rPr>
          <w:b/>
          <w:color w:val="1F497D" w:themeColor="text2"/>
          <w:sz w:val="22"/>
          <w:szCs w:val="22"/>
          <w:lang w:eastAsia="ja-JP"/>
        </w:rPr>
        <w:t>G funding by Achievement Gain and Non-Gain schools, by Staffing, Time and Resources, 2010-2012</w:t>
      </w:r>
    </w:p>
    <w:tbl>
      <w:tblPr>
        <w:tblStyle w:val="TableGrid"/>
        <w:tblW w:w="0" w:type="auto"/>
        <w:tblBorders>
          <w:top w:val="none" w:sz="0" w:space="0" w:color="auto"/>
          <w:left w:val="none" w:sz="0" w:space="0" w:color="auto"/>
          <w:right w:val="none" w:sz="0" w:space="0" w:color="auto"/>
          <w:insideH w:val="single" w:sz="2" w:space="0" w:color="auto"/>
          <w:insideV w:val="none" w:sz="0" w:space="0" w:color="auto"/>
        </w:tblBorders>
        <w:tblLayout w:type="fixed"/>
        <w:tblLook w:val="0000"/>
      </w:tblPr>
      <w:tblGrid>
        <w:gridCol w:w="1728"/>
        <w:gridCol w:w="900"/>
        <w:gridCol w:w="1530"/>
        <w:gridCol w:w="1530"/>
        <w:gridCol w:w="1170"/>
        <w:gridCol w:w="990"/>
        <w:gridCol w:w="810"/>
        <w:gridCol w:w="1080"/>
      </w:tblGrid>
      <w:tr w:rsidR="00A31424" w:rsidTr="00875B30">
        <w:tc>
          <w:tcPr>
            <w:tcW w:w="1728" w:type="dxa"/>
          </w:tcPr>
          <w:p w:rsidR="00A31424" w:rsidRPr="00A31424" w:rsidRDefault="00A31424" w:rsidP="00683C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lang w:eastAsia="ja-JP"/>
              </w:rPr>
            </w:pPr>
          </w:p>
        </w:tc>
        <w:tc>
          <w:tcPr>
            <w:tcW w:w="900" w:type="dxa"/>
            <w:vAlign w:val="center"/>
          </w:tcPr>
          <w:p w:rsidR="00A31424" w:rsidRPr="00A31424" w:rsidRDefault="00A31424" w:rsidP="00A31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Staffing</w:t>
            </w:r>
          </w:p>
        </w:tc>
        <w:tc>
          <w:tcPr>
            <w:tcW w:w="1530" w:type="dxa"/>
            <w:vAlign w:val="center"/>
          </w:tcPr>
          <w:p w:rsidR="00A31424" w:rsidRPr="00A31424" w:rsidRDefault="00A31424" w:rsidP="00A31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Stipends: Non-Extended Time</w:t>
            </w:r>
          </w:p>
        </w:tc>
        <w:tc>
          <w:tcPr>
            <w:tcW w:w="1530" w:type="dxa"/>
            <w:vAlign w:val="center"/>
          </w:tcPr>
          <w:p w:rsidR="00A31424" w:rsidRPr="00A31424" w:rsidRDefault="00A31424" w:rsidP="00A31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Stipends: Extended Time</w:t>
            </w:r>
          </w:p>
        </w:tc>
        <w:tc>
          <w:tcPr>
            <w:tcW w:w="1170" w:type="dxa"/>
            <w:vAlign w:val="center"/>
          </w:tcPr>
          <w:p w:rsidR="00A31424" w:rsidRPr="00A31424" w:rsidRDefault="00A31424" w:rsidP="00A31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Consulting</w:t>
            </w:r>
          </w:p>
        </w:tc>
        <w:tc>
          <w:tcPr>
            <w:tcW w:w="990" w:type="dxa"/>
            <w:vAlign w:val="center"/>
          </w:tcPr>
          <w:p w:rsidR="00A31424" w:rsidRPr="00A31424" w:rsidRDefault="00A31424" w:rsidP="00A31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Materials</w:t>
            </w:r>
          </w:p>
        </w:tc>
        <w:tc>
          <w:tcPr>
            <w:tcW w:w="810" w:type="dxa"/>
            <w:vAlign w:val="center"/>
          </w:tcPr>
          <w:p w:rsidR="00A31424" w:rsidRPr="00A31424" w:rsidRDefault="00A31424" w:rsidP="00A31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Other</w:t>
            </w:r>
          </w:p>
        </w:tc>
        <w:tc>
          <w:tcPr>
            <w:tcW w:w="1080" w:type="dxa"/>
          </w:tcPr>
          <w:p w:rsidR="00A31424" w:rsidRPr="00A31424" w:rsidRDefault="002C589A" w:rsidP="00A31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lang w:eastAsia="ja-JP"/>
              </w:rPr>
            </w:pPr>
            <w:r>
              <w:rPr>
                <w:sz w:val="20"/>
                <w:lang w:eastAsia="ja-JP"/>
              </w:rPr>
              <w:t>Actual $ Amount</w:t>
            </w:r>
          </w:p>
        </w:tc>
      </w:tr>
      <w:tr w:rsidR="00A31424" w:rsidTr="0084663F">
        <w:tc>
          <w:tcPr>
            <w:tcW w:w="1728" w:type="dxa"/>
            <w:vAlign w:val="center"/>
          </w:tcPr>
          <w:p w:rsidR="00A31424" w:rsidRPr="00A31424" w:rsidRDefault="00E754C2"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Times New Roman" w:hAnsi="Times New Roman" w:cs="Times New Roman"/>
                <w:kern w:val="1"/>
                <w:sz w:val="20"/>
                <w:lang w:eastAsia="ja-JP"/>
              </w:rPr>
            </w:pPr>
            <w:r>
              <w:rPr>
                <w:rFonts w:ascii="Times New Roman" w:hAnsi="Times New Roman" w:cs="Times New Roman"/>
                <w:sz w:val="20"/>
                <w:lang w:eastAsia="ja-JP"/>
              </w:rPr>
              <w:t xml:space="preserve">Ach. </w:t>
            </w:r>
            <w:r w:rsidR="00A31424" w:rsidRPr="00A31424">
              <w:rPr>
                <w:rFonts w:ascii="Times New Roman" w:hAnsi="Times New Roman" w:cs="Times New Roman"/>
                <w:sz w:val="20"/>
                <w:lang w:eastAsia="ja-JP"/>
              </w:rPr>
              <w:t>Gain Schools</w:t>
            </w:r>
          </w:p>
        </w:tc>
        <w:tc>
          <w:tcPr>
            <w:tcW w:w="900" w:type="dxa"/>
            <w:vAlign w:val="center"/>
          </w:tcPr>
          <w:p w:rsidR="00A31424" w:rsidRPr="00A31424" w:rsidRDefault="00A31424"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22.3%</w:t>
            </w:r>
          </w:p>
        </w:tc>
        <w:tc>
          <w:tcPr>
            <w:tcW w:w="1530" w:type="dxa"/>
            <w:vAlign w:val="center"/>
          </w:tcPr>
          <w:p w:rsidR="00A31424" w:rsidRPr="00A31424" w:rsidRDefault="00A31424"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15.5%</w:t>
            </w:r>
          </w:p>
        </w:tc>
        <w:tc>
          <w:tcPr>
            <w:tcW w:w="1530" w:type="dxa"/>
            <w:vAlign w:val="center"/>
          </w:tcPr>
          <w:p w:rsidR="00A31424" w:rsidRPr="00A31424" w:rsidRDefault="00A31424"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35.1%</w:t>
            </w:r>
          </w:p>
        </w:tc>
        <w:tc>
          <w:tcPr>
            <w:tcW w:w="1170" w:type="dxa"/>
            <w:vAlign w:val="center"/>
          </w:tcPr>
          <w:p w:rsidR="00A31424" w:rsidRPr="00A31424" w:rsidRDefault="00A31424"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20.6%</w:t>
            </w:r>
          </w:p>
        </w:tc>
        <w:tc>
          <w:tcPr>
            <w:tcW w:w="990" w:type="dxa"/>
            <w:vAlign w:val="center"/>
          </w:tcPr>
          <w:p w:rsidR="00A31424" w:rsidRPr="00A31424" w:rsidRDefault="00A31424"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6.1%</w:t>
            </w:r>
          </w:p>
        </w:tc>
        <w:tc>
          <w:tcPr>
            <w:tcW w:w="810" w:type="dxa"/>
            <w:tcBorders>
              <w:right w:val="double" w:sz="4" w:space="0" w:color="auto"/>
            </w:tcBorders>
            <w:vAlign w:val="center"/>
          </w:tcPr>
          <w:p w:rsidR="00A31424" w:rsidRPr="00A31424" w:rsidRDefault="00A31424"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0.4%</w:t>
            </w:r>
          </w:p>
        </w:tc>
        <w:tc>
          <w:tcPr>
            <w:tcW w:w="1080" w:type="dxa"/>
            <w:tcBorders>
              <w:left w:val="double" w:sz="4" w:space="0" w:color="auto"/>
            </w:tcBorders>
            <w:vAlign w:val="center"/>
          </w:tcPr>
          <w:p w:rsidR="00A31424" w:rsidRPr="00A31424" w:rsidRDefault="00A31424"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Times New Roman" w:hAnsi="Times New Roman" w:cs="Times New Roman"/>
                <w:sz w:val="20"/>
                <w:lang w:eastAsia="ja-JP"/>
              </w:rPr>
            </w:pPr>
            <w:r w:rsidRPr="00A31424">
              <w:rPr>
                <w:rFonts w:ascii="Times New Roman" w:hAnsi="Times New Roman" w:cs="Times New Roman"/>
                <w:sz w:val="20"/>
                <w:lang w:eastAsia="ja-JP"/>
              </w:rPr>
              <w:t>$9.94 m</w:t>
            </w:r>
          </w:p>
        </w:tc>
      </w:tr>
      <w:tr w:rsidR="00A31424" w:rsidTr="0084663F">
        <w:tc>
          <w:tcPr>
            <w:tcW w:w="1728" w:type="dxa"/>
            <w:vAlign w:val="center"/>
          </w:tcPr>
          <w:p w:rsidR="00A31424" w:rsidRPr="00A31424" w:rsidRDefault="00A31424"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Times New Roman" w:hAnsi="Times New Roman" w:cs="Times New Roman"/>
                <w:kern w:val="1"/>
                <w:sz w:val="20"/>
                <w:lang w:eastAsia="ja-JP"/>
              </w:rPr>
            </w:pPr>
            <w:r w:rsidRPr="00A31424">
              <w:rPr>
                <w:rFonts w:ascii="Times New Roman" w:hAnsi="Times New Roman" w:cs="Times New Roman"/>
                <w:sz w:val="20"/>
                <w:lang w:eastAsia="ja-JP"/>
              </w:rPr>
              <w:t>Non-Gain Schools</w:t>
            </w:r>
          </w:p>
        </w:tc>
        <w:tc>
          <w:tcPr>
            <w:tcW w:w="900" w:type="dxa"/>
            <w:vAlign w:val="center"/>
          </w:tcPr>
          <w:p w:rsidR="00A31424" w:rsidRPr="00A31424" w:rsidRDefault="00A31424"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22.5%</w:t>
            </w:r>
          </w:p>
        </w:tc>
        <w:tc>
          <w:tcPr>
            <w:tcW w:w="1530" w:type="dxa"/>
            <w:vAlign w:val="center"/>
          </w:tcPr>
          <w:p w:rsidR="00A31424" w:rsidRPr="00A31424" w:rsidRDefault="00A31424"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13.4%</w:t>
            </w:r>
          </w:p>
        </w:tc>
        <w:tc>
          <w:tcPr>
            <w:tcW w:w="1530" w:type="dxa"/>
            <w:vAlign w:val="center"/>
          </w:tcPr>
          <w:p w:rsidR="00A31424" w:rsidRPr="00A31424" w:rsidRDefault="00A31424"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38.7%</w:t>
            </w:r>
          </w:p>
        </w:tc>
        <w:tc>
          <w:tcPr>
            <w:tcW w:w="1170" w:type="dxa"/>
            <w:vAlign w:val="center"/>
          </w:tcPr>
          <w:p w:rsidR="00A31424" w:rsidRPr="00A31424" w:rsidRDefault="00A31424"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18.7%</w:t>
            </w:r>
          </w:p>
        </w:tc>
        <w:tc>
          <w:tcPr>
            <w:tcW w:w="990" w:type="dxa"/>
            <w:vAlign w:val="center"/>
          </w:tcPr>
          <w:p w:rsidR="00A31424" w:rsidRPr="00A31424" w:rsidRDefault="00A31424"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6.2%</w:t>
            </w:r>
          </w:p>
        </w:tc>
        <w:tc>
          <w:tcPr>
            <w:tcW w:w="810" w:type="dxa"/>
            <w:tcBorders>
              <w:right w:val="double" w:sz="4" w:space="0" w:color="auto"/>
            </w:tcBorders>
            <w:vAlign w:val="center"/>
          </w:tcPr>
          <w:p w:rsidR="00A31424" w:rsidRPr="00A31424" w:rsidRDefault="00A31424"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Times New Roman" w:hAnsi="Times New Roman" w:cs="Times New Roman"/>
                <w:kern w:val="1"/>
                <w:sz w:val="20"/>
                <w:lang w:eastAsia="ja-JP"/>
              </w:rPr>
            </w:pPr>
            <w:r w:rsidRPr="00A31424">
              <w:rPr>
                <w:rFonts w:ascii="Times New Roman" w:hAnsi="Times New Roman" w:cs="Times New Roman"/>
                <w:sz w:val="20"/>
                <w:lang w:eastAsia="ja-JP"/>
              </w:rPr>
              <w:t>1.9%</w:t>
            </w:r>
          </w:p>
        </w:tc>
        <w:tc>
          <w:tcPr>
            <w:tcW w:w="1080" w:type="dxa"/>
            <w:tcBorders>
              <w:left w:val="double" w:sz="4" w:space="0" w:color="auto"/>
            </w:tcBorders>
            <w:vAlign w:val="center"/>
          </w:tcPr>
          <w:p w:rsidR="00A31424" w:rsidRPr="00A31424" w:rsidRDefault="00A31424"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Times New Roman" w:hAnsi="Times New Roman" w:cs="Times New Roman"/>
                <w:sz w:val="20"/>
                <w:lang w:eastAsia="ja-JP"/>
              </w:rPr>
            </w:pPr>
            <w:r w:rsidRPr="00A31424">
              <w:rPr>
                <w:rFonts w:ascii="Times New Roman" w:hAnsi="Times New Roman" w:cs="Times New Roman"/>
                <w:sz w:val="20"/>
                <w:lang w:eastAsia="ja-JP"/>
              </w:rPr>
              <w:t>$6.38 m</w:t>
            </w:r>
          </w:p>
        </w:tc>
      </w:tr>
    </w:tbl>
    <w:p w:rsidR="00683C42" w:rsidRDefault="009D4E48" w:rsidP="00FD5A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rPr>
          <w:sz w:val="22"/>
          <w:szCs w:val="22"/>
        </w:rPr>
      </w:pPr>
      <w:r>
        <w:rPr>
          <w:sz w:val="22"/>
          <w:szCs w:val="22"/>
        </w:rPr>
        <w:t xml:space="preserve">However, an analysis of the </w:t>
      </w:r>
      <w:r w:rsidR="002C589A">
        <w:rPr>
          <w:sz w:val="22"/>
          <w:szCs w:val="22"/>
        </w:rPr>
        <w:t xml:space="preserve">distribution of SIG resources by districts suggests that </w:t>
      </w:r>
      <w:r w:rsidR="002C589A" w:rsidRPr="00B53A52">
        <w:rPr>
          <w:b/>
          <w:sz w:val="22"/>
          <w:szCs w:val="22"/>
        </w:rPr>
        <w:t>districts are allocating funds for staffing, time, and resources in different ways</w:t>
      </w:r>
      <w:r w:rsidR="002C589A">
        <w:rPr>
          <w:sz w:val="22"/>
          <w:szCs w:val="22"/>
        </w:rPr>
        <w:t xml:space="preserve">, stemming from contextual differences (e.g., the amount of funds </w:t>
      </w:r>
      <w:r>
        <w:rPr>
          <w:sz w:val="22"/>
          <w:szCs w:val="22"/>
        </w:rPr>
        <w:t>needed</w:t>
      </w:r>
      <w:r w:rsidR="002C589A">
        <w:rPr>
          <w:sz w:val="22"/>
          <w:szCs w:val="22"/>
        </w:rPr>
        <w:t xml:space="preserve"> to pay for extended time) and variance in district needs </w:t>
      </w:r>
      <w:r w:rsidR="00FD5A90">
        <w:rPr>
          <w:sz w:val="22"/>
          <w:szCs w:val="22"/>
        </w:rPr>
        <w:t>among</w:t>
      </w:r>
      <w:r w:rsidR="002C589A">
        <w:rPr>
          <w:sz w:val="22"/>
          <w:szCs w:val="22"/>
        </w:rPr>
        <w:t xml:space="preserve"> Level 4 schools. </w:t>
      </w:r>
    </w:p>
    <w:p w:rsidR="00D0464A" w:rsidRDefault="00D0464A">
      <w:pPr>
        <w:rPr>
          <w:b/>
          <w:color w:val="1F497D" w:themeColor="text2"/>
          <w:sz w:val="22"/>
          <w:szCs w:val="22"/>
          <w:lang w:eastAsia="ja-JP"/>
        </w:rPr>
      </w:pPr>
    </w:p>
    <w:p w:rsidR="002C589A" w:rsidRPr="002C589A" w:rsidRDefault="002C589A" w:rsidP="008D08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w:hAnsi="Helvetica" w:cs="Helvetica"/>
          <w:b/>
          <w:color w:val="1F497D" w:themeColor="text2"/>
          <w:szCs w:val="24"/>
          <w:lang w:eastAsia="ja-JP"/>
        </w:rPr>
      </w:pPr>
      <w:proofErr w:type="gramStart"/>
      <w:r>
        <w:rPr>
          <w:b/>
          <w:color w:val="1F497D" w:themeColor="text2"/>
          <w:sz w:val="22"/>
          <w:szCs w:val="22"/>
          <w:lang w:eastAsia="ja-JP"/>
        </w:rPr>
        <w:t>Table 2</w:t>
      </w:r>
      <w:r w:rsidRPr="002C589A">
        <w:rPr>
          <w:b/>
          <w:color w:val="1F497D" w:themeColor="text2"/>
          <w:sz w:val="22"/>
          <w:szCs w:val="22"/>
          <w:lang w:eastAsia="ja-JP"/>
        </w:rPr>
        <w:t>.</w:t>
      </w:r>
      <w:proofErr w:type="gramEnd"/>
      <w:r w:rsidRPr="002C589A">
        <w:rPr>
          <w:b/>
          <w:color w:val="1F497D" w:themeColor="text2"/>
          <w:sz w:val="22"/>
          <w:szCs w:val="22"/>
          <w:lang w:eastAsia="ja-JP"/>
        </w:rPr>
        <w:t xml:space="preserve"> </w:t>
      </w:r>
      <w:r w:rsidR="005C2C61">
        <w:rPr>
          <w:b/>
          <w:color w:val="1F497D" w:themeColor="text2"/>
          <w:sz w:val="22"/>
          <w:szCs w:val="22"/>
          <w:lang w:eastAsia="ja-JP"/>
        </w:rPr>
        <w:t>Percent d</w:t>
      </w:r>
      <w:r w:rsidR="00FD5A90">
        <w:rPr>
          <w:b/>
          <w:color w:val="1F497D" w:themeColor="text2"/>
          <w:sz w:val="22"/>
          <w:szCs w:val="22"/>
          <w:lang w:eastAsia="ja-JP"/>
        </w:rPr>
        <w:t>istrict</w:t>
      </w:r>
      <w:r w:rsidR="0055466D">
        <w:rPr>
          <w:rStyle w:val="FootnoteReference"/>
          <w:b/>
          <w:color w:val="1F497D" w:themeColor="text2"/>
          <w:sz w:val="22"/>
          <w:szCs w:val="22"/>
          <w:lang w:eastAsia="ja-JP"/>
        </w:rPr>
        <w:footnoteReference w:id="14"/>
      </w:r>
      <w:r w:rsidR="00FD5A90">
        <w:rPr>
          <w:b/>
          <w:color w:val="1F497D" w:themeColor="text2"/>
          <w:sz w:val="22"/>
          <w:szCs w:val="22"/>
          <w:lang w:eastAsia="ja-JP"/>
        </w:rPr>
        <w:t xml:space="preserve"> allocation of SR</w:t>
      </w:r>
      <w:r w:rsidR="003F2070">
        <w:rPr>
          <w:b/>
          <w:color w:val="1F497D" w:themeColor="text2"/>
          <w:sz w:val="22"/>
          <w:szCs w:val="22"/>
          <w:lang w:eastAsia="ja-JP"/>
        </w:rPr>
        <w:t>G funding</w:t>
      </w:r>
      <w:r w:rsidRPr="002C589A">
        <w:rPr>
          <w:b/>
          <w:color w:val="1F497D" w:themeColor="text2"/>
          <w:sz w:val="22"/>
          <w:szCs w:val="22"/>
          <w:lang w:eastAsia="ja-JP"/>
        </w:rPr>
        <w:t>, by Staffing, Time and Resources, 2010-2012</w:t>
      </w:r>
    </w:p>
    <w:tbl>
      <w:tblPr>
        <w:tblW w:w="10098" w:type="dxa"/>
        <w:tblBorders>
          <w:bottom w:val="single" w:sz="8" w:space="0" w:color="auto"/>
          <w:insideH w:val="single" w:sz="8" w:space="0" w:color="auto"/>
          <w:insideV w:val="single" w:sz="8" w:space="0" w:color="auto"/>
        </w:tblBorders>
        <w:tblLayout w:type="fixed"/>
        <w:tblLook w:val="0000"/>
      </w:tblPr>
      <w:tblGrid>
        <w:gridCol w:w="1278"/>
        <w:gridCol w:w="900"/>
        <w:gridCol w:w="1530"/>
        <w:gridCol w:w="1530"/>
        <w:gridCol w:w="1170"/>
        <w:gridCol w:w="990"/>
        <w:gridCol w:w="720"/>
        <w:gridCol w:w="1980"/>
      </w:tblGrid>
      <w:tr w:rsidR="003F2070" w:rsidTr="0084663F">
        <w:tc>
          <w:tcPr>
            <w:tcW w:w="1278" w:type="dxa"/>
            <w:tcBorders>
              <w:top w:val="nil"/>
              <w:bottom w:val="single" w:sz="2" w:space="0" w:color="auto"/>
              <w:right w:val="nil"/>
            </w:tcBorders>
            <w:tcMar>
              <w:top w:w="20" w:type="nil"/>
              <w:left w:w="20" w:type="nil"/>
              <w:bottom w:w="20" w:type="nil"/>
              <w:right w:w="20" w:type="nil"/>
            </w:tcMar>
            <w:vAlign w:val="center"/>
          </w:tcPr>
          <w:p w:rsidR="003F2070" w:rsidRPr="00652C97" w:rsidRDefault="003F2070" w:rsidP="003F20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eastAsia="ja-JP"/>
              </w:rPr>
            </w:pPr>
          </w:p>
        </w:tc>
        <w:tc>
          <w:tcPr>
            <w:tcW w:w="900" w:type="dxa"/>
            <w:tcBorders>
              <w:top w:val="nil"/>
              <w:left w:val="nil"/>
              <w:bottom w:val="single" w:sz="2" w:space="0" w:color="auto"/>
              <w:right w:val="nil"/>
            </w:tcBorders>
            <w:tcMar>
              <w:top w:w="20" w:type="nil"/>
              <w:left w:w="20" w:type="nil"/>
              <w:bottom w:w="20" w:type="nil"/>
              <w:right w:w="20" w:type="nil"/>
            </w:tcMar>
            <w:vAlign w:val="center"/>
          </w:tcPr>
          <w:p w:rsidR="003F2070" w:rsidRPr="00652C97" w:rsidRDefault="003F2070" w:rsidP="003F20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eastAsia="ja-JP"/>
              </w:rPr>
            </w:pPr>
            <w:r w:rsidRPr="00652C97">
              <w:rPr>
                <w:sz w:val="20"/>
                <w:lang w:eastAsia="ja-JP"/>
              </w:rPr>
              <w:t>Staffing</w:t>
            </w:r>
          </w:p>
        </w:tc>
        <w:tc>
          <w:tcPr>
            <w:tcW w:w="1530" w:type="dxa"/>
            <w:tcBorders>
              <w:top w:val="nil"/>
              <w:left w:val="nil"/>
              <w:bottom w:val="single" w:sz="2" w:space="0" w:color="auto"/>
              <w:right w:val="nil"/>
            </w:tcBorders>
            <w:tcMar>
              <w:top w:w="20" w:type="nil"/>
              <w:left w:w="20" w:type="nil"/>
              <w:bottom w:w="20" w:type="nil"/>
              <w:right w:w="20" w:type="nil"/>
            </w:tcMar>
            <w:vAlign w:val="center"/>
          </w:tcPr>
          <w:p w:rsidR="003F2070" w:rsidRPr="00652C97" w:rsidRDefault="003F2070" w:rsidP="003F20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eastAsia="ja-JP"/>
              </w:rPr>
            </w:pPr>
            <w:r w:rsidRPr="00652C97">
              <w:rPr>
                <w:sz w:val="20"/>
                <w:lang w:eastAsia="ja-JP"/>
              </w:rPr>
              <w:t>Stipends: Non-Extended Time</w:t>
            </w:r>
          </w:p>
        </w:tc>
        <w:tc>
          <w:tcPr>
            <w:tcW w:w="1530" w:type="dxa"/>
            <w:tcBorders>
              <w:top w:val="nil"/>
              <w:left w:val="nil"/>
              <w:bottom w:val="single" w:sz="2" w:space="0" w:color="auto"/>
              <w:right w:val="nil"/>
            </w:tcBorders>
            <w:tcMar>
              <w:top w:w="20" w:type="nil"/>
              <w:left w:w="20" w:type="nil"/>
              <w:bottom w:w="20" w:type="nil"/>
              <w:right w:w="20" w:type="nil"/>
            </w:tcMar>
            <w:vAlign w:val="center"/>
          </w:tcPr>
          <w:p w:rsidR="003F2070" w:rsidRPr="00652C97" w:rsidRDefault="003F2070" w:rsidP="003F20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eastAsia="ja-JP"/>
              </w:rPr>
            </w:pPr>
            <w:r w:rsidRPr="00652C97">
              <w:rPr>
                <w:sz w:val="20"/>
                <w:lang w:eastAsia="ja-JP"/>
              </w:rPr>
              <w:t>Stipends: Extended Time</w:t>
            </w:r>
          </w:p>
        </w:tc>
        <w:tc>
          <w:tcPr>
            <w:tcW w:w="1170" w:type="dxa"/>
            <w:tcBorders>
              <w:top w:val="nil"/>
              <w:left w:val="nil"/>
              <w:bottom w:val="single" w:sz="2" w:space="0" w:color="auto"/>
              <w:right w:val="nil"/>
            </w:tcBorders>
            <w:tcMar>
              <w:top w:w="20" w:type="nil"/>
              <w:left w:w="20" w:type="nil"/>
              <w:bottom w:w="20" w:type="nil"/>
              <w:right w:w="20" w:type="nil"/>
            </w:tcMar>
            <w:vAlign w:val="center"/>
          </w:tcPr>
          <w:p w:rsidR="003F2070" w:rsidRPr="00652C97" w:rsidRDefault="003F2070" w:rsidP="003F20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eastAsia="ja-JP"/>
              </w:rPr>
            </w:pPr>
            <w:r w:rsidRPr="00652C97">
              <w:rPr>
                <w:sz w:val="20"/>
                <w:lang w:eastAsia="ja-JP"/>
              </w:rPr>
              <w:t>Consulting</w:t>
            </w:r>
          </w:p>
        </w:tc>
        <w:tc>
          <w:tcPr>
            <w:tcW w:w="990" w:type="dxa"/>
            <w:tcBorders>
              <w:top w:val="nil"/>
              <w:left w:val="nil"/>
              <w:bottom w:val="single" w:sz="2" w:space="0" w:color="auto"/>
              <w:right w:val="nil"/>
            </w:tcBorders>
            <w:tcMar>
              <w:top w:w="20" w:type="nil"/>
              <w:left w:w="20" w:type="nil"/>
              <w:bottom w:w="20" w:type="nil"/>
              <w:right w:w="20" w:type="nil"/>
            </w:tcMar>
            <w:vAlign w:val="center"/>
          </w:tcPr>
          <w:p w:rsidR="003F2070" w:rsidRPr="00652C97" w:rsidRDefault="003F2070" w:rsidP="003F20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eastAsia="ja-JP"/>
              </w:rPr>
            </w:pPr>
            <w:r w:rsidRPr="00652C97">
              <w:rPr>
                <w:sz w:val="20"/>
                <w:lang w:eastAsia="ja-JP"/>
              </w:rPr>
              <w:t>Materials</w:t>
            </w:r>
          </w:p>
        </w:tc>
        <w:tc>
          <w:tcPr>
            <w:tcW w:w="720" w:type="dxa"/>
            <w:tcBorders>
              <w:top w:val="nil"/>
              <w:left w:val="nil"/>
              <w:bottom w:val="single" w:sz="2" w:space="0" w:color="auto"/>
              <w:right w:val="nil"/>
            </w:tcBorders>
            <w:tcMar>
              <w:top w:w="20" w:type="nil"/>
              <w:left w:w="20" w:type="nil"/>
              <w:bottom w:w="20" w:type="nil"/>
              <w:right w:w="20" w:type="nil"/>
            </w:tcMar>
            <w:vAlign w:val="center"/>
          </w:tcPr>
          <w:p w:rsidR="003F2070" w:rsidRPr="00652C97" w:rsidRDefault="003F2070" w:rsidP="003F20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eastAsia="ja-JP"/>
              </w:rPr>
            </w:pPr>
            <w:r w:rsidRPr="00652C97">
              <w:rPr>
                <w:sz w:val="20"/>
                <w:lang w:eastAsia="ja-JP"/>
              </w:rPr>
              <w:t>Other</w:t>
            </w:r>
          </w:p>
        </w:tc>
        <w:tc>
          <w:tcPr>
            <w:tcW w:w="1980" w:type="dxa"/>
            <w:tcBorders>
              <w:top w:val="nil"/>
              <w:left w:val="nil"/>
              <w:bottom w:val="single" w:sz="2" w:space="0" w:color="auto"/>
            </w:tcBorders>
            <w:vAlign w:val="center"/>
          </w:tcPr>
          <w:p w:rsidR="003F2070" w:rsidRPr="00652C97" w:rsidRDefault="003F2070" w:rsidP="003F20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lang w:eastAsia="ja-JP"/>
              </w:rPr>
            </w:pPr>
            <w:r>
              <w:rPr>
                <w:sz w:val="20"/>
                <w:lang w:eastAsia="ja-JP"/>
              </w:rPr>
              <w:t>$ Amount; # of Schools</w:t>
            </w:r>
          </w:p>
        </w:tc>
      </w:tr>
      <w:tr w:rsidR="003F2070" w:rsidTr="008466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kern w:val="1"/>
                <w:sz w:val="20"/>
                <w:lang w:eastAsia="ja-JP"/>
              </w:rPr>
            </w:pPr>
            <w:r w:rsidRPr="00652C97">
              <w:rPr>
                <w:sz w:val="20"/>
                <w:lang w:eastAsia="ja-JP"/>
              </w:rPr>
              <w:t>Boston</w:t>
            </w:r>
          </w:p>
        </w:tc>
        <w:tc>
          <w:tcPr>
            <w:tcW w:w="90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25.7%</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10.6%</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34.9%</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22.6%</w:t>
            </w:r>
          </w:p>
        </w:tc>
        <w:tc>
          <w:tcPr>
            <w:tcW w:w="99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5.5%</w:t>
            </w:r>
          </w:p>
        </w:tc>
        <w:tc>
          <w:tcPr>
            <w:tcW w:w="720" w:type="dxa"/>
            <w:tcBorders>
              <w:top w:val="single" w:sz="2" w:space="0" w:color="auto"/>
              <w:left w:val="nil"/>
              <w:bottom w:val="single" w:sz="2" w:space="0" w:color="auto"/>
              <w:right w:val="double" w:sz="4" w:space="0" w:color="auto"/>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0.6%</w:t>
            </w:r>
          </w:p>
        </w:tc>
        <w:tc>
          <w:tcPr>
            <w:tcW w:w="1980" w:type="dxa"/>
            <w:tcBorders>
              <w:top w:val="single" w:sz="2" w:space="0" w:color="auto"/>
              <w:left w:val="double" w:sz="4" w:space="0" w:color="auto"/>
              <w:bottom w:val="single" w:sz="2" w:space="0" w:color="auto"/>
            </w:tcBorders>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sz w:val="20"/>
                <w:lang w:eastAsia="ja-JP"/>
              </w:rPr>
            </w:pPr>
            <w:r>
              <w:rPr>
                <w:sz w:val="20"/>
                <w:lang w:eastAsia="ja-JP"/>
              </w:rPr>
              <w:t>$13.17 m; 11 schools</w:t>
            </w:r>
          </w:p>
        </w:tc>
      </w:tr>
      <w:tr w:rsidR="003F2070" w:rsidTr="008466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kern w:val="1"/>
                <w:sz w:val="20"/>
                <w:lang w:eastAsia="ja-JP"/>
              </w:rPr>
            </w:pPr>
            <w:r w:rsidRPr="00652C97">
              <w:rPr>
                <w:sz w:val="20"/>
                <w:lang w:eastAsia="ja-JP"/>
              </w:rPr>
              <w:t>Springfield</w:t>
            </w:r>
          </w:p>
        </w:tc>
        <w:tc>
          <w:tcPr>
            <w:tcW w:w="90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17.8%</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23.4%</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36.6%</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14.5%</w:t>
            </w:r>
          </w:p>
        </w:tc>
        <w:tc>
          <w:tcPr>
            <w:tcW w:w="99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8.3%</w:t>
            </w:r>
          </w:p>
        </w:tc>
        <w:tc>
          <w:tcPr>
            <w:tcW w:w="720" w:type="dxa"/>
            <w:tcBorders>
              <w:top w:val="single" w:sz="2" w:space="0" w:color="auto"/>
              <w:left w:val="nil"/>
              <w:bottom w:val="single" w:sz="2" w:space="0" w:color="auto"/>
              <w:right w:val="double" w:sz="4" w:space="0" w:color="auto"/>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0.6%</w:t>
            </w:r>
          </w:p>
        </w:tc>
        <w:tc>
          <w:tcPr>
            <w:tcW w:w="1980" w:type="dxa"/>
            <w:tcBorders>
              <w:top w:val="single" w:sz="2" w:space="0" w:color="auto"/>
              <w:left w:val="double" w:sz="4" w:space="0" w:color="auto"/>
              <w:bottom w:val="single" w:sz="2" w:space="0" w:color="auto"/>
            </w:tcBorders>
            <w:vAlign w:val="center"/>
          </w:tcPr>
          <w:p w:rsidR="003F2070" w:rsidRPr="00652C97" w:rsidRDefault="00875B3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sz w:val="20"/>
                <w:lang w:eastAsia="ja-JP"/>
              </w:rPr>
            </w:pPr>
            <w:r>
              <w:rPr>
                <w:sz w:val="20"/>
                <w:lang w:eastAsia="ja-JP"/>
              </w:rPr>
              <w:t>$7.11 m; 9 schools</w:t>
            </w:r>
          </w:p>
        </w:tc>
      </w:tr>
      <w:tr w:rsidR="003F2070" w:rsidTr="008466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kern w:val="1"/>
                <w:sz w:val="20"/>
                <w:lang w:eastAsia="ja-JP"/>
              </w:rPr>
            </w:pPr>
            <w:r w:rsidRPr="00652C97">
              <w:rPr>
                <w:sz w:val="20"/>
                <w:lang w:eastAsia="ja-JP"/>
              </w:rPr>
              <w:t>Worcester</w:t>
            </w:r>
          </w:p>
        </w:tc>
        <w:tc>
          <w:tcPr>
            <w:tcW w:w="90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9.4%</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15.9%</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69.6%</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5.0%</w:t>
            </w:r>
          </w:p>
        </w:tc>
        <w:tc>
          <w:tcPr>
            <w:tcW w:w="99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0.0%</w:t>
            </w:r>
          </w:p>
        </w:tc>
        <w:tc>
          <w:tcPr>
            <w:tcW w:w="720" w:type="dxa"/>
            <w:tcBorders>
              <w:top w:val="single" w:sz="2" w:space="0" w:color="auto"/>
              <w:left w:val="nil"/>
              <w:bottom w:val="single" w:sz="2" w:space="0" w:color="auto"/>
              <w:right w:val="double" w:sz="4" w:space="0" w:color="auto"/>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0.0%</w:t>
            </w:r>
          </w:p>
        </w:tc>
        <w:tc>
          <w:tcPr>
            <w:tcW w:w="1980" w:type="dxa"/>
            <w:tcBorders>
              <w:top w:val="single" w:sz="2" w:space="0" w:color="auto"/>
              <w:left w:val="double" w:sz="4" w:space="0" w:color="auto"/>
              <w:bottom w:val="single" w:sz="2" w:space="0" w:color="auto"/>
            </w:tcBorders>
            <w:vAlign w:val="center"/>
          </w:tcPr>
          <w:p w:rsidR="003F2070" w:rsidRPr="00652C97" w:rsidRDefault="00875B3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sz w:val="20"/>
                <w:lang w:eastAsia="ja-JP"/>
              </w:rPr>
            </w:pPr>
            <w:r>
              <w:rPr>
                <w:sz w:val="20"/>
                <w:lang w:eastAsia="ja-JP"/>
              </w:rPr>
              <w:t>$1.20 m; 2 schools</w:t>
            </w:r>
          </w:p>
        </w:tc>
      </w:tr>
      <w:tr w:rsidR="003F2070" w:rsidTr="008466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sz w:val="20"/>
                <w:lang w:eastAsia="ja-JP"/>
              </w:rPr>
            </w:pPr>
            <w:r>
              <w:rPr>
                <w:sz w:val="20"/>
                <w:lang w:eastAsia="ja-JP"/>
              </w:rPr>
              <w:t>Holyoke</w:t>
            </w:r>
          </w:p>
        </w:tc>
        <w:tc>
          <w:tcPr>
            <w:tcW w:w="90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E22A89"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sz w:val="20"/>
                <w:lang w:eastAsia="ja-JP"/>
              </w:rPr>
            </w:pPr>
            <w:r w:rsidRPr="00E22A89">
              <w:rPr>
                <w:rFonts w:eastAsia="Times New Roman"/>
                <w:color w:val="000000"/>
                <w:sz w:val="20"/>
              </w:rPr>
              <w:t>4.7%</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E22A89"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sz w:val="20"/>
                <w:lang w:eastAsia="ja-JP"/>
              </w:rPr>
            </w:pPr>
            <w:r w:rsidRPr="00E22A89">
              <w:rPr>
                <w:rFonts w:eastAsia="Times New Roman"/>
                <w:color w:val="000000"/>
                <w:sz w:val="20"/>
              </w:rPr>
              <w:t>8.6%</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E22A89"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sz w:val="20"/>
                <w:lang w:eastAsia="ja-JP"/>
              </w:rPr>
            </w:pPr>
            <w:r w:rsidRPr="00E22A89">
              <w:rPr>
                <w:rFonts w:eastAsia="Times New Roman"/>
                <w:color w:val="000000"/>
                <w:sz w:val="20"/>
              </w:rPr>
              <w:t>54.4%</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E22A89"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sz w:val="20"/>
                <w:lang w:eastAsia="ja-JP"/>
              </w:rPr>
            </w:pPr>
            <w:r w:rsidRPr="00E22A89">
              <w:rPr>
                <w:rFonts w:eastAsia="Times New Roman"/>
                <w:color w:val="000000"/>
                <w:sz w:val="20"/>
              </w:rPr>
              <w:t>25.5%</w:t>
            </w:r>
          </w:p>
        </w:tc>
        <w:tc>
          <w:tcPr>
            <w:tcW w:w="990" w:type="dxa"/>
            <w:tcBorders>
              <w:top w:val="single" w:sz="2" w:space="0" w:color="auto"/>
              <w:left w:val="nil"/>
              <w:bottom w:val="single" w:sz="2" w:space="0" w:color="auto"/>
              <w:right w:val="nil"/>
            </w:tcBorders>
            <w:tcMar>
              <w:top w:w="20" w:type="nil"/>
              <w:left w:w="20" w:type="nil"/>
              <w:bottom w:w="20" w:type="nil"/>
              <w:right w:w="20" w:type="nil"/>
            </w:tcMar>
            <w:vAlign w:val="center"/>
          </w:tcPr>
          <w:p w:rsidR="003F2070" w:rsidRPr="00E22A89"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sz w:val="20"/>
                <w:lang w:eastAsia="ja-JP"/>
              </w:rPr>
            </w:pPr>
            <w:r w:rsidRPr="00E22A89">
              <w:rPr>
                <w:rFonts w:eastAsia="Times New Roman"/>
                <w:color w:val="000000"/>
                <w:sz w:val="20"/>
              </w:rPr>
              <w:t>1.1%</w:t>
            </w:r>
          </w:p>
        </w:tc>
        <w:tc>
          <w:tcPr>
            <w:tcW w:w="720" w:type="dxa"/>
            <w:tcBorders>
              <w:top w:val="single" w:sz="2" w:space="0" w:color="auto"/>
              <w:left w:val="nil"/>
              <w:bottom w:val="single" w:sz="2" w:space="0" w:color="auto"/>
              <w:right w:val="double" w:sz="4" w:space="0" w:color="auto"/>
            </w:tcBorders>
            <w:tcMar>
              <w:top w:w="20" w:type="nil"/>
              <w:left w:w="20" w:type="nil"/>
              <w:bottom w:w="20" w:type="nil"/>
              <w:right w:w="20" w:type="nil"/>
            </w:tcMar>
            <w:vAlign w:val="center"/>
          </w:tcPr>
          <w:p w:rsidR="003F2070" w:rsidRPr="00E22A89"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sz w:val="20"/>
                <w:lang w:eastAsia="ja-JP"/>
              </w:rPr>
            </w:pPr>
            <w:r w:rsidRPr="00E22A89">
              <w:rPr>
                <w:rFonts w:eastAsia="Times New Roman"/>
                <w:color w:val="000000"/>
                <w:sz w:val="20"/>
              </w:rPr>
              <w:t>5.7%</w:t>
            </w:r>
          </w:p>
        </w:tc>
        <w:tc>
          <w:tcPr>
            <w:tcW w:w="1980" w:type="dxa"/>
            <w:tcBorders>
              <w:top w:val="single" w:sz="2" w:space="0" w:color="auto"/>
              <w:left w:val="double" w:sz="4" w:space="0" w:color="auto"/>
              <w:bottom w:val="single" w:sz="2" w:space="0" w:color="auto"/>
            </w:tcBorders>
            <w:vAlign w:val="center"/>
          </w:tcPr>
          <w:p w:rsidR="003F2070" w:rsidRPr="00E22A89" w:rsidRDefault="00875B3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eastAsia="Times New Roman"/>
                <w:color w:val="000000"/>
                <w:sz w:val="20"/>
              </w:rPr>
            </w:pPr>
            <w:r>
              <w:rPr>
                <w:rFonts w:eastAsia="Times New Roman"/>
                <w:color w:val="000000"/>
                <w:sz w:val="20"/>
              </w:rPr>
              <w:t>$1.23 m; 2 schools</w:t>
            </w:r>
          </w:p>
        </w:tc>
      </w:tr>
      <w:tr w:rsidR="003F2070" w:rsidTr="0084663F">
        <w:tc>
          <w:tcPr>
            <w:tcW w:w="1278" w:type="dxa"/>
            <w:tcBorders>
              <w:top w:val="single" w:sz="2" w:space="0" w:color="auto"/>
              <w:right w:val="nil"/>
            </w:tcBorders>
            <w:tcMar>
              <w:top w:w="100" w:type="nil"/>
              <w:left w:w="100" w:type="nil"/>
              <w:bottom w:w="100" w:type="nil"/>
              <w:right w:w="100" w:type="nil"/>
            </w:tcMar>
            <w:vAlign w:val="center"/>
          </w:tcPr>
          <w:p w:rsidR="003F2070" w:rsidRPr="00652C97" w:rsidRDefault="003F2070" w:rsidP="00FD5A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kern w:val="1"/>
                <w:sz w:val="20"/>
                <w:lang w:eastAsia="ja-JP"/>
              </w:rPr>
            </w:pPr>
            <w:r w:rsidRPr="00652C97">
              <w:rPr>
                <w:sz w:val="20"/>
                <w:lang w:eastAsia="ja-JP"/>
              </w:rPr>
              <w:t>All Districts</w:t>
            </w:r>
          </w:p>
        </w:tc>
        <w:tc>
          <w:tcPr>
            <w:tcW w:w="900" w:type="dxa"/>
            <w:tcBorders>
              <w:top w:val="single" w:sz="2" w:space="0" w:color="auto"/>
              <w:left w:val="nil"/>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23.6%</w:t>
            </w:r>
          </w:p>
        </w:tc>
        <w:tc>
          <w:tcPr>
            <w:tcW w:w="1530" w:type="dxa"/>
            <w:tcBorders>
              <w:top w:val="single" w:sz="2" w:space="0" w:color="auto"/>
              <w:left w:val="nil"/>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14.8%</w:t>
            </w:r>
          </w:p>
        </w:tc>
        <w:tc>
          <w:tcPr>
            <w:tcW w:w="1530" w:type="dxa"/>
            <w:tcBorders>
              <w:top w:val="single" w:sz="2" w:space="0" w:color="auto"/>
              <w:left w:val="nil"/>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34.5%</w:t>
            </w:r>
          </w:p>
        </w:tc>
        <w:tc>
          <w:tcPr>
            <w:tcW w:w="1170" w:type="dxa"/>
            <w:tcBorders>
              <w:top w:val="single" w:sz="2" w:space="0" w:color="auto"/>
              <w:left w:val="nil"/>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19.1%</w:t>
            </w:r>
          </w:p>
        </w:tc>
        <w:tc>
          <w:tcPr>
            <w:tcW w:w="990" w:type="dxa"/>
            <w:tcBorders>
              <w:top w:val="single" w:sz="2" w:space="0" w:color="auto"/>
              <w:left w:val="nil"/>
              <w:right w:val="nil"/>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7.1%</w:t>
            </w:r>
          </w:p>
        </w:tc>
        <w:tc>
          <w:tcPr>
            <w:tcW w:w="720" w:type="dxa"/>
            <w:tcBorders>
              <w:top w:val="single" w:sz="2" w:space="0" w:color="auto"/>
              <w:left w:val="nil"/>
              <w:right w:val="double" w:sz="4" w:space="0" w:color="auto"/>
            </w:tcBorders>
            <w:tcMar>
              <w:top w:w="20" w:type="nil"/>
              <w:left w:w="20" w:type="nil"/>
              <w:bottom w:w="20" w:type="nil"/>
              <w:right w:w="20" w:type="nil"/>
            </w:tcMar>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kern w:val="1"/>
                <w:sz w:val="20"/>
                <w:lang w:eastAsia="ja-JP"/>
              </w:rPr>
            </w:pPr>
            <w:r w:rsidRPr="00652C97">
              <w:rPr>
                <w:sz w:val="20"/>
                <w:lang w:eastAsia="ja-JP"/>
              </w:rPr>
              <w:t>1.2%</w:t>
            </w:r>
          </w:p>
        </w:tc>
        <w:tc>
          <w:tcPr>
            <w:tcW w:w="1980" w:type="dxa"/>
            <w:tcBorders>
              <w:top w:val="single" w:sz="2" w:space="0" w:color="auto"/>
              <w:left w:val="double" w:sz="4" w:space="0" w:color="auto"/>
              <w:bottom w:val="nil"/>
            </w:tcBorders>
            <w:vAlign w:val="center"/>
          </w:tcPr>
          <w:p w:rsidR="003F2070" w:rsidRPr="00652C97" w:rsidRDefault="003F2070" w:rsidP="00875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sz w:val="20"/>
                <w:lang w:eastAsia="ja-JP"/>
              </w:rPr>
            </w:pPr>
          </w:p>
        </w:tc>
      </w:tr>
    </w:tbl>
    <w:p w:rsidR="00CE3118" w:rsidRDefault="00A82005" w:rsidP="00D0464A">
      <w:pPr>
        <w:spacing w:before="240" w:line="288" w:lineRule="auto"/>
        <w:rPr>
          <w:sz w:val="22"/>
          <w:szCs w:val="22"/>
          <w:lang w:eastAsia="ja-JP"/>
        </w:rPr>
      </w:pPr>
      <w:r>
        <w:rPr>
          <w:sz w:val="22"/>
          <w:szCs w:val="22"/>
          <w:lang w:eastAsia="ja-JP"/>
        </w:rPr>
        <w:lastRenderedPageBreak/>
        <w:t>Duri</w:t>
      </w:r>
      <w:r w:rsidR="0055466D">
        <w:rPr>
          <w:sz w:val="22"/>
          <w:szCs w:val="22"/>
          <w:lang w:eastAsia="ja-JP"/>
        </w:rPr>
        <w:t>ng the first two years of the SR</w:t>
      </w:r>
      <w:r>
        <w:rPr>
          <w:sz w:val="22"/>
          <w:szCs w:val="22"/>
          <w:lang w:eastAsia="ja-JP"/>
        </w:rPr>
        <w:t xml:space="preserve">G program, </w:t>
      </w:r>
      <w:r w:rsidR="00CE3118">
        <w:rPr>
          <w:sz w:val="22"/>
          <w:szCs w:val="22"/>
          <w:lang w:eastAsia="ja-JP"/>
        </w:rPr>
        <w:t>Worcester and Holyoke allocated significantly more</w:t>
      </w:r>
      <w:r>
        <w:rPr>
          <w:sz w:val="22"/>
          <w:szCs w:val="22"/>
          <w:lang w:eastAsia="ja-JP"/>
        </w:rPr>
        <w:t xml:space="preserve"> funds to pay for extended time as</w:t>
      </w:r>
      <w:r w:rsidR="00CE3118">
        <w:rPr>
          <w:sz w:val="22"/>
          <w:szCs w:val="22"/>
          <w:lang w:eastAsia="ja-JP"/>
        </w:rPr>
        <w:t xml:space="preserve"> compared to Boston, Springfield and other districts. Also, Worcester allocated a smaller perce</w:t>
      </w:r>
      <w:r>
        <w:rPr>
          <w:sz w:val="22"/>
          <w:szCs w:val="22"/>
          <w:lang w:eastAsia="ja-JP"/>
        </w:rPr>
        <w:t>nt of funds for consultants</w:t>
      </w:r>
      <w:r w:rsidR="00CE3118">
        <w:rPr>
          <w:sz w:val="22"/>
          <w:szCs w:val="22"/>
          <w:lang w:eastAsia="ja-JP"/>
        </w:rPr>
        <w:t xml:space="preserve">. In contrast, Holyoke allocated over 25% of its SRG funds </w:t>
      </w:r>
      <w:r>
        <w:rPr>
          <w:sz w:val="22"/>
          <w:szCs w:val="22"/>
          <w:lang w:eastAsia="ja-JP"/>
        </w:rPr>
        <w:t>to</w:t>
      </w:r>
      <w:r w:rsidR="0055466D">
        <w:rPr>
          <w:sz w:val="22"/>
          <w:szCs w:val="22"/>
          <w:lang w:eastAsia="ja-JP"/>
        </w:rPr>
        <w:t xml:space="preserve"> consultants, specifically for the Educational Management Organization (EMO) responsible for</w:t>
      </w:r>
      <w:r w:rsidR="00CE3118">
        <w:rPr>
          <w:sz w:val="22"/>
          <w:szCs w:val="22"/>
          <w:lang w:eastAsia="ja-JP"/>
        </w:rPr>
        <w:t xml:space="preserve"> De</w:t>
      </w:r>
      <w:r w:rsidR="0055466D">
        <w:rPr>
          <w:sz w:val="22"/>
          <w:szCs w:val="22"/>
          <w:lang w:eastAsia="ja-JP"/>
        </w:rPr>
        <w:t>an Vocational Technical School.</w:t>
      </w:r>
      <w:r w:rsidR="00CE3118">
        <w:rPr>
          <w:sz w:val="22"/>
          <w:szCs w:val="22"/>
          <w:lang w:eastAsia="ja-JP"/>
        </w:rPr>
        <w:t xml:space="preserve"> Boston’s </w:t>
      </w:r>
      <w:r w:rsidR="00B53A52">
        <w:rPr>
          <w:sz w:val="22"/>
          <w:szCs w:val="22"/>
          <w:lang w:eastAsia="ja-JP"/>
        </w:rPr>
        <w:t xml:space="preserve">Level 4 </w:t>
      </w:r>
      <w:r w:rsidR="00CE3118">
        <w:rPr>
          <w:sz w:val="22"/>
          <w:szCs w:val="22"/>
          <w:lang w:eastAsia="ja-JP"/>
        </w:rPr>
        <w:t xml:space="preserve">schools allocated over 20% of </w:t>
      </w:r>
      <w:r>
        <w:rPr>
          <w:sz w:val="22"/>
          <w:szCs w:val="22"/>
          <w:lang w:eastAsia="ja-JP"/>
        </w:rPr>
        <w:t>SIG</w:t>
      </w:r>
      <w:r w:rsidR="00CE3118">
        <w:rPr>
          <w:sz w:val="22"/>
          <w:szCs w:val="22"/>
          <w:lang w:eastAsia="ja-JP"/>
        </w:rPr>
        <w:t xml:space="preserve"> funds to consultants and Springfield’s schools allocated </w:t>
      </w:r>
      <w:r>
        <w:rPr>
          <w:sz w:val="22"/>
          <w:szCs w:val="22"/>
          <w:lang w:eastAsia="ja-JP"/>
        </w:rPr>
        <w:t>almost 15% towards consultants.</w:t>
      </w:r>
    </w:p>
    <w:p w:rsidR="00CE3118" w:rsidRDefault="00CE3118" w:rsidP="00CE3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lang w:eastAsia="ja-JP"/>
        </w:rPr>
      </w:pPr>
    </w:p>
    <w:p w:rsidR="00B53A52" w:rsidRPr="00875B30" w:rsidRDefault="00B53A52" w:rsidP="00B53A52">
      <w:pPr>
        <w:spacing w:after="160"/>
        <w:rPr>
          <w:b/>
          <w:sz w:val="22"/>
          <w:szCs w:val="22"/>
        </w:rPr>
      </w:pPr>
      <w:r>
        <w:rPr>
          <w:b/>
          <w:color w:val="365F91" w:themeColor="accent1" w:themeShade="BF"/>
          <w:sz w:val="22"/>
          <w:szCs w:val="22"/>
        </w:rPr>
        <w:t>Improvement Focus: What was the focus and target of SIG funds?</w:t>
      </w:r>
    </w:p>
    <w:p w:rsidR="00FD2C0F" w:rsidRDefault="00E8506C" w:rsidP="001206D9">
      <w:pPr>
        <w:spacing w:line="288" w:lineRule="auto"/>
        <w:rPr>
          <w:sz w:val="22"/>
          <w:szCs w:val="22"/>
        </w:rPr>
      </w:pPr>
      <w:r w:rsidRPr="00652C97">
        <w:rPr>
          <w:sz w:val="22"/>
          <w:szCs w:val="22"/>
        </w:rPr>
        <w:t xml:space="preserve">Excluding fringe benefits and funding for extended </w:t>
      </w:r>
      <w:r w:rsidR="00C2113C">
        <w:rPr>
          <w:sz w:val="22"/>
          <w:szCs w:val="22"/>
        </w:rPr>
        <w:t xml:space="preserve">learning </w:t>
      </w:r>
      <w:r w:rsidRPr="00652C97">
        <w:rPr>
          <w:sz w:val="22"/>
          <w:szCs w:val="22"/>
        </w:rPr>
        <w:t>time</w:t>
      </w:r>
      <w:r>
        <w:rPr>
          <w:rStyle w:val="FootnoteReference"/>
          <w:sz w:val="22"/>
          <w:szCs w:val="22"/>
        </w:rPr>
        <w:footnoteReference w:id="15"/>
      </w:r>
      <w:r w:rsidR="001206D9">
        <w:rPr>
          <w:sz w:val="22"/>
          <w:szCs w:val="22"/>
        </w:rPr>
        <w:t xml:space="preserve">, districts and schools had the ability to strategically allocate </w:t>
      </w:r>
      <w:r w:rsidRPr="00652C97">
        <w:rPr>
          <w:sz w:val="22"/>
          <w:szCs w:val="22"/>
        </w:rPr>
        <w:t xml:space="preserve">approximately </w:t>
      </w:r>
      <w:r w:rsidRPr="00B53A52">
        <w:rPr>
          <w:b/>
          <w:sz w:val="22"/>
          <w:szCs w:val="22"/>
        </w:rPr>
        <w:t>$</w:t>
      </w:r>
      <w:r w:rsidR="00B53A52" w:rsidRPr="00B53A52">
        <w:rPr>
          <w:rFonts w:eastAsia="Times New Roman"/>
          <w:b/>
          <w:color w:val="000000"/>
          <w:sz w:val="22"/>
          <w:szCs w:val="22"/>
        </w:rPr>
        <w:t>17.92 million</w:t>
      </w:r>
      <w:r w:rsidR="00B53A52">
        <w:rPr>
          <w:rFonts w:eastAsia="Times New Roman"/>
          <w:color w:val="000000"/>
          <w:sz w:val="22"/>
          <w:szCs w:val="22"/>
        </w:rPr>
        <w:t xml:space="preserve"> </w:t>
      </w:r>
      <w:r w:rsidR="00A82005">
        <w:rPr>
          <w:rFonts w:eastAsia="Times New Roman"/>
          <w:color w:val="000000"/>
          <w:sz w:val="22"/>
          <w:szCs w:val="22"/>
        </w:rPr>
        <w:t xml:space="preserve">of </w:t>
      </w:r>
      <w:r w:rsidR="0055466D">
        <w:rPr>
          <w:rFonts w:eastAsia="Times New Roman"/>
          <w:color w:val="000000"/>
          <w:sz w:val="22"/>
          <w:szCs w:val="22"/>
        </w:rPr>
        <w:t>SR</w:t>
      </w:r>
      <w:r w:rsidR="00B53A52">
        <w:rPr>
          <w:rFonts w:eastAsia="Times New Roman"/>
          <w:color w:val="000000"/>
          <w:sz w:val="22"/>
          <w:szCs w:val="22"/>
        </w:rPr>
        <w:t>G and Bridge Grant funding</w:t>
      </w:r>
      <w:r w:rsidR="001206D9">
        <w:rPr>
          <w:rFonts w:eastAsia="Times New Roman"/>
          <w:color w:val="000000"/>
          <w:sz w:val="22"/>
          <w:szCs w:val="22"/>
        </w:rPr>
        <w:t xml:space="preserve"> to specific improvement efforts, during</w:t>
      </w:r>
      <w:r w:rsidRPr="00652C97">
        <w:rPr>
          <w:sz w:val="22"/>
          <w:szCs w:val="22"/>
        </w:rPr>
        <w:t xml:space="preserve"> 2010-11 and 2011-12. </w:t>
      </w:r>
      <w:r w:rsidR="00234300">
        <w:rPr>
          <w:sz w:val="22"/>
          <w:szCs w:val="22"/>
        </w:rPr>
        <w:t xml:space="preserve">The following analysis focuses exclusively on how schools allocated non-extended </w:t>
      </w:r>
      <w:r w:rsidR="00C2113C">
        <w:rPr>
          <w:sz w:val="22"/>
          <w:szCs w:val="22"/>
        </w:rPr>
        <w:t xml:space="preserve">learning </w:t>
      </w:r>
      <w:r w:rsidR="00234300">
        <w:rPr>
          <w:sz w:val="22"/>
          <w:szCs w:val="22"/>
        </w:rPr>
        <w:t xml:space="preserve">time, discretionary </w:t>
      </w:r>
      <w:r w:rsidR="00A82005">
        <w:rPr>
          <w:sz w:val="22"/>
          <w:szCs w:val="22"/>
        </w:rPr>
        <w:t>funds</w:t>
      </w:r>
      <w:r w:rsidR="00234300">
        <w:rPr>
          <w:sz w:val="22"/>
          <w:szCs w:val="22"/>
        </w:rPr>
        <w:t xml:space="preserve">. </w:t>
      </w:r>
    </w:p>
    <w:p w:rsidR="00FD2C0F" w:rsidRDefault="00FD2C0F" w:rsidP="001206D9">
      <w:pPr>
        <w:spacing w:line="288" w:lineRule="auto"/>
        <w:rPr>
          <w:sz w:val="22"/>
          <w:szCs w:val="22"/>
        </w:rPr>
      </w:pPr>
    </w:p>
    <w:p w:rsidR="00E8506C" w:rsidRPr="00FD2C0F" w:rsidRDefault="00C46EA3" w:rsidP="00FD2C0F">
      <w:pPr>
        <w:spacing w:line="288" w:lineRule="auto"/>
        <w:rPr>
          <w:sz w:val="22"/>
          <w:szCs w:val="22"/>
        </w:rPr>
      </w:pPr>
      <w:bookmarkStart w:id="4" w:name="_GoBack"/>
      <w:r>
        <w:rPr>
          <w:noProof/>
          <w:lang w:eastAsia="zh-CN"/>
        </w:rPr>
        <w:drawing>
          <wp:anchor distT="0" distB="0" distL="114300" distR="114300" simplePos="0" relativeHeight="251721728" behindDoc="1" locked="0" layoutInCell="1" allowOverlap="1">
            <wp:simplePos x="0" y="0"/>
            <wp:positionH relativeFrom="column">
              <wp:posOffset>2240280</wp:posOffset>
            </wp:positionH>
            <wp:positionV relativeFrom="paragraph">
              <wp:posOffset>688340</wp:posOffset>
            </wp:positionV>
            <wp:extent cx="4274820" cy="2339340"/>
            <wp:effectExtent l="0" t="0" r="0" b="3810"/>
            <wp:wrapTight wrapText="bothSides">
              <wp:wrapPolygon edited="0">
                <wp:start x="0" y="0"/>
                <wp:lineTo x="0" y="21635"/>
                <wp:lineTo x="21561" y="21635"/>
                <wp:lineTo x="21561" y="0"/>
                <wp:lineTo x="0" y="0"/>
              </wp:wrapPolygon>
            </wp:wrapTight>
            <wp:docPr id="4" name="Chart 4" descr="The percent allocation and dollar amount (in millions) of SRG and Bridge Grant funds by Improvement Focus, excluding stipends for Extended Time, 2010 to 2012&#10;Redesign Team Planning: $0.31 million, 2%&#10;Implementation Oversight and Coordination: $2.2 million, 13%&#10;Instruction and Direct Support to Students: $5.92 million, 34%&#10;Formal Teacher PD: $1.62 million, 9%&#10;Job Embedded PD: $2.02 million, 11%&#10;Data: $0.89 million, 5%&#10;Materials: $1.94 million, 11%&#10;Social Emotional Health: $ 2.36 million, 13%&#10;Other: 0.31 million, 2%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bookmarkEnd w:id="4"/>
      <w:r w:rsidR="00B53A52">
        <w:rPr>
          <w:sz w:val="22"/>
          <w:szCs w:val="22"/>
        </w:rPr>
        <w:t xml:space="preserve">Chart 2 </w:t>
      </w:r>
      <w:r w:rsidR="00A01FE5">
        <w:rPr>
          <w:sz w:val="22"/>
          <w:szCs w:val="22"/>
        </w:rPr>
        <w:t xml:space="preserve">clarifies </w:t>
      </w:r>
      <w:r w:rsidR="00607C1C">
        <w:rPr>
          <w:sz w:val="22"/>
          <w:szCs w:val="22"/>
        </w:rPr>
        <w:t>the purpose and focus of</w:t>
      </w:r>
      <w:r w:rsidR="0055466D">
        <w:rPr>
          <w:sz w:val="22"/>
          <w:szCs w:val="22"/>
        </w:rPr>
        <w:t xml:space="preserve"> SR</w:t>
      </w:r>
      <w:r w:rsidR="00A01FE5">
        <w:rPr>
          <w:sz w:val="22"/>
          <w:szCs w:val="22"/>
        </w:rPr>
        <w:t xml:space="preserve">G </w:t>
      </w:r>
      <w:r w:rsidR="00607C1C">
        <w:rPr>
          <w:sz w:val="22"/>
          <w:szCs w:val="22"/>
        </w:rPr>
        <w:t>allocations</w:t>
      </w:r>
      <w:r w:rsidR="00A01FE5">
        <w:rPr>
          <w:sz w:val="22"/>
          <w:szCs w:val="22"/>
        </w:rPr>
        <w:t xml:space="preserve">, in the aggregate, displayed </w:t>
      </w:r>
      <w:r w:rsidR="001206D9">
        <w:rPr>
          <w:sz w:val="22"/>
          <w:szCs w:val="22"/>
        </w:rPr>
        <w:t xml:space="preserve">as the percent of total funds allocated </w:t>
      </w:r>
      <w:r w:rsidR="00A82005">
        <w:rPr>
          <w:sz w:val="22"/>
          <w:szCs w:val="22"/>
        </w:rPr>
        <w:t>to</w:t>
      </w:r>
      <w:r w:rsidR="001206D9">
        <w:rPr>
          <w:sz w:val="22"/>
          <w:szCs w:val="22"/>
        </w:rPr>
        <w:t xml:space="preserve"> each of the nine Improvement Focus categories. </w:t>
      </w:r>
      <w:r w:rsidR="009D4E48">
        <w:rPr>
          <w:sz w:val="22"/>
          <w:szCs w:val="22"/>
        </w:rPr>
        <w:t xml:space="preserve"> Districts and s</w:t>
      </w:r>
      <w:r w:rsidR="00E8506C" w:rsidRPr="00652C97">
        <w:rPr>
          <w:sz w:val="22"/>
          <w:szCs w:val="22"/>
        </w:rPr>
        <w:t>chools all</w:t>
      </w:r>
      <w:r w:rsidR="00234300">
        <w:rPr>
          <w:sz w:val="22"/>
          <w:szCs w:val="22"/>
        </w:rPr>
        <w:t xml:space="preserve">ocated the largest portion of non-extended </w:t>
      </w:r>
      <w:r w:rsidR="00C2113C">
        <w:rPr>
          <w:sz w:val="22"/>
          <w:szCs w:val="22"/>
        </w:rPr>
        <w:t xml:space="preserve">learning </w:t>
      </w:r>
      <w:r w:rsidR="0055466D">
        <w:rPr>
          <w:sz w:val="22"/>
          <w:szCs w:val="22"/>
        </w:rPr>
        <w:t>time SR</w:t>
      </w:r>
      <w:r w:rsidR="00E8506C" w:rsidRPr="00652C97">
        <w:rPr>
          <w:sz w:val="22"/>
          <w:szCs w:val="22"/>
        </w:rPr>
        <w:t>G funds to the</w:t>
      </w:r>
      <w:r w:rsidR="00234300">
        <w:rPr>
          <w:sz w:val="22"/>
          <w:szCs w:val="22"/>
        </w:rPr>
        <w:t xml:space="preserve"> </w:t>
      </w:r>
      <w:r w:rsidR="00234300" w:rsidRPr="00A82005">
        <w:rPr>
          <w:b/>
          <w:i/>
          <w:sz w:val="22"/>
          <w:szCs w:val="22"/>
        </w:rPr>
        <w:t>direct instruction of students</w:t>
      </w:r>
      <w:r w:rsidR="00A82005">
        <w:rPr>
          <w:b/>
          <w:sz w:val="22"/>
          <w:szCs w:val="22"/>
        </w:rPr>
        <w:t xml:space="preserve"> </w:t>
      </w:r>
      <w:r w:rsidR="00A82005" w:rsidRPr="00652C97">
        <w:rPr>
          <w:sz w:val="22"/>
          <w:szCs w:val="22"/>
        </w:rPr>
        <w:t xml:space="preserve">(33%, </w:t>
      </w:r>
      <w:r w:rsidR="00A82005">
        <w:rPr>
          <w:sz w:val="22"/>
          <w:szCs w:val="22"/>
        </w:rPr>
        <w:t>$</w:t>
      </w:r>
      <w:r w:rsidR="00A82005" w:rsidRPr="00652C97">
        <w:rPr>
          <w:sz w:val="22"/>
          <w:szCs w:val="22"/>
        </w:rPr>
        <w:t>5.92 million)</w:t>
      </w:r>
      <w:r w:rsidR="00234300">
        <w:rPr>
          <w:sz w:val="22"/>
          <w:szCs w:val="22"/>
        </w:rPr>
        <w:t xml:space="preserve">. </w:t>
      </w:r>
      <w:r w:rsidR="00E8506C" w:rsidRPr="00234300">
        <w:rPr>
          <w:sz w:val="22"/>
          <w:szCs w:val="22"/>
        </w:rPr>
        <w:t>After direct instruction</w:t>
      </w:r>
      <w:r w:rsidR="00234300">
        <w:rPr>
          <w:sz w:val="22"/>
          <w:szCs w:val="22"/>
        </w:rPr>
        <w:t xml:space="preserve"> to students, </w:t>
      </w:r>
      <w:r w:rsidR="009D4E48">
        <w:rPr>
          <w:sz w:val="22"/>
          <w:szCs w:val="22"/>
        </w:rPr>
        <w:t xml:space="preserve">districts and schools </w:t>
      </w:r>
      <w:r w:rsidR="00A01FE5">
        <w:rPr>
          <w:sz w:val="22"/>
          <w:szCs w:val="22"/>
        </w:rPr>
        <w:t xml:space="preserve">tended to use funds to </w:t>
      </w:r>
      <w:r w:rsidR="00E8506C" w:rsidRPr="00234300">
        <w:rPr>
          <w:sz w:val="22"/>
          <w:szCs w:val="22"/>
        </w:rPr>
        <w:t xml:space="preserve">address students’ </w:t>
      </w:r>
      <w:r w:rsidR="00E8506C" w:rsidRPr="00A82005">
        <w:rPr>
          <w:i/>
          <w:sz w:val="22"/>
          <w:szCs w:val="22"/>
        </w:rPr>
        <w:t>social and emotional health</w:t>
      </w:r>
      <w:r w:rsidR="00E8506C" w:rsidRPr="00234300">
        <w:rPr>
          <w:sz w:val="22"/>
          <w:szCs w:val="22"/>
        </w:rPr>
        <w:t xml:space="preserve"> (13.1%, </w:t>
      </w:r>
      <w:r w:rsidR="00234300">
        <w:rPr>
          <w:sz w:val="22"/>
          <w:szCs w:val="22"/>
        </w:rPr>
        <w:t>$</w:t>
      </w:r>
      <w:r w:rsidR="005E192A">
        <w:rPr>
          <w:sz w:val="22"/>
          <w:szCs w:val="22"/>
        </w:rPr>
        <w:t>2.36</w:t>
      </w:r>
      <w:r w:rsidR="00E8506C" w:rsidRPr="00234300">
        <w:rPr>
          <w:sz w:val="22"/>
          <w:szCs w:val="22"/>
        </w:rPr>
        <w:t xml:space="preserve"> million), </w:t>
      </w:r>
      <w:r w:rsidR="00C37E39">
        <w:rPr>
          <w:sz w:val="22"/>
          <w:szCs w:val="22"/>
        </w:rPr>
        <w:t xml:space="preserve">to </w:t>
      </w:r>
      <w:r w:rsidR="00A01FE5">
        <w:rPr>
          <w:sz w:val="22"/>
          <w:szCs w:val="22"/>
        </w:rPr>
        <w:t xml:space="preserve">support </w:t>
      </w:r>
      <w:r w:rsidR="00E8506C" w:rsidRPr="00A82005">
        <w:rPr>
          <w:i/>
          <w:sz w:val="22"/>
          <w:szCs w:val="22"/>
        </w:rPr>
        <w:t>implementation oversight and</w:t>
      </w:r>
      <w:r w:rsidR="005E192A" w:rsidRPr="00A82005">
        <w:rPr>
          <w:i/>
          <w:sz w:val="22"/>
          <w:szCs w:val="22"/>
        </w:rPr>
        <w:t xml:space="preserve"> coordination</w:t>
      </w:r>
      <w:r w:rsidR="005E192A">
        <w:rPr>
          <w:sz w:val="22"/>
          <w:szCs w:val="22"/>
        </w:rPr>
        <w:t xml:space="preserve"> (12.4%, 2.22</w:t>
      </w:r>
      <w:r w:rsidR="00E8506C" w:rsidRPr="00234300">
        <w:rPr>
          <w:sz w:val="22"/>
          <w:szCs w:val="22"/>
        </w:rPr>
        <w:t xml:space="preserve"> million), and</w:t>
      </w:r>
      <w:r w:rsidR="00A01FE5">
        <w:rPr>
          <w:sz w:val="22"/>
          <w:szCs w:val="22"/>
        </w:rPr>
        <w:t xml:space="preserve"> </w:t>
      </w:r>
      <w:r w:rsidR="00C37E39">
        <w:rPr>
          <w:sz w:val="22"/>
          <w:szCs w:val="22"/>
        </w:rPr>
        <w:t xml:space="preserve">to </w:t>
      </w:r>
      <w:r w:rsidR="00A01FE5">
        <w:rPr>
          <w:sz w:val="22"/>
          <w:szCs w:val="22"/>
        </w:rPr>
        <w:t>provide</w:t>
      </w:r>
      <w:r w:rsidR="00E8506C" w:rsidRPr="00234300">
        <w:rPr>
          <w:sz w:val="22"/>
          <w:szCs w:val="22"/>
        </w:rPr>
        <w:t xml:space="preserve"> </w:t>
      </w:r>
      <w:r w:rsidR="00E8506C" w:rsidRPr="00A82005">
        <w:rPr>
          <w:i/>
          <w:sz w:val="22"/>
          <w:szCs w:val="22"/>
        </w:rPr>
        <w:t>job-embedded professional de</w:t>
      </w:r>
      <w:r w:rsidR="00FD2C0F" w:rsidRPr="00A82005">
        <w:rPr>
          <w:i/>
          <w:sz w:val="22"/>
          <w:szCs w:val="22"/>
        </w:rPr>
        <w:t>velopment</w:t>
      </w:r>
      <w:r w:rsidR="00FD2C0F">
        <w:rPr>
          <w:sz w:val="22"/>
          <w:szCs w:val="22"/>
        </w:rPr>
        <w:t xml:space="preserve"> (11.3%, 2.02 million). </w:t>
      </w:r>
      <w:r w:rsidR="00E8506C" w:rsidRPr="00FD2C0F">
        <w:rPr>
          <w:sz w:val="22"/>
          <w:szCs w:val="22"/>
        </w:rPr>
        <w:t xml:space="preserve">The next largest allocation of funds went towards </w:t>
      </w:r>
      <w:r w:rsidR="00E8506C" w:rsidRPr="00A82005">
        <w:rPr>
          <w:i/>
          <w:sz w:val="22"/>
          <w:szCs w:val="22"/>
        </w:rPr>
        <w:t>materials</w:t>
      </w:r>
      <w:r w:rsidR="00E8506C" w:rsidRPr="00FD2C0F">
        <w:rPr>
          <w:sz w:val="22"/>
          <w:szCs w:val="22"/>
        </w:rPr>
        <w:t xml:space="preserve"> (1.94 million), of which approximately 50% went towards technology and software and 50% towards textbooks and print material.</w:t>
      </w:r>
      <w:r w:rsidRPr="00C46EA3">
        <w:rPr>
          <w:noProof/>
        </w:rPr>
        <w:t xml:space="preserve"> </w:t>
      </w:r>
    </w:p>
    <w:p w:rsidR="00A82005" w:rsidRDefault="00A82005">
      <w:pPr>
        <w:rPr>
          <w:b/>
          <w:color w:val="365F91" w:themeColor="accent1" w:themeShade="BF"/>
          <w:sz w:val="22"/>
          <w:szCs w:val="22"/>
        </w:rPr>
      </w:pPr>
    </w:p>
    <w:p w:rsidR="00A679D6" w:rsidRPr="00691BCB" w:rsidRDefault="00A679D6" w:rsidP="00A679D6">
      <w:pPr>
        <w:spacing w:after="160"/>
        <w:rPr>
          <w:b/>
          <w:sz w:val="22"/>
          <w:szCs w:val="22"/>
        </w:rPr>
      </w:pPr>
      <w:r>
        <w:rPr>
          <w:b/>
          <w:color w:val="365F91" w:themeColor="accent1" w:themeShade="BF"/>
          <w:sz w:val="22"/>
          <w:szCs w:val="22"/>
        </w:rPr>
        <w:t>Improvement Focus</w:t>
      </w:r>
      <w:r>
        <w:rPr>
          <w:b/>
          <w:sz w:val="22"/>
          <w:szCs w:val="22"/>
        </w:rPr>
        <w:t xml:space="preserve">: </w:t>
      </w:r>
      <w:r>
        <w:rPr>
          <w:b/>
          <w:color w:val="365F91" w:themeColor="accent1" w:themeShade="BF"/>
          <w:sz w:val="22"/>
          <w:szCs w:val="22"/>
        </w:rPr>
        <w:t>Analysis</w:t>
      </w:r>
    </w:p>
    <w:p w:rsidR="0084663F" w:rsidRDefault="002E7D82" w:rsidP="002E3A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8" w:lineRule="auto"/>
        <w:rPr>
          <w:bCs/>
          <w:sz w:val="22"/>
          <w:szCs w:val="22"/>
          <w:lang w:eastAsia="ja-JP"/>
        </w:rPr>
      </w:pPr>
      <w:r>
        <w:rPr>
          <w:bCs/>
          <w:sz w:val="22"/>
          <w:szCs w:val="22"/>
          <w:lang w:eastAsia="ja-JP"/>
        </w:rPr>
        <w:t>There are important differences in how</w:t>
      </w:r>
      <w:r w:rsidRPr="002E7D82">
        <w:rPr>
          <w:bCs/>
          <w:sz w:val="22"/>
          <w:szCs w:val="22"/>
          <w:lang w:eastAsia="ja-JP"/>
        </w:rPr>
        <w:t xml:space="preserve"> </w:t>
      </w:r>
      <w:r>
        <w:rPr>
          <w:bCs/>
          <w:sz w:val="22"/>
          <w:szCs w:val="22"/>
          <w:lang w:eastAsia="ja-JP"/>
        </w:rPr>
        <w:t xml:space="preserve">Achievement Gain schools allocated </w:t>
      </w:r>
      <w:r w:rsidR="0012764A">
        <w:rPr>
          <w:bCs/>
          <w:sz w:val="22"/>
          <w:szCs w:val="22"/>
          <w:lang w:eastAsia="ja-JP"/>
        </w:rPr>
        <w:t xml:space="preserve">SRG and Bridge Grant </w:t>
      </w:r>
      <w:r>
        <w:rPr>
          <w:bCs/>
          <w:sz w:val="22"/>
          <w:szCs w:val="22"/>
          <w:lang w:eastAsia="ja-JP"/>
        </w:rPr>
        <w:t xml:space="preserve">funds, compared to the allocation of funds by non-Gain schools that warrant additional research. Additionally, the differences in resource allocation align with the </w:t>
      </w:r>
      <w:hyperlink w:anchor="EmergingPractices" w:history="1">
        <w:r w:rsidRPr="00A82005">
          <w:rPr>
            <w:rStyle w:val="Hyperlink"/>
            <w:bCs/>
            <w:sz w:val="22"/>
            <w:szCs w:val="22"/>
            <w:lang w:eastAsia="ja-JP"/>
          </w:rPr>
          <w:t>emerging and sustain</w:t>
        </w:r>
        <w:r w:rsidR="00660BA2">
          <w:rPr>
            <w:rStyle w:val="Hyperlink"/>
            <w:bCs/>
            <w:sz w:val="22"/>
            <w:szCs w:val="22"/>
            <w:lang w:eastAsia="ja-JP"/>
          </w:rPr>
          <w:t>ing</w:t>
        </w:r>
        <w:r w:rsidRPr="00A82005">
          <w:rPr>
            <w:rStyle w:val="Hyperlink"/>
            <w:bCs/>
            <w:sz w:val="22"/>
            <w:szCs w:val="22"/>
            <w:lang w:eastAsia="ja-JP"/>
          </w:rPr>
          <w:t xml:space="preserve"> practices</w:t>
        </w:r>
      </w:hyperlink>
      <w:r>
        <w:rPr>
          <w:bCs/>
          <w:sz w:val="22"/>
          <w:szCs w:val="22"/>
          <w:lang w:eastAsia="ja-JP"/>
        </w:rPr>
        <w:t>, suggesting that how schools allocate resources directly impacts the practic</w:t>
      </w:r>
      <w:r w:rsidR="00A82005">
        <w:rPr>
          <w:bCs/>
          <w:sz w:val="22"/>
          <w:szCs w:val="22"/>
          <w:lang w:eastAsia="ja-JP"/>
        </w:rPr>
        <w:t>es used and employed by schools and that result</w:t>
      </w:r>
      <w:r>
        <w:rPr>
          <w:bCs/>
          <w:sz w:val="22"/>
          <w:szCs w:val="22"/>
          <w:lang w:eastAsia="ja-JP"/>
        </w:rPr>
        <w:t xml:space="preserve"> in achievement gains. </w:t>
      </w:r>
    </w:p>
    <w:p w:rsidR="0084663F" w:rsidRPr="0084663F" w:rsidRDefault="002E7D82" w:rsidP="00145FF0">
      <w:pPr>
        <w:pStyle w:val="ListParagraph"/>
        <w:widowControl w:val="0"/>
        <w:numPr>
          <w:ilvl w:val="0"/>
          <w:numId w:val="2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288" w:lineRule="auto"/>
        <w:contextualSpacing w:val="0"/>
        <w:rPr>
          <w:bCs/>
          <w:sz w:val="22"/>
          <w:szCs w:val="22"/>
          <w:lang w:eastAsia="ja-JP"/>
        </w:rPr>
      </w:pPr>
      <w:r w:rsidRPr="0084663F">
        <w:rPr>
          <w:bCs/>
          <w:sz w:val="22"/>
          <w:szCs w:val="22"/>
          <w:lang w:eastAsia="ja-JP"/>
        </w:rPr>
        <w:t xml:space="preserve">In the aggregate, </w:t>
      </w:r>
      <w:r w:rsidR="00A679D6" w:rsidRPr="0084663F">
        <w:rPr>
          <w:bCs/>
          <w:sz w:val="22"/>
          <w:szCs w:val="22"/>
          <w:lang w:eastAsia="ja-JP"/>
        </w:rPr>
        <w:t>Achievement Gain scho</w:t>
      </w:r>
      <w:r w:rsidRPr="0084663F">
        <w:rPr>
          <w:bCs/>
          <w:sz w:val="22"/>
          <w:szCs w:val="22"/>
          <w:lang w:eastAsia="ja-JP"/>
        </w:rPr>
        <w:t xml:space="preserve">ols </w:t>
      </w:r>
      <w:r w:rsidRPr="0084663F">
        <w:rPr>
          <w:b/>
          <w:bCs/>
          <w:sz w:val="22"/>
          <w:szCs w:val="22"/>
          <w:lang w:eastAsia="ja-JP"/>
        </w:rPr>
        <w:t>allocated</w:t>
      </w:r>
      <w:r w:rsidR="00A679D6" w:rsidRPr="0084663F">
        <w:rPr>
          <w:b/>
          <w:bCs/>
          <w:sz w:val="22"/>
          <w:szCs w:val="22"/>
          <w:lang w:eastAsia="ja-JP"/>
        </w:rPr>
        <w:t xml:space="preserve"> significantly more funds towards instruction and direct support to students</w:t>
      </w:r>
      <w:r w:rsidR="00A679D6" w:rsidRPr="0084663F">
        <w:rPr>
          <w:bCs/>
          <w:sz w:val="22"/>
          <w:szCs w:val="22"/>
          <w:lang w:eastAsia="ja-JP"/>
        </w:rPr>
        <w:t>, compared to Non-Gain schools.</w:t>
      </w:r>
      <w:r w:rsidRPr="0084663F">
        <w:rPr>
          <w:bCs/>
          <w:sz w:val="22"/>
          <w:szCs w:val="22"/>
          <w:lang w:eastAsia="ja-JP"/>
        </w:rPr>
        <w:t xml:space="preserve"> </w:t>
      </w:r>
    </w:p>
    <w:p w:rsidR="00A679D6" w:rsidRPr="0084663F" w:rsidRDefault="00A679D6" w:rsidP="00145FF0">
      <w:pPr>
        <w:pStyle w:val="ListParagraph"/>
        <w:widowControl w:val="0"/>
        <w:numPr>
          <w:ilvl w:val="0"/>
          <w:numId w:val="2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288" w:lineRule="auto"/>
        <w:contextualSpacing w:val="0"/>
        <w:rPr>
          <w:bCs/>
          <w:sz w:val="22"/>
          <w:szCs w:val="22"/>
          <w:lang w:eastAsia="ja-JP"/>
        </w:rPr>
      </w:pPr>
      <w:r w:rsidRPr="0084663F">
        <w:rPr>
          <w:bCs/>
          <w:sz w:val="22"/>
          <w:szCs w:val="22"/>
          <w:lang w:eastAsia="ja-JP"/>
        </w:rPr>
        <w:t xml:space="preserve">Non-Gain schools </w:t>
      </w:r>
      <w:r w:rsidRPr="0084663F">
        <w:rPr>
          <w:b/>
          <w:bCs/>
          <w:sz w:val="22"/>
          <w:szCs w:val="22"/>
          <w:lang w:eastAsia="ja-JP"/>
        </w:rPr>
        <w:t xml:space="preserve">allocated significantly more funds towards issues related to behavior and </w:t>
      </w:r>
      <w:r w:rsidRPr="0084663F">
        <w:rPr>
          <w:b/>
          <w:bCs/>
          <w:sz w:val="22"/>
          <w:szCs w:val="22"/>
          <w:lang w:eastAsia="ja-JP"/>
        </w:rPr>
        <w:lastRenderedPageBreak/>
        <w:t>providing formal professional development to teachers</w:t>
      </w:r>
      <w:r w:rsidRPr="0084663F">
        <w:rPr>
          <w:bCs/>
          <w:sz w:val="22"/>
          <w:szCs w:val="22"/>
          <w:lang w:eastAsia="ja-JP"/>
        </w:rPr>
        <w:t xml:space="preserve">, compared to Achievement Gain schools.  </w:t>
      </w:r>
    </w:p>
    <w:p w:rsidR="000B7BDC" w:rsidRDefault="0084663F" w:rsidP="002E3A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rPr>
          <w:sz w:val="22"/>
          <w:szCs w:val="22"/>
          <w:lang w:eastAsia="ja-JP"/>
        </w:rPr>
      </w:pPr>
      <w:r>
        <w:rPr>
          <w:sz w:val="22"/>
          <w:szCs w:val="22"/>
          <w:lang w:eastAsia="ja-JP"/>
        </w:rPr>
        <w:t>Table 3</w:t>
      </w:r>
      <w:r w:rsidR="00A679D6" w:rsidRPr="00652C97">
        <w:rPr>
          <w:sz w:val="22"/>
          <w:szCs w:val="22"/>
          <w:lang w:eastAsia="ja-JP"/>
        </w:rPr>
        <w:t xml:space="preserve"> </w:t>
      </w:r>
      <w:r w:rsidR="00A679D6">
        <w:rPr>
          <w:sz w:val="22"/>
          <w:szCs w:val="22"/>
          <w:lang w:eastAsia="ja-JP"/>
        </w:rPr>
        <w:t>displays</w:t>
      </w:r>
      <w:r w:rsidR="0055466D">
        <w:rPr>
          <w:sz w:val="22"/>
          <w:szCs w:val="22"/>
          <w:lang w:eastAsia="ja-JP"/>
        </w:rPr>
        <w:t xml:space="preserve"> the percent of SR</w:t>
      </w:r>
      <w:r w:rsidR="00A679D6" w:rsidRPr="00652C97">
        <w:rPr>
          <w:sz w:val="22"/>
          <w:szCs w:val="22"/>
          <w:lang w:eastAsia="ja-JP"/>
        </w:rPr>
        <w:t>G fundi</w:t>
      </w:r>
      <w:r w:rsidR="00A679D6">
        <w:rPr>
          <w:sz w:val="22"/>
          <w:szCs w:val="22"/>
          <w:lang w:eastAsia="ja-JP"/>
        </w:rPr>
        <w:t>ng allocated to each Improvement Focus category, by Achievement Gain, Non-Gain, and All</w:t>
      </w:r>
      <w:r w:rsidR="00A679D6" w:rsidRPr="00652C97">
        <w:rPr>
          <w:sz w:val="22"/>
          <w:szCs w:val="22"/>
          <w:lang w:eastAsia="ja-JP"/>
        </w:rPr>
        <w:t xml:space="preserve"> Schools.</w:t>
      </w:r>
      <w:r w:rsidR="00A679D6">
        <w:rPr>
          <w:sz w:val="22"/>
          <w:szCs w:val="22"/>
          <w:lang w:eastAsia="ja-JP"/>
        </w:rPr>
        <w:t xml:space="preserve"> </w:t>
      </w:r>
    </w:p>
    <w:p w:rsidR="000B7BDC" w:rsidRPr="0084663F" w:rsidRDefault="000B7BDC" w:rsidP="000B7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rPr>
          <w:rFonts w:ascii="Helvetica" w:hAnsi="Helvetica" w:cs="Helvetica"/>
          <w:b/>
          <w:color w:val="1F497D" w:themeColor="text2"/>
          <w:szCs w:val="24"/>
          <w:lang w:eastAsia="ja-JP"/>
        </w:rPr>
      </w:pPr>
      <w:proofErr w:type="gramStart"/>
      <w:r>
        <w:rPr>
          <w:b/>
          <w:color w:val="1F497D" w:themeColor="text2"/>
          <w:sz w:val="22"/>
          <w:szCs w:val="22"/>
          <w:lang w:eastAsia="ja-JP"/>
        </w:rPr>
        <w:t>Table 3</w:t>
      </w:r>
      <w:r w:rsidRPr="002C589A">
        <w:rPr>
          <w:b/>
          <w:color w:val="1F497D" w:themeColor="text2"/>
          <w:sz w:val="22"/>
          <w:szCs w:val="22"/>
          <w:lang w:eastAsia="ja-JP"/>
        </w:rPr>
        <w:t>.</w:t>
      </w:r>
      <w:proofErr w:type="gramEnd"/>
      <w:r w:rsidRPr="002C589A">
        <w:rPr>
          <w:b/>
          <w:color w:val="1F497D" w:themeColor="text2"/>
          <w:sz w:val="22"/>
          <w:szCs w:val="22"/>
          <w:lang w:eastAsia="ja-JP"/>
        </w:rPr>
        <w:t xml:space="preserve"> </w:t>
      </w:r>
      <w:r>
        <w:rPr>
          <w:b/>
          <w:color w:val="1F497D" w:themeColor="text2"/>
          <w:sz w:val="22"/>
          <w:szCs w:val="22"/>
          <w:lang w:eastAsia="ja-JP"/>
        </w:rPr>
        <w:t>Percent allocation of SR</w:t>
      </w:r>
      <w:r w:rsidRPr="002C589A">
        <w:rPr>
          <w:b/>
          <w:color w:val="1F497D" w:themeColor="text2"/>
          <w:sz w:val="22"/>
          <w:szCs w:val="22"/>
          <w:lang w:eastAsia="ja-JP"/>
        </w:rPr>
        <w:t>G fundin</w:t>
      </w:r>
      <w:r>
        <w:rPr>
          <w:b/>
          <w:color w:val="1F497D" w:themeColor="text2"/>
          <w:sz w:val="22"/>
          <w:szCs w:val="22"/>
          <w:lang w:eastAsia="ja-JP"/>
        </w:rPr>
        <w:t>g (excluding stipends for extended learning time) in</w:t>
      </w:r>
      <w:r w:rsidRPr="002C589A">
        <w:rPr>
          <w:b/>
          <w:color w:val="1F497D" w:themeColor="text2"/>
          <w:sz w:val="22"/>
          <w:szCs w:val="22"/>
          <w:lang w:eastAsia="ja-JP"/>
        </w:rPr>
        <w:t xml:space="preserve"> Achievement Gain and Non-Gain schools</w:t>
      </w:r>
      <w:r>
        <w:rPr>
          <w:b/>
          <w:color w:val="1F497D" w:themeColor="text2"/>
          <w:sz w:val="22"/>
          <w:szCs w:val="22"/>
          <w:lang w:eastAsia="ja-JP"/>
        </w:rPr>
        <w:t xml:space="preserve"> by Improvement Focus</w:t>
      </w:r>
      <w:r w:rsidRPr="002C589A">
        <w:rPr>
          <w:b/>
          <w:color w:val="1F497D" w:themeColor="text2"/>
          <w:sz w:val="22"/>
          <w:szCs w:val="22"/>
          <w:lang w:eastAsia="ja-JP"/>
        </w:rPr>
        <w:t>, 2010-2012</w:t>
      </w:r>
    </w:p>
    <w:tbl>
      <w:tblPr>
        <w:tblW w:w="0" w:type="auto"/>
        <w:tblBorders>
          <w:bottom w:val="single" w:sz="8" w:space="0" w:color="auto"/>
          <w:insideH w:val="single" w:sz="8" w:space="0" w:color="auto"/>
        </w:tblBorders>
        <w:tblLayout w:type="fixed"/>
        <w:tblLook w:val="0000"/>
      </w:tblPr>
      <w:tblGrid>
        <w:gridCol w:w="1728"/>
        <w:gridCol w:w="1440"/>
        <w:gridCol w:w="1350"/>
        <w:gridCol w:w="900"/>
        <w:gridCol w:w="990"/>
        <w:gridCol w:w="720"/>
        <w:gridCol w:w="900"/>
        <w:gridCol w:w="990"/>
        <w:gridCol w:w="720"/>
      </w:tblGrid>
      <w:tr w:rsidR="000B7BDC" w:rsidRPr="00652C97" w:rsidTr="00F152DE">
        <w:tc>
          <w:tcPr>
            <w:tcW w:w="1728" w:type="dxa"/>
            <w:tcMar>
              <w:top w:w="20" w:type="nil"/>
              <w:left w:w="20" w:type="nil"/>
              <w:bottom w:w="20" w:type="nil"/>
              <w:right w:w="20" w:type="nil"/>
            </w:tcMa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eastAsia="ja-JP"/>
              </w:rPr>
            </w:pPr>
          </w:p>
        </w:tc>
        <w:tc>
          <w:tcPr>
            <w:tcW w:w="144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sidRPr="00652C97">
              <w:rPr>
                <w:sz w:val="18"/>
                <w:szCs w:val="18"/>
                <w:lang w:eastAsia="ja-JP"/>
              </w:rPr>
              <w:t>Implementation Oversight and Coordination</w:t>
            </w:r>
          </w:p>
        </w:tc>
        <w:tc>
          <w:tcPr>
            <w:tcW w:w="135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sidRPr="00652C97">
              <w:rPr>
                <w:sz w:val="18"/>
                <w:szCs w:val="18"/>
                <w:lang w:eastAsia="ja-JP"/>
              </w:rPr>
              <w:t>Instruction and Direct Support to Students</w:t>
            </w:r>
          </w:p>
        </w:tc>
        <w:tc>
          <w:tcPr>
            <w:tcW w:w="90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sidRPr="00652C97">
              <w:rPr>
                <w:sz w:val="18"/>
                <w:szCs w:val="18"/>
                <w:lang w:eastAsia="ja-JP"/>
              </w:rPr>
              <w:t>Formal Teacher PD</w:t>
            </w:r>
          </w:p>
        </w:tc>
        <w:tc>
          <w:tcPr>
            <w:tcW w:w="99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sidRPr="00652C97">
              <w:rPr>
                <w:sz w:val="18"/>
                <w:szCs w:val="18"/>
                <w:lang w:eastAsia="ja-JP"/>
              </w:rPr>
              <w:t>Job-Embedded PD</w:t>
            </w:r>
          </w:p>
        </w:tc>
        <w:tc>
          <w:tcPr>
            <w:tcW w:w="72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sidRPr="00652C97">
              <w:rPr>
                <w:sz w:val="18"/>
                <w:szCs w:val="18"/>
                <w:lang w:eastAsia="ja-JP"/>
              </w:rPr>
              <w:t>Data</w:t>
            </w:r>
          </w:p>
        </w:tc>
        <w:tc>
          <w:tcPr>
            <w:tcW w:w="90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sidRPr="00652C97">
              <w:rPr>
                <w:sz w:val="18"/>
                <w:szCs w:val="18"/>
                <w:lang w:eastAsia="ja-JP"/>
              </w:rPr>
              <w:t>Materials</w:t>
            </w:r>
          </w:p>
        </w:tc>
        <w:tc>
          <w:tcPr>
            <w:tcW w:w="99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sidRPr="00652C97">
              <w:rPr>
                <w:sz w:val="18"/>
                <w:szCs w:val="18"/>
                <w:lang w:eastAsia="ja-JP"/>
              </w:rPr>
              <w:t>Social-Emotional Health</w:t>
            </w:r>
          </w:p>
        </w:tc>
        <w:tc>
          <w:tcPr>
            <w:tcW w:w="72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sidRPr="00652C97">
              <w:rPr>
                <w:sz w:val="18"/>
                <w:szCs w:val="18"/>
                <w:lang w:eastAsia="ja-JP"/>
              </w:rPr>
              <w:t>Other</w:t>
            </w:r>
          </w:p>
        </w:tc>
      </w:tr>
      <w:tr w:rsidR="000B7BDC" w:rsidTr="00EE3CF9">
        <w:tc>
          <w:tcPr>
            <w:tcW w:w="1728" w:type="dxa"/>
            <w:tcMar>
              <w:top w:w="60" w:type="nil"/>
              <w:left w:w="60" w:type="nil"/>
              <w:bottom w:w="60" w:type="nil"/>
              <w:right w:w="60" w:type="nil"/>
            </w:tcMar>
          </w:tcPr>
          <w:p w:rsidR="000B7BDC" w:rsidRPr="00652C97" w:rsidRDefault="00E754C2"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kern w:val="1"/>
                <w:sz w:val="18"/>
                <w:szCs w:val="18"/>
                <w:lang w:eastAsia="ja-JP"/>
              </w:rPr>
            </w:pPr>
            <w:r>
              <w:rPr>
                <w:sz w:val="20"/>
                <w:lang w:eastAsia="ja-JP"/>
              </w:rPr>
              <w:t xml:space="preserve">Ach. </w:t>
            </w:r>
            <w:r w:rsidR="000B7BDC" w:rsidRPr="00652C97">
              <w:rPr>
                <w:sz w:val="20"/>
                <w:lang w:eastAsia="ja-JP"/>
              </w:rPr>
              <w:t>Gain Schools</w:t>
            </w:r>
          </w:p>
        </w:tc>
        <w:tc>
          <w:tcPr>
            <w:tcW w:w="144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8.5%</w:t>
            </w:r>
          </w:p>
        </w:tc>
        <w:tc>
          <w:tcPr>
            <w:tcW w:w="1350" w:type="dxa"/>
            <w:shd w:val="clear" w:color="auto" w:fill="D9D9D9" w:themeFill="background1" w:themeFillShade="D9"/>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41.8%</w:t>
            </w:r>
          </w:p>
        </w:tc>
        <w:tc>
          <w:tcPr>
            <w:tcW w:w="900" w:type="dxa"/>
            <w:shd w:val="clear" w:color="auto" w:fill="D9D9D9" w:themeFill="background1" w:themeFillShade="D9"/>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7.7%</w:t>
            </w:r>
          </w:p>
        </w:tc>
        <w:tc>
          <w:tcPr>
            <w:tcW w:w="99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9.5%</w:t>
            </w:r>
          </w:p>
        </w:tc>
        <w:tc>
          <w:tcPr>
            <w:tcW w:w="72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5.2%</w:t>
            </w:r>
          </w:p>
        </w:tc>
        <w:tc>
          <w:tcPr>
            <w:tcW w:w="90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9.4%</w:t>
            </w:r>
          </w:p>
        </w:tc>
        <w:tc>
          <w:tcPr>
            <w:tcW w:w="990" w:type="dxa"/>
            <w:shd w:val="clear" w:color="auto" w:fill="D9D9D9" w:themeFill="background1" w:themeFillShade="D9"/>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12.6%</w:t>
            </w:r>
          </w:p>
        </w:tc>
        <w:tc>
          <w:tcPr>
            <w:tcW w:w="72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5.3%</w:t>
            </w:r>
          </w:p>
        </w:tc>
      </w:tr>
      <w:tr w:rsidR="000B7BDC" w:rsidTr="00EE3CF9">
        <w:tc>
          <w:tcPr>
            <w:tcW w:w="1728" w:type="dxa"/>
            <w:tcMar>
              <w:top w:w="60" w:type="nil"/>
              <w:left w:w="60" w:type="nil"/>
              <w:bottom w:w="60" w:type="nil"/>
              <w:right w:w="60" w:type="nil"/>
            </w:tcMa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kern w:val="1"/>
                <w:sz w:val="18"/>
                <w:szCs w:val="18"/>
                <w:lang w:eastAsia="ja-JP"/>
              </w:rPr>
            </w:pPr>
            <w:r>
              <w:rPr>
                <w:sz w:val="20"/>
                <w:lang w:eastAsia="ja-JP"/>
              </w:rPr>
              <w:t>Non-Gain</w:t>
            </w:r>
            <w:r w:rsidRPr="00652C97">
              <w:rPr>
                <w:sz w:val="20"/>
                <w:lang w:eastAsia="ja-JP"/>
              </w:rPr>
              <w:t xml:space="preserve"> Schools</w:t>
            </w:r>
          </w:p>
        </w:tc>
        <w:tc>
          <w:tcPr>
            <w:tcW w:w="144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12.2%</w:t>
            </w:r>
          </w:p>
        </w:tc>
        <w:tc>
          <w:tcPr>
            <w:tcW w:w="1350" w:type="dxa"/>
            <w:shd w:val="clear" w:color="auto" w:fill="D9D9D9" w:themeFill="background1" w:themeFillShade="D9"/>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25.5%</w:t>
            </w:r>
          </w:p>
        </w:tc>
        <w:tc>
          <w:tcPr>
            <w:tcW w:w="900" w:type="dxa"/>
            <w:shd w:val="clear" w:color="auto" w:fill="D9D9D9" w:themeFill="background1" w:themeFillShade="D9"/>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14.3%</w:t>
            </w:r>
          </w:p>
        </w:tc>
        <w:tc>
          <w:tcPr>
            <w:tcW w:w="99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7.0%</w:t>
            </w:r>
          </w:p>
        </w:tc>
        <w:tc>
          <w:tcPr>
            <w:tcW w:w="72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6.7%</w:t>
            </w:r>
          </w:p>
        </w:tc>
        <w:tc>
          <w:tcPr>
            <w:tcW w:w="90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10.1%</w:t>
            </w:r>
          </w:p>
        </w:tc>
        <w:tc>
          <w:tcPr>
            <w:tcW w:w="990" w:type="dxa"/>
            <w:shd w:val="clear" w:color="auto" w:fill="D9D9D9" w:themeFill="background1" w:themeFillShade="D9"/>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18.0%</w:t>
            </w:r>
          </w:p>
        </w:tc>
        <w:tc>
          <w:tcPr>
            <w:tcW w:w="72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6.1%</w:t>
            </w:r>
          </w:p>
        </w:tc>
      </w:tr>
      <w:tr w:rsidR="000B7BDC" w:rsidTr="00F152DE">
        <w:tc>
          <w:tcPr>
            <w:tcW w:w="1728" w:type="dxa"/>
            <w:tcMar>
              <w:top w:w="60" w:type="nil"/>
              <w:left w:w="60" w:type="nil"/>
              <w:bottom w:w="60" w:type="nil"/>
              <w:right w:w="60" w:type="nil"/>
            </w:tcMa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kern w:val="1"/>
                <w:sz w:val="18"/>
                <w:szCs w:val="18"/>
                <w:lang w:eastAsia="ja-JP"/>
              </w:rPr>
            </w:pPr>
            <w:r w:rsidRPr="00652C97">
              <w:rPr>
                <w:sz w:val="18"/>
                <w:szCs w:val="18"/>
                <w:lang w:eastAsia="ja-JP"/>
              </w:rPr>
              <w:t>All Schools</w:t>
            </w:r>
          </w:p>
        </w:tc>
        <w:tc>
          <w:tcPr>
            <w:tcW w:w="144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12.4%</w:t>
            </w:r>
          </w:p>
        </w:tc>
        <w:tc>
          <w:tcPr>
            <w:tcW w:w="135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33.0%</w:t>
            </w:r>
          </w:p>
        </w:tc>
        <w:tc>
          <w:tcPr>
            <w:tcW w:w="90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9.1%</w:t>
            </w:r>
          </w:p>
        </w:tc>
        <w:tc>
          <w:tcPr>
            <w:tcW w:w="99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11.3%</w:t>
            </w:r>
          </w:p>
        </w:tc>
        <w:tc>
          <w:tcPr>
            <w:tcW w:w="72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5.0%</w:t>
            </w:r>
          </w:p>
        </w:tc>
        <w:tc>
          <w:tcPr>
            <w:tcW w:w="90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10.8%</w:t>
            </w:r>
          </w:p>
        </w:tc>
        <w:tc>
          <w:tcPr>
            <w:tcW w:w="99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13.1%</w:t>
            </w:r>
          </w:p>
        </w:tc>
        <w:tc>
          <w:tcPr>
            <w:tcW w:w="720" w:type="dxa"/>
            <w:tcMar>
              <w:top w:w="20" w:type="nil"/>
              <w:left w:w="20" w:type="nil"/>
              <w:bottom w:w="20" w:type="nil"/>
              <w:right w:w="20" w:type="nil"/>
            </w:tcMar>
            <w:vAlign w:val="center"/>
          </w:tcPr>
          <w:p w:rsidR="000B7BDC" w:rsidRPr="00652C97" w:rsidRDefault="000B7BDC"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652C97">
              <w:rPr>
                <w:sz w:val="20"/>
                <w:lang w:eastAsia="ja-JP"/>
              </w:rPr>
              <w:t>5.3%</w:t>
            </w:r>
          </w:p>
        </w:tc>
      </w:tr>
    </w:tbl>
    <w:p w:rsidR="0084663F" w:rsidRPr="002E3AA6" w:rsidRDefault="00A679D6" w:rsidP="00F15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rPr>
          <w:rFonts w:ascii="Helvetica" w:hAnsi="Helvetica" w:cs="Helvetica"/>
          <w:kern w:val="1"/>
          <w:szCs w:val="24"/>
          <w:lang w:eastAsia="ja-JP"/>
        </w:rPr>
      </w:pPr>
      <w:r>
        <w:rPr>
          <w:sz w:val="22"/>
          <w:szCs w:val="22"/>
          <w:lang w:eastAsia="ja-JP"/>
        </w:rPr>
        <w:t xml:space="preserve">In Achievement Gain schools, over 41% of non-extended </w:t>
      </w:r>
      <w:r w:rsidR="00C2113C">
        <w:rPr>
          <w:sz w:val="22"/>
          <w:szCs w:val="22"/>
          <w:lang w:eastAsia="ja-JP"/>
        </w:rPr>
        <w:t xml:space="preserve">learning </w:t>
      </w:r>
      <w:r>
        <w:rPr>
          <w:sz w:val="22"/>
          <w:szCs w:val="22"/>
          <w:lang w:eastAsia="ja-JP"/>
        </w:rPr>
        <w:t xml:space="preserve">time </w:t>
      </w:r>
      <w:r w:rsidR="0012764A">
        <w:rPr>
          <w:sz w:val="22"/>
          <w:szCs w:val="22"/>
          <w:lang w:eastAsia="ja-JP"/>
        </w:rPr>
        <w:t xml:space="preserve">SRG </w:t>
      </w:r>
      <w:r>
        <w:rPr>
          <w:sz w:val="22"/>
          <w:szCs w:val="22"/>
          <w:lang w:eastAsia="ja-JP"/>
        </w:rPr>
        <w:t>funds were targeted towards the direct instruction to students, compared to 25.5% of funds in Non-Gain schools</w:t>
      </w:r>
      <w:r>
        <w:rPr>
          <w:rStyle w:val="FootnoteReference"/>
          <w:sz w:val="22"/>
          <w:szCs w:val="22"/>
          <w:lang w:eastAsia="ja-JP"/>
        </w:rPr>
        <w:footnoteReference w:id="16"/>
      </w:r>
      <w:r>
        <w:rPr>
          <w:sz w:val="22"/>
          <w:szCs w:val="22"/>
          <w:lang w:eastAsia="ja-JP"/>
        </w:rPr>
        <w:t xml:space="preserve">. </w:t>
      </w:r>
      <w:r w:rsidR="0084663F">
        <w:rPr>
          <w:sz w:val="22"/>
          <w:szCs w:val="22"/>
          <w:lang w:eastAsia="ja-JP"/>
        </w:rPr>
        <w:t>In contrast, Non-Gain schools allocated 18% of funds towards s</w:t>
      </w:r>
      <w:r w:rsidR="002358E7">
        <w:rPr>
          <w:sz w:val="22"/>
          <w:szCs w:val="22"/>
          <w:lang w:eastAsia="ja-JP"/>
        </w:rPr>
        <w:t>ocial-emotional health and 14.3</w:t>
      </w:r>
      <w:r w:rsidR="0084663F">
        <w:rPr>
          <w:sz w:val="22"/>
          <w:szCs w:val="22"/>
          <w:lang w:eastAsia="ja-JP"/>
        </w:rPr>
        <w:t xml:space="preserve">% of funds to formal teacher professional development. </w:t>
      </w:r>
      <w:r w:rsidR="008D0823">
        <w:rPr>
          <w:sz w:val="22"/>
          <w:szCs w:val="22"/>
          <w:lang w:eastAsia="ja-JP"/>
        </w:rPr>
        <w:t xml:space="preserve">This finding—that Non-Gain schools are spending more funds on social-emotional health </w:t>
      </w:r>
      <w:r w:rsidR="00EE3CF9">
        <w:rPr>
          <w:sz w:val="22"/>
          <w:szCs w:val="22"/>
          <w:lang w:eastAsia="ja-JP"/>
        </w:rPr>
        <w:t>and on formal professional development compared</w:t>
      </w:r>
      <w:r w:rsidR="008D0823">
        <w:rPr>
          <w:sz w:val="22"/>
          <w:szCs w:val="22"/>
          <w:lang w:eastAsia="ja-JP"/>
        </w:rPr>
        <w:t xml:space="preserve"> to other schools—tends to support our earlier finding regarding the importance of a </w:t>
      </w:r>
      <w:r w:rsidR="0084663F">
        <w:rPr>
          <w:sz w:val="22"/>
          <w:szCs w:val="22"/>
          <w:lang w:eastAsia="ja-JP"/>
        </w:rPr>
        <w:t xml:space="preserve">safe and orderly environment as a prerequisite </w:t>
      </w:r>
      <w:r w:rsidR="008D0823">
        <w:rPr>
          <w:sz w:val="22"/>
          <w:szCs w:val="22"/>
          <w:lang w:eastAsia="ja-JP"/>
        </w:rPr>
        <w:t>for rapid improvement</w:t>
      </w:r>
      <w:r w:rsidR="00EE3CF9">
        <w:rPr>
          <w:sz w:val="22"/>
          <w:szCs w:val="22"/>
          <w:lang w:eastAsia="ja-JP"/>
        </w:rPr>
        <w:t xml:space="preserve">. </w:t>
      </w:r>
      <w:r w:rsidR="00EA08BF">
        <w:rPr>
          <w:sz w:val="22"/>
          <w:szCs w:val="22"/>
          <w:lang w:eastAsia="ja-JP"/>
        </w:rPr>
        <w:t xml:space="preserve">We know that </w:t>
      </w:r>
      <w:r w:rsidR="008D0823">
        <w:rPr>
          <w:sz w:val="22"/>
          <w:szCs w:val="22"/>
          <w:lang w:eastAsia="ja-JP"/>
        </w:rPr>
        <w:t xml:space="preserve">Non-Gain schools </w:t>
      </w:r>
      <w:r w:rsidR="00EA08BF">
        <w:rPr>
          <w:sz w:val="22"/>
          <w:szCs w:val="22"/>
          <w:lang w:eastAsia="ja-JP"/>
        </w:rPr>
        <w:t>continue to be challenged by issues related to behavior and school climate, so it makes sense that they allocated a higher percent of funds to attend to behavioral issues. As a result, Non-Gain schools are less inclined to prioritize and target resources (e.g., people and funding) on direct instruction for students</w:t>
      </w:r>
      <w:r w:rsidR="008D0823">
        <w:rPr>
          <w:sz w:val="22"/>
          <w:szCs w:val="22"/>
          <w:lang w:eastAsia="ja-JP"/>
        </w:rPr>
        <w:t>.</w:t>
      </w:r>
    </w:p>
    <w:p w:rsidR="000B7BDC" w:rsidRDefault="000B7BDC" w:rsidP="0055466D">
      <w:pPr>
        <w:spacing w:line="288" w:lineRule="auto"/>
        <w:rPr>
          <w:sz w:val="22"/>
          <w:szCs w:val="22"/>
        </w:rPr>
      </w:pPr>
    </w:p>
    <w:p w:rsidR="00A3357E" w:rsidRPr="0055466D" w:rsidRDefault="00F152DE" w:rsidP="0055466D">
      <w:pPr>
        <w:spacing w:line="288" w:lineRule="auto"/>
        <w:rPr>
          <w:sz w:val="22"/>
          <w:szCs w:val="22"/>
        </w:rPr>
      </w:pPr>
      <w:proofErr w:type="gramStart"/>
      <w:r>
        <w:rPr>
          <w:b/>
          <w:color w:val="365F91" w:themeColor="accent1" w:themeShade="BF"/>
          <w:sz w:val="22"/>
          <w:szCs w:val="22"/>
        </w:rPr>
        <w:t>Per Pupil Expenditures.</w:t>
      </w:r>
      <w:proofErr w:type="gramEnd"/>
      <w:r>
        <w:rPr>
          <w:b/>
          <w:color w:val="365F91" w:themeColor="accent1" w:themeShade="BF"/>
          <w:sz w:val="22"/>
          <w:szCs w:val="22"/>
        </w:rPr>
        <w:t xml:space="preserve"> </w:t>
      </w:r>
      <w:r w:rsidR="008D0823">
        <w:rPr>
          <w:sz w:val="22"/>
          <w:szCs w:val="22"/>
        </w:rPr>
        <w:t xml:space="preserve">To </w:t>
      </w:r>
      <w:r w:rsidR="00EA08BF">
        <w:rPr>
          <w:sz w:val="22"/>
          <w:szCs w:val="22"/>
        </w:rPr>
        <w:t>more closely examine the extent to which</w:t>
      </w:r>
      <w:r w:rsidR="008D0823">
        <w:rPr>
          <w:sz w:val="22"/>
          <w:szCs w:val="22"/>
        </w:rPr>
        <w:t xml:space="preserve"> </w:t>
      </w:r>
      <w:r w:rsidR="008D0823">
        <w:rPr>
          <w:sz w:val="22"/>
          <w:szCs w:val="22"/>
          <w:lang w:eastAsia="ja-JP"/>
        </w:rPr>
        <w:t xml:space="preserve">Achievement Gain </w:t>
      </w:r>
      <w:r w:rsidR="005823F8">
        <w:rPr>
          <w:sz w:val="22"/>
          <w:szCs w:val="22"/>
        </w:rPr>
        <w:t xml:space="preserve">schools </w:t>
      </w:r>
      <w:r w:rsidR="00EA08BF">
        <w:rPr>
          <w:sz w:val="22"/>
          <w:szCs w:val="22"/>
        </w:rPr>
        <w:t xml:space="preserve">are allocating </w:t>
      </w:r>
      <w:r w:rsidR="0012764A">
        <w:rPr>
          <w:sz w:val="22"/>
          <w:szCs w:val="22"/>
        </w:rPr>
        <w:t xml:space="preserve">SRG </w:t>
      </w:r>
      <w:r w:rsidR="005823F8">
        <w:rPr>
          <w:sz w:val="22"/>
          <w:szCs w:val="22"/>
        </w:rPr>
        <w:t>funds</w:t>
      </w:r>
      <w:r w:rsidR="008D0823">
        <w:rPr>
          <w:sz w:val="22"/>
          <w:szCs w:val="22"/>
        </w:rPr>
        <w:t xml:space="preserve"> towards the direct instruction of students, we calculated the per pupil expenditu</w:t>
      </w:r>
      <w:r w:rsidR="009864FB">
        <w:rPr>
          <w:sz w:val="22"/>
          <w:szCs w:val="22"/>
        </w:rPr>
        <w:t>re of SR</w:t>
      </w:r>
      <w:r w:rsidR="008D0823">
        <w:rPr>
          <w:sz w:val="22"/>
          <w:szCs w:val="22"/>
        </w:rPr>
        <w:t xml:space="preserve">G funds by district </w:t>
      </w:r>
      <w:r w:rsidR="002E3AA6">
        <w:rPr>
          <w:sz w:val="22"/>
          <w:szCs w:val="22"/>
        </w:rPr>
        <w:t xml:space="preserve">and schools, for each Improvement Focus category. Over a two-year period (2010 to 2012), Achievement Gain schools allocated $504 per student towards direct instruction compared to $242 </w:t>
      </w:r>
      <w:r>
        <w:rPr>
          <w:sz w:val="22"/>
          <w:szCs w:val="22"/>
        </w:rPr>
        <w:t xml:space="preserve">per student </w:t>
      </w:r>
      <w:r w:rsidR="002E3AA6">
        <w:rPr>
          <w:sz w:val="22"/>
          <w:szCs w:val="22"/>
        </w:rPr>
        <w:t>in Non-Gain schools. The differences in allocation are also evident within dist</w:t>
      </w:r>
      <w:r>
        <w:rPr>
          <w:sz w:val="22"/>
          <w:szCs w:val="22"/>
        </w:rPr>
        <w:t>ricts, as displayed in Table 4.</w:t>
      </w:r>
    </w:p>
    <w:p w:rsidR="008D0823" w:rsidRPr="002E3AA6" w:rsidRDefault="002E3AA6" w:rsidP="002E3A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Helvetica" w:hAnsi="Helvetica" w:cs="Helvetica"/>
          <w:b/>
          <w:color w:val="1F497D" w:themeColor="text2"/>
          <w:szCs w:val="24"/>
          <w:lang w:eastAsia="ja-JP"/>
        </w:rPr>
      </w:pPr>
      <w:proofErr w:type="gramStart"/>
      <w:r>
        <w:rPr>
          <w:b/>
          <w:color w:val="1F497D" w:themeColor="text2"/>
          <w:sz w:val="22"/>
          <w:szCs w:val="22"/>
          <w:lang w:eastAsia="ja-JP"/>
        </w:rPr>
        <w:t>Table 4</w:t>
      </w:r>
      <w:r w:rsidRPr="002C589A">
        <w:rPr>
          <w:b/>
          <w:color w:val="1F497D" w:themeColor="text2"/>
          <w:sz w:val="22"/>
          <w:szCs w:val="22"/>
          <w:lang w:eastAsia="ja-JP"/>
        </w:rPr>
        <w:t>.</w:t>
      </w:r>
      <w:proofErr w:type="gramEnd"/>
      <w:r w:rsidRPr="002C589A">
        <w:rPr>
          <w:b/>
          <w:color w:val="1F497D" w:themeColor="text2"/>
          <w:sz w:val="22"/>
          <w:szCs w:val="22"/>
          <w:lang w:eastAsia="ja-JP"/>
        </w:rPr>
        <w:t xml:space="preserve"> </w:t>
      </w:r>
      <w:r>
        <w:rPr>
          <w:b/>
          <w:color w:val="1F497D" w:themeColor="text2"/>
          <w:sz w:val="22"/>
          <w:szCs w:val="22"/>
          <w:lang w:eastAsia="ja-JP"/>
        </w:rPr>
        <w:t xml:space="preserve">Two-year per pupil allocation of </w:t>
      </w:r>
      <w:r w:rsidR="0055466D">
        <w:rPr>
          <w:b/>
          <w:color w:val="1F497D" w:themeColor="text2"/>
          <w:sz w:val="22"/>
          <w:szCs w:val="22"/>
          <w:lang w:eastAsia="ja-JP"/>
        </w:rPr>
        <w:t>SR</w:t>
      </w:r>
      <w:r w:rsidR="00660BA2" w:rsidRPr="002C589A">
        <w:rPr>
          <w:b/>
          <w:color w:val="1F497D" w:themeColor="text2"/>
          <w:sz w:val="22"/>
          <w:szCs w:val="22"/>
          <w:lang w:eastAsia="ja-JP"/>
        </w:rPr>
        <w:t>G fundin</w:t>
      </w:r>
      <w:r w:rsidR="00660BA2">
        <w:rPr>
          <w:b/>
          <w:color w:val="1F497D" w:themeColor="text2"/>
          <w:sz w:val="22"/>
          <w:szCs w:val="22"/>
          <w:lang w:eastAsia="ja-JP"/>
        </w:rPr>
        <w:t>g (excluding stipends for extended</w:t>
      </w:r>
      <w:r w:rsidR="00C2113C">
        <w:rPr>
          <w:b/>
          <w:color w:val="1F497D" w:themeColor="text2"/>
          <w:sz w:val="22"/>
          <w:szCs w:val="22"/>
          <w:lang w:eastAsia="ja-JP"/>
        </w:rPr>
        <w:t xml:space="preserve"> learning</w:t>
      </w:r>
      <w:r w:rsidR="00660BA2">
        <w:rPr>
          <w:b/>
          <w:color w:val="1F497D" w:themeColor="text2"/>
          <w:sz w:val="22"/>
          <w:szCs w:val="22"/>
          <w:lang w:eastAsia="ja-JP"/>
        </w:rPr>
        <w:t xml:space="preserve"> time)</w:t>
      </w:r>
      <w:r w:rsidRPr="002C589A">
        <w:rPr>
          <w:b/>
          <w:color w:val="1F497D" w:themeColor="text2"/>
          <w:sz w:val="22"/>
          <w:szCs w:val="22"/>
          <w:lang w:eastAsia="ja-JP"/>
        </w:rPr>
        <w:t xml:space="preserve">, by </w:t>
      </w:r>
      <w:r>
        <w:rPr>
          <w:b/>
          <w:color w:val="1F497D" w:themeColor="text2"/>
          <w:sz w:val="22"/>
          <w:szCs w:val="22"/>
          <w:lang w:eastAsia="ja-JP"/>
        </w:rPr>
        <w:t>district and Improvement Focus</w:t>
      </w:r>
      <w:r w:rsidRPr="002C589A">
        <w:rPr>
          <w:b/>
          <w:color w:val="1F497D" w:themeColor="text2"/>
          <w:sz w:val="22"/>
          <w:szCs w:val="22"/>
          <w:lang w:eastAsia="ja-JP"/>
        </w:rPr>
        <w:t>, 2010-2012</w:t>
      </w:r>
    </w:p>
    <w:tbl>
      <w:tblPr>
        <w:tblW w:w="0" w:type="auto"/>
        <w:tblBorders>
          <w:bottom w:val="single" w:sz="8" w:space="0" w:color="auto"/>
          <w:insideH w:val="single" w:sz="8" w:space="0" w:color="auto"/>
        </w:tblBorders>
        <w:tblLayout w:type="fixed"/>
        <w:tblLook w:val="0000"/>
      </w:tblPr>
      <w:tblGrid>
        <w:gridCol w:w="4248"/>
        <w:gridCol w:w="2520"/>
        <w:gridCol w:w="2430"/>
      </w:tblGrid>
      <w:tr w:rsidR="002E3AA6" w:rsidRPr="00652C97" w:rsidTr="00F82AF5">
        <w:tc>
          <w:tcPr>
            <w:tcW w:w="4248" w:type="dxa"/>
            <w:tcMar>
              <w:top w:w="20" w:type="nil"/>
              <w:left w:w="20" w:type="nil"/>
              <w:bottom w:w="20" w:type="nil"/>
              <w:right w:w="20" w:type="nil"/>
            </w:tcMar>
          </w:tcPr>
          <w:p w:rsidR="008D0823" w:rsidRPr="00652C97" w:rsidRDefault="008D0823" w:rsidP="008D08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eastAsia="ja-JP"/>
              </w:rPr>
            </w:pPr>
          </w:p>
        </w:tc>
        <w:tc>
          <w:tcPr>
            <w:tcW w:w="2520" w:type="dxa"/>
            <w:tcMar>
              <w:top w:w="20" w:type="nil"/>
              <w:left w:w="20" w:type="nil"/>
              <w:bottom w:w="20" w:type="nil"/>
              <w:right w:w="20" w:type="nil"/>
            </w:tcMar>
            <w:vAlign w:val="center"/>
          </w:tcPr>
          <w:p w:rsidR="008D0823" w:rsidRPr="00652C97" w:rsidRDefault="008D0823" w:rsidP="008D08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Pr>
                <w:sz w:val="18"/>
                <w:szCs w:val="18"/>
                <w:lang w:eastAsia="ja-JP"/>
              </w:rPr>
              <w:t>Per Pupil Expenditure towards Direct Instruction to Students</w:t>
            </w:r>
          </w:p>
        </w:tc>
        <w:tc>
          <w:tcPr>
            <w:tcW w:w="2430" w:type="dxa"/>
            <w:tcMar>
              <w:top w:w="20" w:type="nil"/>
              <w:left w:w="20" w:type="nil"/>
              <w:bottom w:w="20" w:type="nil"/>
              <w:right w:w="20" w:type="nil"/>
            </w:tcMar>
            <w:vAlign w:val="center"/>
          </w:tcPr>
          <w:p w:rsidR="008D0823" w:rsidRPr="00652C97" w:rsidRDefault="008D0823" w:rsidP="008D08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Pr>
                <w:sz w:val="18"/>
                <w:szCs w:val="18"/>
                <w:lang w:eastAsia="ja-JP"/>
              </w:rPr>
              <w:t>Per Pupil Expenditure towards Social and Emotional Needs</w:t>
            </w:r>
          </w:p>
        </w:tc>
      </w:tr>
      <w:tr w:rsidR="002E3AA6" w:rsidRPr="00A4748E" w:rsidTr="00F82AF5">
        <w:tc>
          <w:tcPr>
            <w:tcW w:w="4248" w:type="dxa"/>
            <w:tcMar>
              <w:top w:w="60" w:type="nil"/>
              <w:left w:w="60" w:type="nil"/>
              <w:bottom w:w="60" w:type="nil"/>
              <w:right w:w="60" w:type="nil"/>
            </w:tcMar>
            <w:vAlign w:val="bottom"/>
          </w:tcPr>
          <w:p w:rsidR="002E3AA6" w:rsidRDefault="005A6C43" w:rsidP="00F82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eastAsia="Times New Roman"/>
                <w:color w:val="000000"/>
                <w:sz w:val="20"/>
              </w:rPr>
            </w:pPr>
            <w:r>
              <w:rPr>
                <w:rFonts w:eastAsia="Times New Roman"/>
                <w:color w:val="000000"/>
                <w:sz w:val="20"/>
              </w:rPr>
              <w:t>Boston – Ach. Gain schools (n=5</w:t>
            </w:r>
            <w:r w:rsidR="002E3AA6">
              <w:rPr>
                <w:rFonts w:eastAsia="Times New Roman"/>
                <w:color w:val="000000"/>
                <w:sz w:val="20"/>
              </w:rPr>
              <w:t xml:space="preserve"> schools)</w:t>
            </w:r>
          </w:p>
        </w:tc>
        <w:tc>
          <w:tcPr>
            <w:tcW w:w="2520" w:type="dxa"/>
            <w:tcMar>
              <w:top w:w="20" w:type="nil"/>
              <w:left w:w="20" w:type="nil"/>
              <w:bottom w:w="20" w:type="nil"/>
              <w:right w:w="20" w:type="nil"/>
            </w:tcMar>
            <w:vAlign w:val="bottom"/>
          </w:tcPr>
          <w:p w:rsidR="002E3AA6" w:rsidRPr="002E3AA6" w:rsidRDefault="002E3AA6" w:rsidP="00F82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eastAsia="Times New Roman"/>
                <w:sz w:val="20"/>
              </w:rPr>
            </w:pPr>
            <w:r w:rsidRPr="002E3AA6">
              <w:rPr>
                <w:rFonts w:eastAsia="Times New Roman"/>
                <w:sz w:val="20"/>
              </w:rPr>
              <w:t>$786</w:t>
            </w:r>
          </w:p>
        </w:tc>
        <w:tc>
          <w:tcPr>
            <w:tcW w:w="2430" w:type="dxa"/>
            <w:tcMar>
              <w:top w:w="20" w:type="nil"/>
              <w:left w:w="20" w:type="nil"/>
              <w:bottom w:w="20" w:type="nil"/>
              <w:right w:w="20" w:type="nil"/>
            </w:tcMar>
            <w:vAlign w:val="bottom"/>
          </w:tcPr>
          <w:p w:rsidR="002E3AA6" w:rsidRPr="002E3AA6" w:rsidRDefault="002E3AA6" w:rsidP="00F82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eastAsia="Times New Roman"/>
                <w:sz w:val="20"/>
              </w:rPr>
            </w:pPr>
            <w:r w:rsidRPr="002E3AA6">
              <w:rPr>
                <w:rFonts w:eastAsia="Times New Roman"/>
                <w:sz w:val="20"/>
              </w:rPr>
              <w:t>$214</w:t>
            </w:r>
          </w:p>
        </w:tc>
      </w:tr>
      <w:tr w:rsidR="002E3AA6" w:rsidRPr="00A4748E" w:rsidTr="00F82AF5">
        <w:tc>
          <w:tcPr>
            <w:tcW w:w="4248" w:type="dxa"/>
            <w:tcMar>
              <w:top w:w="60" w:type="nil"/>
              <w:left w:w="60" w:type="nil"/>
              <w:bottom w:w="60" w:type="nil"/>
              <w:right w:w="60" w:type="nil"/>
            </w:tcMar>
            <w:vAlign w:val="bottom"/>
          </w:tcPr>
          <w:p w:rsidR="008D0823" w:rsidRPr="00A4748E" w:rsidRDefault="002E3AA6" w:rsidP="00F82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kern w:val="1"/>
                <w:sz w:val="20"/>
                <w:lang w:eastAsia="ja-JP"/>
              </w:rPr>
            </w:pPr>
            <w:r>
              <w:rPr>
                <w:rFonts w:eastAsia="Times New Roman"/>
                <w:color w:val="000000"/>
                <w:sz w:val="20"/>
              </w:rPr>
              <w:t>Boston – Non-Gain s</w:t>
            </w:r>
            <w:r w:rsidR="008D0823">
              <w:rPr>
                <w:rFonts w:eastAsia="Times New Roman"/>
                <w:color w:val="000000"/>
                <w:sz w:val="20"/>
              </w:rPr>
              <w:t>chools (n=2</w:t>
            </w:r>
            <w:r>
              <w:rPr>
                <w:rFonts w:eastAsia="Times New Roman"/>
                <w:color w:val="000000"/>
                <w:sz w:val="20"/>
              </w:rPr>
              <w:t xml:space="preserve"> schools</w:t>
            </w:r>
            <w:r w:rsidR="008D0823">
              <w:rPr>
                <w:rFonts w:eastAsia="Times New Roman"/>
                <w:color w:val="000000"/>
                <w:sz w:val="20"/>
              </w:rPr>
              <w:t>)</w:t>
            </w:r>
          </w:p>
        </w:tc>
        <w:tc>
          <w:tcPr>
            <w:tcW w:w="2520" w:type="dxa"/>
            <w:tcMar>
              <w:top w:w="20" w:type="nil"/>
              <w:left w:w="20" w:type="nil"/>
              <w:bottom w:w="20" w:type="nil"/>
              <w:right w:w="20" w:type="nil"/>
            </w:tcMar>
            <w:vAlign w:val="bottom"/>
          </w:tcPr>
          <w:p w:rsidR="008D0823" w:rsidRPr="002E3AA6" w:rsidRDefault="008D0823" w:rsidP="00F82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2E3AA6">
              <w:rPr>
                <w:rFonts w:eastAsia="Times New Roman"/>
                <w:sz w:val="20"/>
              </w:rPr>
              <w:t>$496</w:t>
            </w:r>
          </w:p>
        </w:tc>
        <w:tc>
          <w:tcPr>
            <w:tcW w:w="2430" w:type="dxa"/>
            <w:tcMar>
              <w:top w:w="20" w:type="nil"/>
              <w:left w:w="20" w:type="nil"/>
              <w:bottom w:w="20" w:type="nil"/>
              <w:right w:w="20" w:type="nil"/>
            </w:tcMar>
            <w:vAlign w:val="bottom"/>
          </w:tcPr>
          <w:p w:rsidR="008D0823" w:rsidRPr="002E3AA6" w:rsidRDefault="008D0823" w:rsidP="00F82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kern w:val="1"/>
                <w:sz w:val="20"/>
                <w:lang w:eastAsia="ja-JP"/>
              </w:rPr>
            </w:pPr>
            <w:r w:rsidRPr="002E3AA6">
              <w:rPr>
                <w:rFonts w:eastAsia="Times New Roman"/>
                <w:sz w:val="20"/>
              </w:rPr>
              <w:t>$363</w:t>
            </w:r>
          </w:p>
        </w:tc>
      </w:tr>
      <w:tr w:rsidR="002E3AA6" w:rsidRPr="002410D5" w:rsidTr="00F82AF5">
        <w:tc>
          <w:tcPr>
            <w:tcW w:w="4248" w:type="dxa"/>
            <w:tcMar>
              <w:top w:w="60" w:type="nil"/>
              <w:left w:w="60" w:type="nil"/>
              <w:bottom w:w="60" w:type="nil"/>
              <w:right w:w="60" w:type="nil"/>
            </w:tcMar>
            <w:vAlign w:val="bottom"/>
          </w:tcPr>
          <w:p w:rsidR="008D0823" w:rsidRDefault="002E3AA6" w:rsidP="00F82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eastAsia="Times New Roman"/>
                <w:color w:val="000000"/>
                <w:sz w:val="20"/>
              </w:rPr>
            </w:pPr>
            <w:r>
              <w:rPr>
                <w:rFonts w:eastAsia="Times New Roman"/>
                <w:color w:val="000000"/>
                <w:sz w:val="20"/>
              </w:rPr>
              <w:t>Springfield – Ach. Gain s</w:t>
            </w:r>
            <w:r w:rsidR="008D0823">
              <w:rPr>
                <w:rFonts w:eastAsia="Times New Roman"/>
                <w:color w:val="000000"/>
                <w:sz w:val="20"/>
              </w:rPr>
              <w:t>chools (n=4</w:t>
            </w:r>
            <w:r>
              <w:rPr>
                <w:rFonts w:eastAsia="Times New Roman"/>
                <w:color w:val="000000"/>
                <w:sz w:val="20"/>
              </w:rPr>
              <w:t xml:space="preserve"> schools</w:t>
            </w:r>
            <w:r w:rsidR="008D0823">
              <w:rPr>
                <w:rFonts w:eastAsia="Times New Roman"/>
                <w:color w:val="000000"/>
                <w:sz w:val="20"/>
              </w:rPr>
              <w:t>)</w:t>
            </w:r>
          </w:p>
        </w:tc>
        <w:tc>
          <w:tcPr>
            <w:tcW w:w="2520" w:type="dxa"/>
            <w:tcMar>
              <w:top w:w="20" w:type="nil"/>
              <w:left w:w="20" w:type="nil"/>
              <w:bottom w:w="20" w:type="nil"/>
              <w:right w:w="20" w:type="nil"/>
            </w:tcMar>
            <w:vAlign w:val="bottom"/>
          </w:tcPr>
          <w:p w:rsidR="008D0823" w:rsidRPr="002E3AA6" w:rsidRDefault="008D0823" w:rsidP="00F82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eastAsia="Times New Roman"/>
                <w:sz w:val="20"/>
              </w:rPr>
            </w:pPr>
            <w:r w:rsidRPr="002E3AA6">
              <w:rPr>
                <w:rFonts w:eastAsia="Times New Roman"/>
                <w:sz w:val="20"/>
              </w:rPr>
              <w:t>$271</w:t>
            </w:r>
          </w:p>
        </w:tc>
        <w:tc>
          <w:tcPr>
            <w:tcW w:w="2430" w:type="dxa"/>
            <w:tcMar>
              <w:top w:w="20" w:type="nil"/>
              <w:left w:w="20" w:type="nil"/>
              <w:bottom w:w="20" w:type="nil"/>
              <w:right w:w="20" w:type="nil"/>
            </w:tcMar>
            <w:vAlign w:val="bottom"/>
          </w:tcPr>
          <w:p w:rsidR="008D0823" w:rsidRPr="002E3AA6" w:rsidRDefault="008D0823" w:rsidP="00F82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eastAsia="Times New Roman"/>
                <w:sz w:val="20"/>
              </w:rPr>
            </w:pPr>
            <w:r w:rsidRPr="002E3AA6">
              <w:rPr>
                <w:rFonts w:eastAsia="Times New Roman"/>
                <w:sz w:val="20"/>
              </w:rPr>
              <w:t>$90</w:t>
            </w:r>
          </w:p>
        </w:tc>
      </w:tr>
      <w:tr w:rsidR="002E3AA6" w:rsidRPr="002410D5" w:rsidTr="00F82AF5">
        <w:tc>
          <w:tcPr>
            <w:tcW w:w="4248" w:type="dxa"/>
            <w:tcMar>
              <w:top w:w="60" w:type="nil"/>
              <w:left w:w="60" w:type="nil"/>
              <w:bottom w:w="60" w:type="nil"/>
              <w:right w:w="60" w:type="nil"/>
            </w:tcMar>
            <w:vAlign w:val="bottom"/>
          </w:tcPr>
          <w:p w:rsidR="008D0823" w:rsidRDefault="002E3AA6" w:rsidP="00F82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eastAsia="Times New Roman"/>
                <w:color w:val="000000"/>
                <w:sz w:val="20"/>
              </w:rPr>
            </w:pPr>
            <w:r>
              <w:rPr>
                <w:rFonts w:eastAsia="Times New Roman"/>
                <w:color w:val="000000"/>
                <w:sz w:val="20"/>
              </w:rPr>
              <w:t>Springfield – Non-Gain s</w:t>
            </w:r>
            <w:r w:rsidR="008D0823">
              <w:rPr>
                <w:rFonts w:eastAsia="Times New Roman"/>
                <w:color w:val="000000"/>
                <w:sz w:val="20"/>
              </w:rPr>
              <w:t>chools (n=3</w:t>
            </w:r>
            <w:r>
              <w:rPr>
                <w:rFonts w:eastAsia="Times New Roman"/>
                <w:color w:val="000000"/>
                <w:sz w:val="20"/>
              </w:rPr>
              <w:t xml:space="preserve"> schools</w:t>
            </w:r>
            <w:r w:rsidR="008D0823">
              <w:rPr>
                <w:rFonts w:eastAsia="Times New Roman"/>
                <w:color w:val="000000"/>
                <w:sz w:val="20"/>
              </w:rPr>
              <w:t>)</w:t>
            </w:r>
          </w:p>
        </w:tc>
        <w:tc>
          <w:tcPr>
            <w:tcW w:w="2520" w:type="dxa"/>
            <w:tcMar>
              <w:top w:w="20" w:type="nil"/>
              <w:left w:w="20" w:type="nil"/>
              <w:bottom w:w="20" w:type="nil"/>
              <w:right w:w="20" w:type="nil"/>
            </w:tcMar>
            <w:vAlign w:val="bottom"/>
          </w:tcPr>
          <w:p w:rsidR="008D0823" w:rsidRPr="002E3AA6" w:rsidRDefault="008D0823" w:rsidP="00F82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eastAsia="Times New Roman"/>
                <w:sz w:val="20"/>
              </w:rPr>
            </w:pPr>
            <w:r w:rsidRPr="002E3AA6">
              <w:rPr>
                <w:rFonts w:eastAsia="Times New Roman"/>
                <w:sz w:val="20"/>
              </w:rPr>
              <w:t>$141</w:t>
            </w:r>
          </w:p>
        </w:tc>
        <w:tc>
          <w:tcPr>
            <w:tcW w:w="2430" w:type="dxa"/>
            <w:tcMar>
              <w:top w:w="20" w:type="nil"/>
              <w:left w:w="20" w:type="nil"/>
              <w:bottom w:w="20" w:type="nil"/>
              <w:right w:w="20" w:type="nil"/>
            </w:tcMar>
            <w:vAlign w:val="bottom"/>
          </w:tcPr>
          <w:p w:rsidR="008D0823" w:rsidRPr="002E3AA6" w:rsidRDefault="008D0823" w:rsidP="00F82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eastAsia="Times New Roman"/>
                <w:sz w:val="20"/>
              </w:rPr>
            </w:pPr>
            <w:r w:rsidRPr="002E3AA6">
              <w:rPr>
                <w:rFonts w:eastAsia="Times New Roman"/>
                <w:sz w:val="20"/>
              </w:rPr>
              <w:t>$87</w:t>
            </w:r>
          </w:p>
        </w:tc>
      </w:tr>
    </w:tbl>
    <w:p w:rsidR="00A3357E" w:rsidRDefault="00A3357E" w:rsidP="002E3A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sz w:val="22"/>
          <w:szCs w:val="22"/>
        </w:rPr>
      </w:pPr>
    </w:p>
    <w:p w:rsidR="002E3AA6" w:rsidRDefault="002E3AA6" w:rsidP="00605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88" w:lineRule="auto"/>
        <w:rPr>
          <w:sz w:val="22"/>
          <w:szCs w:val="22"/>
        </w:rPr>
      </w:pPr>
      <w:r>
        <w:rPr>
          <w:sz w:val="22"/>
          <w:szCs w:val="22"/>
        </w:rPr>
        <w:t xml:space="preserve">Boston’s </w:t>
      </w:r>
      <w:r>
        <w:rPr>
          <w:sz w:val="22"/>
          <w:szCs w:val="22"/>
          <w:lang w:eastAsia="ja-JP"/>
        </w:rPr>
        <w:t xml:space="preserve">Achievement Gain </w:t>
      </w:r>
      <w:r>
        <w:rPr>
          <w:sz w:val="22"/>
          <w:szCs w:val="22"/>
        </w:rPr>
        <w:t>schools allocated $786 per student to direct instruction, compared to an allocation of $</w:t>
      </w:r>
      <w:r w:rsidR="006B45CB">
        <w:rPr>
          <w:sz w:val="22"/>
          <w:szCs w:val="22"/>
        </w:rPr>
        <w:t>496</w:t>
      </w:r>
      <w:r>
        <w:rPr>
          <w:sz w:val="22"/>
          <w:szCs w:val="22"/>
        </w:rPr>
        <w:t xml:space="preserve"> per student on Boston’s non-gaining schools. Similarly, Springfield’s </w:t>
      </w:r>
      <w:r>
        <w:rPr>
          <w:sz w:val="22"/>
          <w:szCs w:val="22"/>
          <w:lang w:eastAsia="ja-JP"/>
        </w:rPr>
        <w:t xml:space="preserve">Achievement Gain </w:t>
      </w:r>
      <w:r>
        <w:rPr>
          <w:sz w:val="22"/>
          <w:szCs w:val="22"/>
        </w:rPr>
        <w:t>schools allocated $271 per student toward direct instruction, while its Non-Gain schools allocated $141 per student.</w:t>
      </w:r>
      <w:r w:rsidR="0027593C">
        <w:rPr>
          <w:sz w:val="22"/>
          <w:szCs w:val="22"/>
        </w:rPr>
        <w:t xml:space="preserve"> </w:t>
      </w:r>
      <w:r w:rsidR="00605E7C">
        <w:rPr>
          <w:sz w:val="22"/>
          <w:szCs w:val="22"/>
        </w:rPr>
        <w:t>The</w:t>
      </w:r>
      <w:r w:rsidR="00A3357E">
        <w:rPr>
          <w:sz w:val="22"/>
          <w:szCs w:val="22"/>
        </w:rPr>
        <w:t xml:space="preserve"> differences in per pupil expenditure</w:t>
      </w:r>
      <w:r w:rsidR="00605E7C">
        <w:rPr>
          <w:sz w:val="22"/>
          <w:szCs w:val="22"/>
        </w:rPr>
        <w:t>s</w:t>
      </w:r>
      <w:r w:rsidR="0027593C">
        <w:rPr>
          <w:sz w:val="22"/>
          <w:szCs w:val="22"/>
        </w:rPr>
        <w:t xml:space="preserve"> between districts, and in particular between Boston and Springfield, </w:t>
      </w:r>
      <w:r w:rsidR="00605E7C">
        <w:rPr>
          <w:sz w:val="22"/>
          <w:szCs w:val="22"/>
        </w:rPr>
        <w:t xml:space="preserve">stems </w:t>
      </w:r>
      <w:r w:rsidR="00605E7C">
        <w:rPr>
          <w:sz w:val="22"/>
          <w:szCs w:val="22"/>
        </w:rPr>
        <w:lastRenderedPageBreak/>
        <w:t xml:space="preserve">from overall differences in how </w:t>
      </w:r>
      <w:r w:rsidR="00A3357E">
        <w:rPr>
          <w:sz w:val="22"/>
          <w:szCs w:val="22"/>
        </w:rPr>
        <w:t>districts allocated funds</w:t>
      </w:r>
      <w:r w:rsidR="00605E7C">
        <w:rPr>
          <w:sz w:val="22"/>
          <w:szCs w:val="22"/>
        </w:rPr>
        <w:t>.</w:t>
      </w:r>
      <w:r w:rsidR="00A3357E">
        <w:rPr>
          <w:sz w:val="22"/>
          <w:szCs w:val="22"/>
        </w:rPr>
        <w:t xml:space="preserve"> </w:t>
      </w:r>
    </w:p>
    <w:p w:rsidR="00A679D6" w:rsidRDefault="00A3357E" w:rsidP="0090743D">
      <w:pPr>
        <w:spacing w:after="120" w:line="288" w:lineRule="auto"/>
        <w:rPr>
          <w:sz w:val="22"/>
          <w:szCs w:val="22"/>
          <w:lang w:eastAsia="ja-JP"/>
        </w:rPr>
      </w:pPr>
      <w:r>
        <w:rPr>
          <w:sz w:val="22"/>
          <w:szCs w:val="22"/>
          <w:lang w:eastAsia="ja-JP"/>
        </w:rPr>
        <w:t>Ta</w:t>
      </w:r>
      <w:r w:rsidR="00F5744B">
        <w:rPr>
          <w:sz w:val="22"/>
          <w:szCs w:val="22"/>
          <w:lang w:eastAsia="ja-JP"/>
        </w:rPr>
        <w:t>ble 5 displays the percent of SR</w:t>
      </w:r>
      <w:r w:rsidR="00A679D6">
        <w:rPr>
          <w:sz w:val="22"/>
          <w:szCs w:val="22"/>
          <w:lang w:eastAsia="ja-JP"/>
        </w:rPr>
        <w:t xml:space="preserve">G </w:t>
      </w:r>
      <w:r>
        <w:rPr>
          <w:sz w:val="22"/>
          <w:szCs w:val="22"/>
          <w:lang w:eastAsia="ja-JP"/>
        </w:rPr>
        <w:t>funds</w:t>
      </w:r>
      <w:r w:rsidR="00A679D6">
        <w:rPr>
          <w:sz w:val="22"/>
          <w:szCs w:val="22"/>
          <w:lang w:eastAsia="ja-JP"/>
        </w:rPr>
        <w:t xml:space="preserve"> allocated to each Improvement Focus category in Boston, Springfield, Worcester, and Holyoke. </w:t>
      </w:r>
    </w:p>
    <w:p w:rsidR="00A679D6" w:rsidRPr="00A3357E" w:rsidRDefault="00E97B1B" w:rsidP="00907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Helvetica" w:hAnsi="Helvetica" w:cs="Helvetica"/>
          <w:b/>
          <w:color w:val="1F497D" w:themeColor="text2"/>
          <w:szCs w:val="24"/>
          <w:lang w:eastAsia="ja-JP"/>
        </w:rPr>
      </w:pPr>
      <w:proofErr w:type="gramStart"/>
      <w:r>
        <w:rPr>
          <w:b/>
          <w:color w:val="1F497D" w:themeColor="text2"/>
          <w:sz w:val="22"/>
          <w:szCs w:val="22"/>
          <w:lang w:eastAsia="ja-JP"/>
        </w:rPr>
        <w:t>Table 5</w:t>
      </w:r>
      <w:r w:rsidR="00A3357E" w:rsidRPr="002C589A">
        <w:rPr>
          <w:b/>
          <w:color w:val="1F497D" w:themeColor="text2"/>
          <w:sz w:val="22"/>
          <w:szCs w:val="22"/>
          <w:lang w:eastAsia="ja-JP"/>
        </w:rPr>
        <w:t>.</w:t>
      </w:r>
      <w:proofErr w:type="gramEnd"/>
      <w:r w:rsidR="00A3357E" w:rsidRPr="002C589A">
        <w:rPr>
          <w:b/>
          <w:color w:val="1F497D" w:themeColor="text2"/>
          <w:sz w:val="22"/>
          <w:szCs w:val="22"/>
          <w:lang w:eastAsia="ja-JP"/>
        </w:rPr>
        <w:t xml:space="preserve"> </w:t>
      </w:r>
      <w:r w:rsidR="00605E7C">
        <w:rPr>
          <w:b/>
          <w:color w:val="1F497D" w:themeColor="text2"/>
          <w:sz w:val="22"/>
          <w:szCs w:val="22"/>
          <w:lang w:eastAsia="ja-JP"/>
        </w:rPr>
        <w:t>Percent a</w:t>
      </w:r>
      <w:r w:rsidR="0027593C">
        <w:rPr>
          <w:b/>
          <w:color w:val="1F497D" w:themeColor="text2"/>
          <w:sz w:val="22"/>
          <w:szCs w:val="22"/>
          <w:lang w:eastAsia="ja-JP"/>
        </w:rPr>
        <w:t>llocation of</w:t>
      </w:r>
      <w:r w:rsidR="0012764A">
        <w:rPr>
          <w:b/>
          <w:color w:val="1F497D" w:themeColor="text2"/>
          <w:sz w:val="22"/>
          <w:szCs w:val="22"/>
          <w:lang w:eastAsia="ja-JP"/>
        </w:rPr>
        <w:t xml:space="preserve"> SR</w:t>
      </w:r>
      <w:r w:rsidR="0027593C" w:rsidRPr="002C589A">
        <w:rPr>
          <w:b/>
          <w:color w:val="1F497D" w:themeColor="text2"/>
          <w:sz w:val="22"/>
          <w:szCs w:val="22"/>
          <w:lang w:eastAsia="ja-JP"/>
        </w:rPr>
        <w:t>G fundin</w:t>
      </w:r>
      <w:r w:rsidR="0027593C">
        <w:rPr>
          <w:b/>
          <w:color w:val="1F497D" w:themeColor="text2"/>
          <w:sz w:val="22"/>
          <w:szCs w:val="22"/>
          <w:lang w:eastAsia="ja-JP"/>
        </w:rPr>
        <w:t xml:space="preserve">g </w:t>
      </w:r>
      <w:r w:rsidR="00660BA2">
        <w:rPr>
          <w:b/>
          <w:color w:val="1F497D" w:themeColor="text2"/>
          <w:sz w:val="22"/>
          <w:szCs w:val="22"/>
          <w:lang w:eastAsia="ja-JP"/>
        </w:rPr>
        <w:t>(excluding stipends for extended</w:t>
      </w:r>
      <w:r w:rsidR="00C2113C">
        <w:rPr>
          <w:b/>
          <w:color w:val="1F497D" w:themeColor="text2"/>
          <w:sz w:val="22"/>
          <w:szCs w:val="22"/>
          <w:lang w:eastAsia="ja-JP"/>
        </w:rPr>
        <w:t xml:space="preserve"> learning</w:t>
      </w:r>
      <w:r w:rsidR="00660BA2">
        <w:rPr>
          <w:b/>
          <w:color w:val="1F497D" w:themeColor="text2"/>
          <w:sz w:val="22"/>
          <w:szCs w:val="22"/>
          <w:lang w:eastAsia="ja-JP"/>
        </w:rPr>
        <w:t xml:space="preserve"> time) </w:t>
      </w:r>
      <w:r w:rsidR="0027593C">
        <w:rPr>
          <w:b/>
          <w:color w:val="1F497D" w:themeColor="text2"/>
          <w:sz w:val="22"/>
          <w:szCs w:val="22"/>
          <w:lang w:eastAsia="ja-JP"/>
        </w:rPr>
        <w:t>in</w:t>
      </w:r>
      <w:r w:rsidR="0027593C" w:rsidRPr="002C589A">
        <w:rPr>
          <w:b/>
          <w:color w:val="1F497D" w:themeColor="text2"/>
          <w:sz w:val="22"/>
          <w:szCs w:val="22"/>
          <w:lang w:eastAsia="ja-JP"/>
        </w:rPr>
        <w:t xml:space="preserve"> Achievement Gain and Non-Gain schools</w:t>
      </w:r>
      <w:r w:rsidR="00605E7C">
        <w:rPr>
          <w:b/>
          <w:color w:val="1F497D" w:themeColor="text2"/>
          <w:sz w:val="22"/>
          <w:szCs w:val="22"/>
          <w:lang w:eastAsia="ja-JP"/>
        </w:rPr>
        <w:t>,</w:t>
      </w:r>
      <w:r w:rsidR="0027593C">
        <w:rPr>
          <w:b/>
          <w:color w:val="1F497D" w:themeColor="text2"/>
          <w:sz w:val="22"/>
          <w:szCs w:val="22"/>
          <w:lang w:eastAsia="ja-JP"/>
        </w:rPr>
        <w:t xml:space="preserve"> by </w:t>
      </w:r>
      <w:r w:rsidR="00A3357E">
        <w:rPr>
          <w:b/>
          <w:color w:val="1F497D" w:themeColor="text2"/>
          <w:sz w:val="22"/>
          <w:szCs w:val="22"/>
          <w:lang w:eastAsia="ja-JP"/>
        </w:rPr>
        <w:t>district and Improvement Focus</w:t>
      </w:r>
      <w:r w:rsidR="00A3357E" w:rsidRPr="002C589A">
        <w:rPr>
          <w:b/>
          <w:color w:val="1F497D" w:themeColor="text2"/>
          <w:sz w:val="22"/>
          <w:szCs w:val="22"/>
          <w:lang w:eastAsia="ja-JP"/>
        </w:rPr>
        <w:t>, 2010-2012</w:t>
      </w:r>
    </w:p>
    <w:tbl>
      <w:tblPr>
        <w:tblW w:w="0" w:type="auto"/>
        <w:tblBorders>
          <w:bottom w:val="single" w:sz="8" w:space="0" w:color="auto"/>
          <w:insideH w:val="single" w:sz="8" w:space="0" w:color="auto"/>
        </w:tblBorders>
        <w:tblLayout w:type="fixed"/>
        <w:tblLook w:val="0000"/>
      </w:tblPr>
      <w:tblGrid>
        <w:gridCol w:w="1188"/>
        <w:gridCol w:w="1440"/>
        <w:gridCol w:w="1350"/>
        <w:gridCol w:w="1080"/>
        <w:gridCol w:w="1080"/>
        <w:gridCol w:w="900"/>
        <w:gridCol w:w="990"/>
        <w:gridCol w:w="990"/>
        <w:gridCol w:w="810"/>
      </w:tblGrid>
      <w:tr w:rsidR="00EF4799" w:rsidRPr="00652C97" w:rsidTr="00F82AF5">
        <w:tc>
          <w:tcPr>
            <w:tcW w:w="1188" w:type="dxa"/>
            <w:tcMar>
              <w:top w:w="20" w:type="nil"/>
              <w:left w:w="20" w:type="nil"/>
              <w:bottom w:w="20" w:type="nil"/>
              <w:right w:w="20" w:type="nil"/>
            </w:tcMar>
          </w:tcPr>
          <w:p w:rsidR="00A679D6" w:rsidRPr="00652C97" w:rsidRDefault="00A679D6" w:rsidP="00A67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eastAsia="ja-JP"/>
              </w:rPr>
            </w:pPr>
          </w:p>
        </w:tc>
        <w:tc>
          <w:tcPr>
            <w:tcW w:w="1440" w:type="dxa"/>
            <w:tcMar>
              <w:top w:w="20" w:type="nil"/>
              <w:left w:w="20" w:type="nil"/>
              <w:bottom w:w="20" w:type="nil"/>
              <w:right w:w="20" w:type="nil"/>
            </w:tcMar>
            <w:vAlign w:val="center"/>
          </w:tcPr>
          <w:p w:rsidR="00A679D6" w:rsidRPr="00652C97" w:rsidRDefault="00A679D6" w:rsidP="00A67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sidRPr="00652C97">
              <w:rPr>
                <w:sz w:val="18"/>
                <w:szCs w:val="18"/>
                <w:lang w:eastAsia="ja-JP"/>
              </w:rPr>
              <w:t>Implementation Oversight and Coordination</w:t>
            </w:r>
          </w:p>
        </w:tc>
        <w:tc>
          <w:tcPr>
            <w:tcW w:w="1350" w:type="dxa"/>
            <w:tcMar>
              <w:top w:w="20" w:type="nil"/>
              <w:left w:w="20" w:type="nil"/>
              <w:bottom w:w="20" w:type="nil"/>
              <w:right w:w="20" w:type="nil"/>
            </w:tcMar>
            <w:vAlign w:val="center"/>
          </w:tcPr>
          <w:p w:rsidR="00A679D6" w:rsidRPr="00652C97" w:rsidRDefault="00A679D6" w:rsidP="00A67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sidRPr="00652C97">
              <w:rPr>
                <w:sz w:val="18"/>
                <w:szCs w:val="18"/>
                <w:lang w:eastAsia="ja-JP"/>
              </w:rPr>
              <w:t>Instruction and Direct Support to Students</w:t>
            </w:r>
          </w:p>
        </w:tc>
        <w:tc>
          <w:tcPr>
            <w:tcW w:w="1080" w:type="dxa"/>
            <w:tcMar>
              <w:top w:w="20" w:type="nil"/>
              <w:left w:w="20" w:type="nil"/>
              <w:bottom w:w="20" w:type="nil"/>
              <w:right w:w="20" w:type="nil"/>
            </w:tcMar>
            <w:vAlign w:val="center"/>
          </w:tcPr>
          <w:p w:rsidR="00A679D6" w:rsidRPr="00652C97" w:rsidRDefault="00A679D6" w:rsidP="00A67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sidRPr="00652C97">
              <w:rPr>
                <w:sz w:val="18"/>
                <w:szCs w:val="18"/>
                <w:lang w:eastAsia="ja-JP"/>
              </w:rPr>
              <w:t>Formal Teacher PD</w:t>
            </w:r>
          </w:p>
        </w:tc>
        <w:tc>
          <w:tcPr>
            <w:tcW w:w="1080" w:type="dxa"/>
            <w:tcMar>
              <w:top w:w="20" w:type="nil"/>
              <w:left w:w="20" w:type="nil"/>
              <w:bottom w:w="20" w:type="nil"/>
              <w:right w:w="20" w:type="nil"/>
            </w:tcMar>
            <w:vAlign w:val="center"/>
          </w:tcPr>
          <w:p w:rsidR="00A679D6" w:rsidRPr="00652C97" w:rsidRDefault="00A679D6" w:rsidP="00A67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sidRPr="00652C97">
              <w:rPr>
                <w:sz w:val="18"/>
                <w:szCs w:val="18"/>
                <w:lang w:eastAsia="ja-JP"/>
              </w:rPr>
              <w:t>Job-Embedded PD</w:t>
            </w:r>
          </w:p>
        </w:tc>
        <w:tc>
          <w:tcPr>
            <w:tcW w:w="900" w:type="dxa"/>
            <w:tcMar>
              <w:top w:w="20" w:type="nil"/>
              <w:left w:w="20" w:type="nil"/>
              <w:bottom w:w="20" w:type="nil"/>
              <w:right w:w="20" w:type="nil"/>
            </w:tcMar>
            <w:vAlign w:val="center"/>
          </w:tcPr>
          <w:p w:rsidR="00A679D6" w:rsidRPr="00652C97" w:rsidRDefault="00A679D6" w:rsidP="00A67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sidRPr="00652C97">
              <w:rPr>
                <w:sz w:val="18"/>
                <w:szCs w:val="18"/>
                <w:lang w:eastAsia="ja-JP"/>
              </w:rPr>
              <w:t>Data</w:t>
            </w:r>
          </w:p>
        </w:tc>
        <w:tc>
          <w:tcPr>
            <w:tcW w:w="990" w:type="dxa"/>
            <w:tcMar>
              <w:top w:w="20" w:type="nil"/>
              <w:left w:w="20" w:type="nil"/>
              <w:bottom w:w="20" w:type="nil"/>
              <w:right w:w="20" w:type="nil"/>
            </w:tcMar>
            <w:vAlign w:val="center"/>
          </w:tcPr>
          <w:p w:rsidR="00A679D6" w:rsidRPr="00652C97" w:rsidRDefault="00A679D6" w:rsidP="00A67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sidRPr="00652C97">
              <w:rPr>
                <w:sz w:val="18"/>
                <w:szCs w:val="18"/>
                <w:lang w:eastAsia="ja-JP"/>
              </w:rPr>
              <w:t>Materials</w:t>
            </w:r>
          </w:p>
        </w:tc>
        <w:tc>
          <w:tcPr>
            <w:tcW w:w="990" w:type="dxa"/>
            <w:tcMar>
              <w:top w:w="20" w:type="nil"/>
              <w:left w:w="20" w:type="nil"/>
              <w:bottom w:w="20" w:type="nil"/>
              <w:right w:w="20" w:type="nil"/>
            </w:tcMar>
            <w:vAlign w:val="center"/>
          </w:tcPr>
          <w:p w:rsidR="00A679D6" w:rsidRPr="00652C97" w:rsidRDefault="00A679D6" w:rsidP="00A67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sidRPr="00652C97">
              <w:rPr>
                <w:sz w:val="18"/>
                <w:szCs w:val="18"/>
                <w:lang w:eastAsia="ja-JP"/>
              </w:rPr>
              <w:t>Social-Emotional Health</w:t>
            </w:r>
          </w:p>
        </w:tc>
        <w:tc>
          <w:tcPr>
            <w:tcW w:w="810" w:type="dxa"/>
            <w:tcMar>
              <w:top w:w="20" w:type="nil"/>
              <w:left w:w="20" w:type="nil"/>
              <w:bottom w:w="20" w:type="nil"/>
              <w:right w:w="20" w:type="nil"/>
            </w:tcMar>
            <w:vAlign w:val="center"/>
          </w:tcPr>
          <w:p w:rsidR="00A679D6" w:rsidRPr="00652C97" w:rsidRDefault="00A679D6" w:rsidP="00A67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eastAsia="ja-JP"/>
              </w:rPr>
            </w:pPr>
            <w:r w:rsidRPr="00652C97">
              <w:rPr>
                <w:sz w:val="18"/>
                <w:szCs w:val="18"/>
                <w:lang w:eastAsia="ja-JP"/>
              </w:rPr>
              <w:t>Other</w:t>
            </w:r>
          </w:p>
        </w:tc>
      </w:tr>
      <w:tr w:rsidR="00EF4799" w:rsidTr="00F82AF5">
        <w:tc>
          <w:tcPr>
            <w:tcW w:w="1188" w:type="dxa"/>
            <w:tcMar>
              <w:top w:w="60" w:type="nil"/>
              <w:left w:w="60" w:type="nil"/>
              <w:bottom w:w="60" w:type="nil"/>
              <w:right w:w="6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kern w:val="1"/>
                <w:sz w:val="20"/>
                <w:lang w:eastAsia="ja-JP"/>
              </w:rPr>
            </w:pPr>
            <w:r w:rsidRPr="00A4748E">
              <w:rPr>
                <w:rFonts w:eastAsia="Times New Roman"/>
                <w:color w:val="000000"/>
                <w:sz w:val="20"/>
              </w:rPr>
              <w:t>Boston</w:t>
            </w:r>
          </w:p>
        </w:tc>
        <w:tc>
          <w:tcPr>
            <w:tcW w:w="144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11.8%</w:t>
            </w:r>
          </w:p>
        </w:tc>
        <w:tc>
          <w:tcPr>
            <w:tcW w:w="135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46.5%</w:t>
            </w:r>
          </w:p>
        </w:tc>
        <w:tc>
          <w:tcPr>
            <w:tcW w:w="108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2.3%</w:t>
            </w:r>
          </w:p>
        </w:tc>
        <w:tc>
          <w:tcPr>
            <w:tcW w:w="108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8.7%</w:t>
            </w:r>
          </w:p>
        </w:tc>
        <w:tc>
          <w:tcPr>
            <w:tcW w:w="90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3.8%</w:t>
            </w:r>
          </w:p>
        </w:tc>
        <w:tc>
          <w:tcPr>
            <w:tcW w:w="99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8.5%</w:t>
            </w:r>
          </w:p>
        </w:tc>
        <w:tc>
          <w:tcPr>
            <w:tcW w:w="99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15.2%</w:t>
            </w:r>
          </w:p>
        </w:tc>
        <w:tc>
          <w:tcPr>
            <w:tcW w:w="81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3.2%</w:t>
            </w:r>
          </w:p>
        </w:tc>
      </w:tr>
      <w:tr w:rsidR="00EF4799" w:rsidTr="00F82AF5">
        <w:tc>
          <w:tcPr>
            <w:tcW w:w="1188" w:type="dxa"/>
            <w:tcMar>
              <w:top w:w="60" w:type="nil"/>
              <w:left w:w="60" w:type="nil"/>
              <w:bottom w:w="60" w:type="nil"/>
              <w:right w:w="6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kern w:val="1"/>
                <w:sz w:val="20"/>
                <w:lang w:eastAsia="ja-JP"/>
              </w:rPr>
            </w:pPr>
            <w:r w:rsidRPr="00A4748E">
              <w:rPr>
                <w:rFonts w:eastAsia="Times New Roman"/>
                <w:color w:val="000000"/>
                <w:sz w:val="20"/>
              </w:rPr>
              <w:t>Springfield</w:t>
            </w:r>
          </w:p>
        </w:tc>
        <w:tc>
          <w:tcPr>
            <w:tcW w:w="144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8.6%</w:t>
            </w:r>
          </w:p>
        </w:tc>
        <w:tc>
          <w:tcPr>
            <w:tcW w:w="135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24.8%</w:t>
            </w:r>
          </w:p>
        </w:tc>
        <w:tc>
          <w:tcPr>
            <w:tcW w:w="108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16.7%</w:t>
            </w:r>
          </w:p>
        </w:tc>
        <w:tc>
          <w:tcPr>
            <w:tcW w:w="108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9.2%</w:t>
            </w:r>
          </w:p>
        </w:tc>
        <w:tc>
          <w:tcPr>
            <w:tcW w:w="90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11.1%</w:t>
            </w:r>
          </w:p>
        </w:tc>
        <w:tc>
          <w:tcPr>
            <w:tcW w:w="99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13.1%</w:t>
            </w:r>
          </w:p>
        </w:tc>
        <w:tc>
          <w:tcPr>
            <w:tcW w:w="99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10.1%</w:t>
            </w:r>
          </w:p>
        </w:tc>
        <w:tc>
          <w:tcPr>
            <w:tcW w:w="81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6.4%</w:t>
            </w:r>
          </w:p>
        </w:tc>
      </w:tr>
      <w:tr w:rsidR="00EF4799" w:rsidTr="00F82AF5">
        <w:tc>
          <w:tcPr>
            <w:tcW w:w="1188" w:type="dxa"/>
            <w:tcMar>
              <w:top w:w="60" w:type="nil"/>
              <w:left w:w="60" w:type="nil"/>
              <w:bottom w:w="60" w:type="nil"/>
              <w:right w:w="6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kern w:val="1"/>
                <w:sz w:val="20"/>
                <w:lang w:eastAsia="ja-JP"/>
              </w:rPr>
            </w:pPr>
            <w:r w:rsidRPr="00A4748E">
              <w:rPr>
                <w:rFonts w:eastAsia="Times New Roman"/>
                <w:color w:val="000000"/>
                <w:sz w:val="20"/>
              </w:rPr>
              <w:t>Worcester</w:t>
            </w:r>
          </w:p>
        </w:tc>
        <w:tc>
          <w:tcPr>
            <w:tcW w:w="144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0.0%</w:t>
            </w:r>
          </w:p>
        </w:tc>
        <w:tc>
          <w:tcPr>
            <w:tcW w:w="135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52.5%</w:t>
            </w:r>
          </w:p>
        </w:tc>
        <w:tc>
          <w:tcPr>
            <w:tcW w:w="108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0.0%</w:t>
            </w:r>
          </w:p>
        </w:tc>
        <w:tc>
          <w:tcPr>
            <w:tcW w:w="108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47.5%</w:t>
            </w:r>
          </w:p>
        </w:tc>
        <w:tc>
          <w:tcPr>
            <w:tcW w:w="90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0.0%</w:t>
            </w:r>
          </w:p>
        </w:tc>
        <w:tc>
          <w:tcPr>
            <w:tcW w:w="99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0.0%</w:t>
            </w:r>
          </w:p>
        </w:tc>
        <w:tc>
          <w:tcPr>
            <w:tcW w:w="99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0.0%</w:t>
            </w:r>
          </w:p>
        </w:tc>
        <w:tc>
          <w:tcPr>
            <w:tcW w:w="810" w:type="dxa"/>
            <w:tcMar>
              <w:top w:w="20" w:type="nil"/>
              <w:left w:w="20" w:type="nil"/>
              <w:bottom w:w="20" w:type="nil"/>
              <w:right w:w="20" w:type="nil"/>
            </w:tcMar>
            <w:vAlign w:val="bottom"/>
          </w:tcPr>
          <w:p w:rsidR="00A679D6" w:rsidRPr="00A4748E"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kern w:val="1"/>
                <w:sz w:val="20"/>
                <w:lang w:eastAsia="ja-JP"/>
              </w:rPr>
            </w:pPr>
            <w:r w:rsidRPr="00A4748E">
              <w:rPr>
                <w:rFonts w:eastAsia="Times New Roman"/>
                <w:color w:val="000000"/>
                <w:sz w:val="20"/>
              </w:rPr>
              <w:t>0.0%</w:t>
            </w:r>
          </w:p>
        </w:tc>
      </w:tr>
      <w:tr w:rsidR="00EF4799" w:rsidTr="00F82AF5">
        <w:tc>
          <w:tcPr>
            <w:tcW w:w="1188" w:type="dxa"/>
            <w:tcMar>
              <w:top w:w="60" w:type="nil"/>
              <w:left w:w="60" w:type="nil"/>
              <w:bottom w:w="60" w:type="nil"/>
              <w:right w:w="60" w:type="nil"/>
            </w:tcMar>
            <w:vAlign w:val="bottom"/>
          </w:tcPr>
          <w:p w:rsidR="00A679D6" w:rsidRPr="002410D5"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eastAsia="Times New Roman"/>
                <w:color w:val="000000"/>
                <w:sz w:val="20"/>
              </w:rPr>
            </w:pPr>
            <w:r w:rsidRPr="002410D5">
              <w:rPr>
                <w:rFonts w:eastAsia="Times New Roman"/>
                <w:color w:val="000000"/>
                <w:sz w:val="20"/>
              </w:rPr>
              <w:t>Holyoke</w:t>
            </w:r>
          </w:p>
        </w:tc>
        <w:tc>
          <w:tcPr>
            <w:tcW w:w="1440" w:type="dxa"/>
            <w:tcMar>
              <w:top w:w="20" w:type="nil"/>
              <w:left w:w="20" w:type="nil"/>
              <w:bottom w:w="20" w:type="nil"/>
              <w:right w:w="20" w:type="nil"/>
            </w:tcMar>
            <w:vAlign w:val="bottom"/>
          </w:tcPr>
          <w:p w:rsidR="00A679D6" w:rsidRPr="002410D5"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rFonts w:eastAsia="Times New Roman"/>
                <w:color w:val="000000"/>
                <w:sz w:val="20"/>
              </w:rPr>
            </w:pPr>
            <w:r w:rsidRPr="002410D5">
              <w:rPr>
                <w:rFonts w:eastAsia="Times New Roman"/>
                <w:color w:val="000000"/>
                <w:sz w:val="20"/>
              </w:rPr>
              <w:t>41.8%</w:t>
            </w:r>
          </w:p>
        </w:tc>
        <w:tc>
          <w:tcPr>
            <w:tcW w:w="1350" w:type="dxa"/>
            <w:tcMar>
              <w:top w:w="20" w:type="nil"/>
              <w:left w:w="20" w:type="nil"/>
              <w:bottom w:w="20" w:type="nil"/>
              <w:right w:w="20" w:type="nil"/>
            </w:tcMar>
            <w:vAlign w:val="bottom"/>
          </w:tcPr>
          <w:p w:rsidR="00A679D6" w:rsidRPr="002410D5"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rFonts w:eastAsia="Times New Roman"/>
                <w:color w:val="000000"/>
                <w:sz w:val="20"/>
              </w:rPr>
            </w:pPr>
            <w:r w:rsidRPr="002410D5">
              <w:rPr>
                <w:rFonts w:eastAsia="Times New Roman"/>
                <w:color w:val="000000"/>
                <w:sz w:val="20"/>
              </w:rPr>
              <w:t>4.1%</w:t>
            </w:r>
          </w:p>
        </w:tc>
        <w:tc>
          <w:tcPr>
            <w:tcW w:w="1080" w:type="dxa"/>
            <w:tcMar>
              <w:top w:w="20" w:type="nil"/>
              <w:left w:w="20" w:type="nil"/>
              <w:bottom w:w="20" w:type="nil"/>
              <w:right w:w="20" w:type="nil"/>
            </w:tcMar>
            <w:vAlign w:val="bottom"/>
          </w:tcPr>
          <w:p w:rsidR="00A679D6" w:rsidRPr="002410D5"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rFonts w:eastAsia="Times New Roman"/>
                <w:color w:val="000000"/>
                <w:sz w:val="20"/>
              </w:rPr>
            </w:pPr>
            <w:r w:rsidRPr="002410D5">
              <w:rPr>
                <w:rFonts w:eastAsia="Times New Roman"/>
                <w:color w:val="000000"/>
                <w:sz w:val="20"/>
              </w:rPr>
              <w:t>9.5%</w:t>
            </w:r>
          </w:p>
        </w:tc>
        <w:tc>
          <w:tcPr>
            <w:tcW w:w="1080" w:type="dxa"/>
            <w:tcMar>
              <w:top w:w="20" w:type="nil"/>
              <w:left w:w="20" w:type="nil"/>
              <w:bottom w:w="20" w:type="nil"/>
              <w:right w:w="20" w:type="nil"/>
            </w:tcMar>
            <w:vAlign w:val="bottom"/>
          </w:tcPr>
          <w:p w:rsidR="00A679D6" w:rsidRPr="002410D5"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rFonts w:eastAsia="Times New Roman"/>
                <w:color w:val="000000"/>
                <w:sz w:val="20"/>
              </w:rPr>
            </w:pPr>
            <w:r w:rsidRPr="002410D5">
              <w:rPr>
                <w:rFonts w:eastAsia="Times New Roman"/>
                <w:color w:val="000000"/>
                <w:sz w:val="20"/>
              </w:rPr>
              <w:t>7.8%</w:t>
            </w:r>
          </w:p>
        </w:tc>
        <w:tc>
          <w:tcPr>
            <w:tcW w:w="900" w:type="dxa"/>
            <w:tcMar>
              <w:top w:w="20" w:type="nil"/>
              <w:left w:w="20" w:type="nil"/>
              <w:bottom w:w="20" w:type="nil"/>
              <w:right w:w="20" w:type="nil"/>
            </w:tcMar>
            <w:vAlign w:val="bottom"/>
          </w:tcPr>
          <w:p w:rsidR="00A679D6" w:rsidRPr="002410D5"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rFonts w:eastAsia="Times New Roman"/>
                <w:color w:val="000000"/>
                <w:sz w:val="20"/>
              </w:rPr>
            </w:pPr>
            <w:r w:rsidRPr="002410D5">
              <w:rPr>
                <w:rFonts w:eastAsia="Times New Roman"/>
                <w:color w:val="000000"/>
                <w:sz w:val="20"/>
              </w:rPr>
              <w:t>1.7%</w:t>
            </w:r>
          </w:p>
        </w:tc>
        <w:tc>
          <w:tcPr>
            <w:tcW w:w="990" w:type="dxa"/>
            <w:tcMar>
              <w:top w:w="20" w:type="nil"/>
              <w:left w:w="20" w:type="nil"/>
              <w:bottom w:w="20" w:type="nil"/>
              <w:right w:w="20" w:type="nil"/>
            </w:tcMar>
            <w:vAlign w:val="bottom"/>
          </w:tcPr>
          <w:p w:rsidR="00A679D6" w:rsidRPr="002410D5"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rFonts w:eastAsia="Times New Roman"/>
                <w:color w:val="000000"/>
                <w:sz w:val="20"/>
              </w:rPr>
            </w:pPr>
            <w:r w:rsidRPr="002410D5">
              <w:rPr>
                <w:rFonts w:eastAsia="Times New Roman"/>
                <w:color w:val="000000"/>
                <w:sz w:val="20"/>
              </w:rPr>
              <w:t>2.4%</w:t>
            </w:r>
          </w:p>
        </w:tc>
        <w:tc>
          <w:tcPr>
            <w:tcW w:w="990" w:type="dxa"/>
            <w:tcMar>
              <w:top w:w="20" w:type="nil"/>
              <w:left w:w="20" w:type="nil"/>
              <w:bottom w:w="20" w:type="nil"/>
              <w:right w:w="20" w:type="nil"/>
            </w:tcMar>
            <w:vAlign w:val="bottom"/>
          </w:tcPr>
          <w:p w:rsidR="00A679D6" w:rsidRPr="002410D5"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rFonts w:eastAsia="Times New Roman"/>
                <w:color w:val="000000"/>
                <w:sz w:val="20"/>
              </w:rPr>
            </w:pPr>
            <w:r w:rsidRPr="002410D5">
              <w:rPr>
                <w:rFonts w:eastAsia="Times New Roman"/>
                <w:color w:val="000000"/>
                <w:sz w:val="20"/>
              </w:rPr>
              <w:t>20.1%</w:t>
            </w:r>
          </w:p>
        </w:tc>
        <w:tc>
          <w:tcPr>
            <w:tcW w:w="810" w:type="dxa"/>
            <w:tcMar>
              <w:top w:w="20" w:type="nil"/>
              <w:left w:w="20" w:type="nil"/>
              <w:bottom w:w="20" w:type="nil"/>
              <w:right w:w="20" w:type="nil"/>
            </w:tcMar>
            <w:vAlign w:val="bottom"/>
          </w:tcPr>
          <w:p w:rsidR="00A679D6" w:rsidRPr="002410D5" w:rsidRDefault="00A679D6"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center"/>
              <w:rPr>
                <w:rFonts w:eastAsia="Times New Roman"/>
                <w:color w:val="000000"/>
                <w:sz w:val="20"/>
              </w:rPr>
            </w:pPr>
            <w:r w:rsidRPr="002410D5">
              <w:rPr>
                <w:rFonts w:eastAsia="Times New Roman"/>
                <w:color w:val="000000"/>
                <w:sz w:val="20"/>
              </w:rPr>
              <w:t>12.6%</w:t>
            </w:r>
          </w:p>
        </w:tc>
      </w:tr>
    </w:tbl>
    <w:p w:rsidR="00F5744B" w:rsidRDefault="00F5744B" w:rsidP="00F5744B">
      <w:pPr>
        <w:spacing w:line="288" w:lineRule="auto"/>
        <w:rPr>
          <w:sz w:val="22"/>
          <w:szCs w:val="22"/>
          <w:lang w:eastAsia="ja-JP"/>
        </w:rPr>
      </w:pPr>
    </w:p>
    <w:p w:rsidR="00F5744B" w:rsidRDefault="00F5744B" w:rsidP="00F5744B">
      <w:pPr>
        <w:spacing w:line="288" w:lineRule="auto"/>
        <w:rPr>
          <w:sz w:val="22"/>
          <w:szCs w:val="22"/>
          <w:lang w:eastAsia="ja-JP"/>
        </w:rPr>
      </w:pPr>
      <w:r>
        <w:rPr>
          <w:sz w:val="22"/>
          <w:szCs w:val="22"/>
          <w:lang w:eastAsia="ja-JP"/>
        </w:rPr>
        <w:t xml:space="preserve">Worcester, which spent almost 70% of </w:t>
      </w:r>
      <w:r w:rsidR="00C36305">
        <w:rPr>
          <w:sz w:val="22"/>
          <w:szCs w:val="22"/>
          <w:lang w:eastAsia="ja-JP"/>
        </w:rPr>
        <w:t>total SR</w:t>
      </w:r>
      <w:r>
        <w:rPr>
          <w:sz w:val="22"/>
          <w:szCs w:val="22"/>
          <w:lang w:eastAsia="ja-JP"/>
        </w:rPr>
        <w:t xml:space="preserve">G funds on extended time, decided to allocate all of its remaining, funds to </w:t>
      </w:r>
      <w:r w:rsidRPr="00A3357E">
        <w:rPr>
          <w:i/>
          <w:sz w:val="22"/>
          <w:szCs w:val="22"/>
          <w:lang w:eastAsia="ja-JP"/>
        </w:rPr>
        <w:t>direct instruction for students</w:t>
      </w:r>
      <w:r>
        <w:rPr>
          <w:sz w:val="22"/>
          <w:szCs w:val="22"/>
          <w:lang w:eastAsia="ja-JP"/>
        </w:rPr>
        <w:t xml:space="preserve"> (52.5%, $191 thousand) and </w:t>
      </w:r>
      <w:r w:rsidRPr="00A3357E">
        <w:rPr>
          <w:i/>
          <w:sz w:val="22"/>
          <w:szCs w:val="22"/>
          <w:lang w:eastAsia="ja-JP"/>
        </w:rPr>
        <w:t>job-embedded professional development</w:t>
      </w:r>
      <w:r>
        <w:rPr>
          <w:sz w:val="22"/>
          <w:szCs w:val="22"/>
          <w:lang w:eastAsia="ja-JP"/>
        </w:rPr>
        <w:t xml:space="preserve"> (47.5%, $173 thousand.)  Springfield, which </w:t>
      </w:r>
      <w:r w:rsidR="00C36305">
        <w:rPr>
          <w:sz w:val="22"/>
          <w:szCs w:val="22"/>
          <w:lang w:eastAsia="ja-JP"/>
        </w:rPr>
        <w:t>used</w:t>
      </w:r>
      <w:r>
        <w:rPr>
          <w:sz w:val="22"/>
          <w:szCs w:val="22"/>
          <w:lang w:eastAsia="ja-JP"/>
        </w:rPr>
        <w:t xml:space="preserve"> 36% of </w:t>
      </w:r>
      <w:r w:rsidR="00C36305">
        <w:rPr>
          <w:sz w:val="22"/>
          <w:szCs w:val="22"/>
          <w:lang w:eastAsia="ja-JP"/>
        </w:rPr>
        <w:t>its</w:t>
      </w:r>
      <w:r>
        <w:rPr>
          <w:sz w:val="22"/>
          <w:szCs w:val="22"/>
          <w:lang w:eastAsia="ja-JP"/>
        </w:rPr>
        <w:t xml:space="preserve"> SRG funds on extended learning time (and thus had a larger percent remaining for </w:t>
      </w:r>
      <w:r w:rsidR="00C36305">
        <w:rPr>
          <w:sz w:val="22"/>
          <w:szCs w:val="22"/>
          <w:lang w:eastAsia="ja-JP"/>
        </w:rPr>
        <w:t>other uses</w:t>
      </w:r>
      <w:r>
        <w:rPr>
          <w:sz w:val="22"/>
          <w:szCs w:val="22"/>
          <w:lang w:eastAsia="ja-JP"/>
        </w:rPr>
        <w:t xml:space="preserve">), decided to allocate a higher percentage of funds to </w:t>
      </w:r>
      <w:r w:rsidRPr="00C36305">
        <w:rPr>
          <w:i/>
          <w:sz w:val="22"/>
          <w:szCs w:val="22"/>
          <w:lang w:eastAsia="ja-JP"/>
        </w:rPr>
        <w:t>formal teacher professional development</w:t>
      </w:r>
      <w:r>
        <w:rPr>
          <w:sz w:val="22"/>
          <w:szCs w:val="22"/>
          <w:lang w:eastAsia="ja-JP"/>
        </w:rPr>
        <w:t xml:space="preserve"> (16.7%, $752 thousand) and for </w:t>
      </w:r>
      <w:r w:rsidRPr="00C36305">
        <w:rPr>
          <w:i/>
          <w:sz w:val="22"/>
          <w:szCs w:val="22"/>
          <w:lang w:eastAsia="ja-JP"/>
        </w:rPr>
        <w:t>data</w:t>
      </w:r>
      <w:r>
        <w:rPr>
          <w:sz w:val="22"/>
          <w:szCs w:val="22"/>
          <w:lang w:eastAsia="ja-JP"/>
        </w:rPr>
        <w:t xml:space="preserve"> (11.1%, </w:t>
      </w:r>
      <w:r w:rsidR="00C36305">
        <w:rPr>
          <w:sz w:val="22"/>
          <w:szCs w:val="22"/>
          <w:lang w:eastAsia="ja-JP"/>
        </w:rPr>
        <w:t>$500 thousand)</w:t>
      </w:r>
      <w:r>
        <w:rPr>
          <w:sz w:val="22"/>
          <w:szCs w:val="22"/>
          <w:lang w:eastAsia="ja-JP"/>
        </w:rPr>
        <w:t xml:space="preserve">.  Boston allocated </w:t>
      </w:r>
      <w:r w:rsidR="00C36305">
        <w:rPr>
          <w:sz w:val="22"/>
          <w:szCs w:val="22"/>
          <w:lang w:eastAsia="ja-JP"/>
        </w:rPr>
        <w:t xml:space="preserve">a </w:t>
      </w:r>
      <w:r>
        <w:rPr>
          <w:sz w:val="22"/>
          <w:szCs w:val="22"/>
          <w:lang w:eastAsia="ja-JP"/>
        </w:rPr>
        <w:t xml:space="preserve">larger </w:t>
      </w:r>
      <w:r w:rsidR="00C36305">
        <w:rPr>
          <w:sz w:val="22"/>
          <w:szCs w:val="22"/>
          <w:lang w:eastAsia="ja-JP"/>
        </w:rPr>
        <w:t>percent</w:t>
      </w:r>
      <w:r>
        <w:rPr>
          <w:sz w:val="22"/>
          <w:szCs w:val="22"/>
          <w:lang w:eastAsia="ja-JP"/>
        </w:rPr>
        <w:t xml:space="preserve"> of funds towards </w:t>
      </w:r>
      <w:r w:rsidRPr="00C36305">
        <w:rPr>
          <w:i/>
          <w:sz w:val="22"/>
          <w:szCs w:val="22"/>
          <w:lang w:eastAsia="ja-JP"/>
        </w:rPr>
        <w:t>social-emotional health</w:t>
      </w:r>
      <w:r>
        <w:rPr>
          <w:sz w:val="22"/>
          <w:szCs w:val="22"/>
          <w:lang w:eastAsia="ja-JP"/>
        </w:rPr>
        <w:t xml:space="preserve">, distributed relatively evenly across all of its schools. Holyoke targeted funds towards </w:t>
      </w:r>
      <w:r w:rsidRPr="00C36305">
        <w:rPr>
          <w:i/>
          <w:sz w:val="22"/>
          <w:szCs w:val="22"/>
          <w:lang w:eastAsia="ja-JP"/>
        </w:rPr>
        <w:t>social-emotional health</w:t>
      </w:r>
      <w:r>
        <w:rPr>
          <w:sz w:val="22"/>
          <w:szCs w:val="22"/>
          <w:lang w:eastAsia="ja-JP"/>
        </w:rPr>
        <w:t xml:space="preserve"> at one of its two schools. </w:t>
      </w:r>
    </w:p>
    <w:p w:rsidR="00F5744B" w:rsidRDefault="00F5744B" w:rsidP="00F82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rPr>
          <w:b/>
          <w:color w:val="1F497D" w:themeColor="text2"/>
          <w:sz w:val="22"/>
          <w:szCs w:val="22"/>
          <w:lang w:eastAsia="ja-JP"/>
        </w:rPr>
      </w:pPr>
      <w:r>
        <w:rPr>
          <w:b/>
          <w:color w:val="1F497D" w:themeColor="text2"/>
          <w:sz w:val="22"/>
          <w:szCs w:val="22"/>
          <w:lang w:eastAsia="ja-JP"/>
        </w:rPr>
        <w:t>What can we discern from how districts have allocated SRG funding?</w:t>
      </w:r>
    </w:p>
    <w:p w:rsidR="00005816" w:rsidRDefault="007A52EE" w:rsidP="00005816">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88" w:lineRule="auto"/>
        <w:rPr>
          <w:bCs/>
          <w:sz w:val="22"/>
          <w:szCs w:val="22"/>
          <w:lang w:eastAsia="ja-JP"/>
        </w:rPr>
      </w:pPr>
      <w:r>
        <w:rPr>
          <w:bCs/>
          <w:sz w:val="22"/>
          <w:szCs w:val="22"/>
          <w:lang w:eastAsia="ja-JP"/>
        </w:rPr>
        <w:t>It is clear that d</w:t>
      </w:r>
      <w:r w:rsidR="002358E7" w:rsidRPr="002358E7">
        <w:rPr>
          <w:bCs/>
          <w:sz w:val="22"/>
          <w:szCs w:val="22"/>
          <w:lang w:eastAsia="ja-JP"/>
        </w:rPr>
        <w:t xml:space="preserve">istricts in Massachusetts </w:t>
      </w:r>
      <w:r w:rsidR="002358E7" w:rsidRPr="00117E63">
        <w:rPr>
          <w:bCs/>
          <w:sz w:val="22"/>
          <w:szCs w:val="22"/>
          <w:lang w:eastAsia="ja-JP"/>
        </w:rPr>
        <w:t>have allocated SRG funds in different ways, reflecting differences in local c</w:t>
      </w:r>
      <w:r w:rsidR="00F00B22">
        <w:rPr>
          <w:bCs/>
          <w:sz w:val="22"/>
          <w:szCs w:val="22"/>
          <w:lang w:eastAsia="ja-JP"/>
        </w:rPr>
        <w:t>ontext as well as the different</w:t>
      </w:r>
      <w:r w:rsidR="002358E7" w:rsidRPr="00117E63">
        <w:rPr>
          <w:bCs/>
          <w:sz w:val="22"/>
          <w:szCs w:val="22"/>
          <w:lang w:eastAsia="ja-JP"/>
        </w:rPr>
        <w:t xml:space="preserve"> approaches used by districts to build district capacity and support local, school-based turnaround efforts</w:t>
      </w:r>
      <w:r w:rsidRPr="00117E63">
        <w:rPr>
          <w:rStyle w:val="FootnoteReference"/>
          <w:bCs/>
          <w:sz w:val="22"/>
          <w:szCs w:val="22"/>
          <w:lang w:eastAsia="ja-JP"/>
        </w:rPr>
        <w:footnoteReference w:id="17"/>
      </w:r>
      <w:r w:rsidR="002358E7" w:rsidRPr="00117E63">
        <w:rPr>
          <w:bCs/>
          <w:sz w:val="22"/>
          <w:szCs w:val="22"/>
          <w:lang w:eastAsia="ja-JP"/>
        </w:rPr>
        <w:t>.</w:t>
      </w:r>
      <w:r w:rsidR="002358E7" w:rsidRPr="002358E7">
        <w:rPr>
          <w:bCs/>
          <w:sz w:val="22"/>
          <w:szCs w:val="22"/>
          <w:lang w:eastAsia="ja-JP"/>
        </w:rPr>
        <w:t xml:space="preserve"> </w:t>
      </w:r>
      <w:r w:rsidR="00FD2691">
        <w:rPr>
          <w:bCs/>
          <w:sz w:val="22"/>
          <w:szCs w:val="22"/>
          <w:lang w:eastAsia="ja-JP"/>
        </w:rPr>
        <w:t>There is also strong</w:t>
      </w:r>
      <w:r>
        <w:rPr>
          <w:bCs/>
          <w:sz w:val="22"/>
          <w:szCs w:val="22"/>
          <w:lang w:eastAsia="ja-JP"/>
        </w:rPr>
        <w:t xml:space="preserve"> evidence</w:t>
      </w:r>
      <w:r w:rsidR="00FD2691">
        <w:rPr>
          <w:bCs/>
          <w:sz w:val="22"/>
          <w:szCs w:val="22"/>
          <w:lang w:eastAsia="ja-JP"/>
        </w:rPr>
        <w:t>, from site visits and supported by student data,</w:t>
      </w:r>
      <w:r>
        <w:rPr>
          <w:bCs/>
          <w:sz w:val="22"/>
          <w:szCs w:val="22"/>
          <w:lang w:eastAsia="ja-JP"/>
        </w:rPr>
        <w:t xml:space="preserve"> that Level 4 schools in each district, and in particular in Springfield and Boston, </w:t>
      </w:r>
      <w:r w:rsidR="00FD2691">
        <w:rPr>
          <w:bCs/>
          <w:sz w:val="22"/>
          <w:szCs w:val="22"/>
          <w:lang w:eastAsia="ja-JP"/>
        </w:rPr>
        <w:t>are experiencing varied levels of success</w:t>
      </w:r>
      <w:r w:rsidR="00005816">
        <w:rPr>
          <w:bCs/>
          <w:sz w:val="22"/>
          <w:szCs w:val="22"/>
          <w:lang w:eastAsia="ja-JP"/>
        </w:rPr>
        <w:t>—some are on an upward achievement trajectory and some are not</w:t>
      </w:r>
      <w:r w:rsidR="00FD2691">
        <w:rPr>
          <w:bCs/>
          <w:sz w:val="22"/>
          <w:szCs w:val="22"/>
          <w:lang w:eastAsia="ja-JP"/>
        </w:rPr>
        <w:t xml:space="preserve">. </w:t>
      </w:r>
    </w:p>
    <w:p w:rsidR="00825995" w:rsidRPr="00005816" w:rsidRDefault="00005816" w:rsidP="00005816">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88" w:lineRule="auto"/>
        <w:rPr>
          <w:rFonts w:ascii="Helvetica" w:hAnsi="Helvetica" w:cs="Helvetica"/>
          <w:kern w:val="1"/>
          <w:szCs w:val="24"/>
          <w:lang w:eastAsia="ja-JP"/>
        </w:rPr>
      </w:pPr>
      <w:r>
        <w:rPr>
          <w:bCs/>
          <w:sz w:val="22"/>
          <w:szCs w:val="22"/>
          <w:lang w:eastAsia="ja-JP"/>
        </w:rPr>
        <w:t xml:space="preserve">Our </w:t>
      </w:r>
      <w:r w:rsidR="00FD2691">
        <w:rPr>
          <w:bCs/>
          <w:sz w:val="22"/>
          <w:szCs w:val="22"/>
          <w:lang w:eastAsia="ja-JP"/>
        </w:rPr>
        <w:t>analysis suggests that there are different funding pathways that a district may take to</w:t>
      </w:r>
      <w:r w:rsidR="00701CAF">
        <w:rPr>
          <w:bCs/>
          <w:sz w:val="22"/>
          <w:szCs w:val="22"/>
          <w:lang w:eastAsia="ja-JP"/>
        </w:rPr>
        <w:t xml:space="preserve"> support turnaround efforts. Successful and sustainable turnaround is likely the</w:t>
      </w:r>
      <w:r w:rsidR="00FD2691">
        <w:rPr>
          <w:bCs/>
          <w:sz w:val="22"/>
          <w:szCs w:val="22"/>
          <w:lang w:eastAsia="ja-JP"/>
        </w:rPr>
        <w:t xml:space="preserve"> result of multiple factors, such as </w:t>
      </w:r>
      <w:r w:rsidR="00701CAF">
        <w:rPr>
          <w:bCs/>
          <w:sz w:val="22"/>
          <w:szCs w:val="22"/>
          <w:lang w:eastAsia="ja-JP"/>
        </w:rPr>
        <w:t>ensuring that schools have capable leadership</w:t>
      </w:r>
      <w:r w:rsidR="00FD2691">
        <w:rPr>
          <w:bCs/>
          <w:sz w:val="22"/>
          <w:szCs w:val="22"/>
          <w:lang w:eastAsia="ja-JP"/>
        </w:rPr>
        <w:t xml:space="preserve">, </w:t>
      </w:r>
      <w:r w:rsidR="00701CAF">
        <w:rPr>
          <w:bCs/>
          <w:sz w:val="22"/>
          <w:szCs w:val="22"/>
          <w:lang w:eastAsia="ja-JP"/>
        </w:rPr>
        <w:t>changing policies so that</w:t>
      </w:r>
      <w:r w:rsidR="00FD2691">
        <w:rPr>
          <w:bCs/>
          <w:sz w:val="22"/>
          <w:szCs w:val="22"/>
          <w:lang w:eastAsia="ja-JP"/>
        </w:rPr>
        <w:t xml:space="preserve"> school</w:t>
      </w:r>
      <w:r w:rsidR="00701CAF">
        <w:rPr>
          <w:bCs/>
          <w:sz w:val="22"/>
          <w:szCs w:val="22"/>
          <w:lang w:eastAsia="ja-JP"/>
        </w:rPr>
        <w:t>s</w:t>
      </w:r>
      <w:r w:rsidR="00FD2691">
        <w:rPr>
          <w:bCs/>
          <w:sz w:val="22"/>
          <w:szCs w:val="22"/>
          <w:lang w:eastAsia="ja-JP"/>
        </w:rPr>
        <w:t xml:space="preserve"> </w:t>
      </w:r>
      <w:r w:rsidR="00701CAF">
        <w:rPr>
          <w:bCs/>
          <w:sz w:val="22"/>
          <w:szCs w:val="22"/>
          <w:lang w:eastAsia="ja-JP"/>
        </w:rPr>
        <w:t>can recruit and retain</w:t>
      </w:r>
      <w:r w:rsidR="00FD2691">
        <w:rPr>
          <w:bCs/>
          <w:sz w:val="22"/>
          <w:szCs w:val="22"/>
          <w:lang w:eastAsia="ja-JP"/>
        </w:rPr>
        <w:t xml:space="preserve"> high-quality and engaged teachers, and </w:t>
      </w:r>
      <w:r w:rsidR="00701CAF">
        <w:rPr>
          <w:bCs/>
          <w:sz w:val="22"/>
          <w:szCs w:val="22"/>
          <w:lang w:eastAsia="ja-JP"/>
        </w:rPr>
        <w:t>cultivating</w:t>
      </w:r>
      <w:r w:rsidR="00FD2691">
        <w:rPr>
          <w:bCs/>
          <w:sz w:val="22"/>
          <w:szCs w:val="22"/>
          <w:lang w:eastAsia="ja-JP"/>
        </w:rPr>
        <w:t xml:space="preserve"> key practices (as detailed in this report)</w:t>
      </w:r>
      <w:r w:rsidR="00701CAF">
        <w:rPr>
          <w:bCs/>
          <w:sz w:val="22"/>
          <w:szCs w:val="22"/>
          <w:lang w:eastAsia="ja-JP"/>
        </w:rPr>
        <w:t xml:space="preserve"> both financially and through active support by the district, rather than the result of a cookie cutter approach to funding.</w:t>
      </w:r>
      <w:r w:rsidR="00FD2691">
        <w:rPr>
          <w:bCs/>
          <w:sz w:val="22"/>
          <w:szCs w:val="22"/>
          <w:lang w:eastAsia="ja-JP"/>
        </w:rPr>
        <w:t xml:space="preserve"> </w:t>
      </w:r>
      <w:r w:rsidR="00701CAF">
        <w:rPr>
          <w:bCs/>
          <w:sz w:val="22"/>
          <w:szCs w:val="22"/>
          <w:lang w:eastAsia="ja-JP"/>
        </w:rPr>
        <w:t>That being said, there are some trends worth additional r</w:t>
      </w:r>
      <w:r w:rsidR="00F00B22">
        <w:rPr>
          <w:bCs/>
          <w:sz w:val="22"/>
          <w:szCs w:val="22"/>
          <w:lang w:eastAsia="ja-JP"/>
        </w:rPr>
        <w:t>esearch and exploration, listed</w:t>
      </w:r>
      <w:r w:rsidR="00701CAF">
        <w:rPr>
          <w:bCs/>
          <w:sz w:val="22"/>
          <w:szCs w:val="22"/>
          <w:lang w:eastAsia="ja-JP"/>
        </w:rPr>
        <w:t xml:space="preserve"> below along with</w:t>
      </w:r>
      <w:r w:rsidR="00825995">
        <w:rPr>
          <w:sz w:val="22"/>
          <w:szCs w:val="22"/>
          <w:lang w:eastAsia="ja-JP"/>
        </w:rPr>
        <w:t xml:space="preserve"> </w:t>
      </w:r>
      <w:r w:rsidR="00701CAF">
        <w:rPr>
          <w:sz w:val="22"/>
          <w:szCs w:val="22"/>
          <w:lang w:eastAsia="ja-JP"/>
        </w:rPr>
        <w:t>related policy considerations.</w:t>
      </w:r>
    </w:p>
    <w:tbl>
      <w:tblPr>
        <w:tblStyle w:val="TableGrid"/>
        <w:tblW w:w="0" w:type="auto"/>
        <w:tblBorders>
          <w:top w:val="none" w:sz="0" w:space="0" w:color="auto"/>
          <w:left w:val="none" w:sz="0" w:space="0" w:color="auto"/>
          <w:right w:val="none" w:sz="0" w:space="0" w:color="auto"/>
        </w:tblBorders>
        <w:tblLook w:val="04A0"/>
      </w:tblPr>
      <w:tblGrid>
        <w:gridCol w:w="5328"/>
        <w:gridCol w:w="4824"/>
      </w:tblGrid>
      <w:tr w:rsidR="00005816" w:rsidRPr="00966AFB" w:rsidTr="00005816">
        <w:tc>
          <w:tcPr>
            <w:tcW w:w="5328" w:type="dxa"/>
          </w:tcPr>
          <w:p w:rsidR="00825995" w:rsidRPr="00966AFB" w:rsidRDefault="00825995"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Times New Roman" w:hAnsi="Times New Roman" w:cs="Times New Roman"/>
                <w:b/>
                <w:sz w:val="18"/>
                <w:szCs w:val="18"/>
                <w:lang w:eastAsia="ja-JP"/>
              </w:rPr>
            </w:pPr>
            <w:r w:rsidRPr="00966AFB">
              <w:rPr>
                <w:rFonts w:ascii="Times New Roman" w:hAnsi="Times New Roman" w:cs="Times New Roman"/>
                <w:b/>
                <w:sz w:val="18"/>
                <w:szCs w:val="18"/>
                <w:lang w:eastAsia="ja-JP"/>
              </w:rPr>
              <w:t>Budget Analysis Finding</w:t>
            </w:r>
          </w:p>
        </w:tc>
        <w:tc>
          <w:tcPr>
            <w:tcW w:w="4824" w:type="dxa"/>
          </w:tcPr>
          <w:p w:rsidR="00825995" w:rsidRPr="00966AFB" w:rsidRDefault="00825995" w:rsidP="00701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Times New Roman" w:hAnsi="Times New Roman" w:cs="Times New Roman"/>
                <w:b/>
                <w:sz w:val="18"/>
                <w:szCs w:val="18"/>
                <w:lang w:eastAsia="ja-JP"/>
              </w:rPr>
            </w:pPr>
            <w:r w:rsidRPr="00966AFB">
              <w:rPr>
                <w:rFonts w:ascii="Times New Roman" w:hAnsi="Times New Roman" w:cs="Times New Roman"/>
                <w:b/>
                <w:sz w:val="18"/>
                <w:szCs w:val="18"/>
                <w:lang w:eastAsia="ja-JP"/>
              </w:rPr>
              <w:t>Policy Considerations</w:t>
            </w:r>
          </w:p>
        </w:tc>
      </w:tr>
      <w:tr w:rsidR="00005816" w:rsidRPr="00966AFB" w:rsidTr="00005816">
        <w:tc>
          <w:tcPr>
            <w:tcW w:w="5328" w:type="dxa"/>
          </w:tcPr>
          <w:p w:rsidR="00825995" w:rsidRPr="00966AFB" w:rsidRDefault="00825995" w:rsidP="00825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Times New Roman" w:hAnsi="Times New Roman" w:cs="Times New Roman"/>
                <w:sz w:val="18"/>
                <w:szCs w:val="18"/>
                <w:lang w:eastAsia="ja-JP"/>
              </w:rPr>
            </w:pPr>
            <w:r w:rsidRPr="00966AFB">
              <w:rPr>
                <w:rFonts w:ascii="Times New Roman" w:hAnsi="Times New Roman" w:cs="Times New Roman"/>
                <w:sz w:val="18"/>
                <w:szCs w:val="18"/>
                <w:lang w:eastAsia="ja-JP"/>
              </w:rPr>
              <w:t>Teacher stipends for extended learning time and non-extended time comprise approximately 50% of total SRG allocations.</w:t>
            </w:r>
          </w:p>
        </w:tc>
        <w:tc>
          <w:tcPr>
            <w:tcW w:w="4824" w:type="dxa"/>
            <w:vAlign w:val="center"/>
          </w:tcPr>
          <w:p w:rsidR="00825995" w:rsidRPr="00966AFB" w:rsidRDefault="00825995" w:rsidP="000058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Times New Roman" w:hAnsi="Times New Roman" w:cs="Times New Roman"/>
                <w:sz w:val="18"/>
                <w:szCs w:val="18"/>
                <w:lang w:eastAsia="ja-JP"/>
              </w:rPr>
            </w:pPr>
            <w:r w:rsidRPr="00966AFB">
              <w:rPr>
                <w:rFonts w:ascii="Times New Roman" w:hAnsi="Times New Roman" w:cs="Times New Roman"/>
                <w:sz w:val="18"/>
                <w:szCs w:val="18"/>
                <w:lang w:eastAsia="ja-JP"/>
              </w:rPr>
              <w:t>Is this sustainable?</w:t>
            </w:r>
          </w:p>
        </w:tc>
      </w:tr>
      <w:tr w:rsidR="00005816" w:rsidRPr="00966AFB" w:rsidTr="00005816">
        <w:tc>
          <w:tcPr>
            <w:tcW w:w="5328" w:type="dxa"/>
          </w:tcPr>
          <w:p w:rsidR="00825995" w:rsidRPr="00966AFB" w:rsidRDefault="00825995" w:rsidP="00825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Times New Roman" w:hAnsi="Times New Roman" w:cs="Times New Roman"/>
                <w:sz w:val="18"/>
                <w:szCs w:val="18"/>
                <w:lang w:eastAsia="ja-JP"/>
              </w:rPr>
            </w:pPr>
            <w:r w:rsidRPr="00966AFB">
              <w:rPr>
                <w:rFonts w:ascii="Times New Roman" w:hAnsi="Times New Roman" w:cs="Times New Roman"/>
                <w:sz w:val="18"/>
                <w:szCs w:val="18"/>
                <w:lang w:eastAsia="ja-JP"/>
              </w:rPr>
              <w:t>Achievement Gain schools tend to allocate a higher percent of available funding to direct instruction for students, compared to Non-Gain schools</w:t>
            </w:r>
            <w:r w:rsidR="00005816" w:rsidRPr="00966AFB">
              <w:rPr>
                <w:rFonts w:ascii="Times New Roman" w:hAnsi="Times New Roman" w:cs="Times New Roman"/>
                <w:sz w:val="18"/>
                <w:szCs w:val="18"/>
                <w:lang w:eastAsia="ja-JP"/>
              </w:rPr>
              <w:t>.</w:t>
            </w:r>
          </w:p>
        </w:tc>
        <w:tc>
          <w:tcPr>
            <w:tcW w:w="4824" w:type="dxa"/>
            <w:vAlign w:val="center"/>
          </w:tcPr>
          <w:p w:rsidR="00825995" w:rsidRPr="00966AFB" w:rsidRDefault="00825995" w:rsidP="000058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Times New Roman" w:hAnsi="Times New Roman" w:cs="Times New Roman"/>
                <w:sz w:val="18"/>
                <w:szCs w:val="18"/>
                <w:lang w:eastAsia="ja-JP"/>
              </w:rPr>
            </w:pPr>
            <w:r w:rsidRPr="00966AFB">
              <w:rPr>
                <w:rFonts w:ascii="Times New Roman" w:hAnsi="Times New Roman" w:cs="Times New Roman"/>
                <w:sz w:val="18"/>
                <w:szCs w:val="18"/>
                <w:lang w:eastAsia="ja-JP"/>
              </w:rPr>
              <w:t>How can “increased direct instruction for students” be institutionalized and inform budget considerations and policy?</w:t>
            </w:r>
          </w:p>
        </w:tc>
      </w:tr>
      <w:tr w:rsidR="00005816" w:rsidRPr="00966AFB" w:rsidTr="00005816">
        <w:tc>
          <w:tcPr>
            <w:tcW w:w="5328" w:type="dxa"/>
          </w:tcPr>
          <w:p w:rsidR="00825995" w:rsidRPr="00966AFB" w:rsidRDefault="00825995" w:rsidP="00825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Times New Roman" w:hAnsi="Times New Roman" w:cs="Times New Roman"/>
                <w:sz w:val="18"/>
                <w:szCs w:val="18"/>
                <w:lang w:eastAsia="ja-JP"/>
              </w:rPr>
            </w:pPr>
            <w:r w:rsidRPr="00966AFB">
              <w:rPr>
                <w:rFonts w:ascii="Times New Roman" w:hAnsi="Times New Roman" w:cs="Times New Roman"/>
                <w:sz w:val="18"/>
                <w:szCs w:val="18"/>
                <w:lang w:eastAsia="ja-JP"/>
              </w:rPr>
              <w:t>Non-Gain schools tend to allocate a higher percent of available funding to social-emotional issues, compared to Achievement Gain schools.</w:t>
            </w:r>
          </w:p>
        </w:tc>
        <w:tc>
          <w:tcPr>
            <w:tcW w:w="4824" w:type="dxa"/>
            <w:vAlign w:val="center"/>
          </w:tcPr>
          <w:p w:rsidR="00825995" w:rsidRPr="00966AFB" w:rsidRDefault="00E754C2" w:rsidP="000058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Times New Roman" w:hAnsi="Times New Roman" w:cs="Times New Roman"/>
                <w:sz w:val="18"/>
                <w:szCs w:val="18"/>
                <w:lang w:eastAsia="ja-JP"/>
              </w:rPr>
            </w:pPr>
            <w:r w:rsidRPr="00966AFB">
              <w:rPr>
                <w:rFonts w:ascii="Times New Roman" w:hAnsi="Times New Roman" w:cs="Times New Roman"/>
                <w:sz w:val="18"/>
                <w:szCs w:val="18"/>
                <w:lang w:eastAsia="ja-JP"/>
              </w:rPr>
              <w:t>How many years</w:t>
            </w:r>
            <w:r w:rsidR="00005816" w:rsidRPr="00966AFB">
              <w:rPr>
                <w:rFonts w:ascii="Times New Roman" w:hAnsi="Times New Roman" w:cs="Times New Roman"/>
                <w:sz w:val="18"/>
                <w:szCs w:val="18"/>
                <w:lang w:eastAsia="ja-JP"/>
              </w:rPr>
              <w:t xml:space="preserve"> and how much funding is truly needed to fully address social-emotional and climate issues in particular schools?</w:t>
            </w:r>
          </w:p>
        </w:tc>
      </w:tr>
    </w:tbl>
    <w:p w:rsidR="00C36305" w:rsidRPr="00966AFB" w:rsidRDefault="00C36305">
      <w:pPr>
        <w:rPr>
          <w:b/>
          <w:color w:val="365F91" w:themeColor="accent1" w:themeShade="BF"/>
          <w:sz w:val="18"/>
          <w:szCs w:val="18"/>
        </w:rPr>
      </w:pPr>
    </w:p>
    <w:p w:rsidR="00E8506C" w:rsidRDefault="00D873DE" w:rsidP="00EA08BF">
      <w:pPr>
        <w:spacing w:after="160"/>
        <w:rPr>
          <w:b/>
          <w:sz w:val="22"/>
          <w:szCs w:val="22"/>
        </w:rPr>
      </w:pPr>
      <w:r>
        <w:rPr>
          <w:b/>
          <w:color w:val="365F91" w:themeColor="accent1" w:themeShade="BF"/>
          <w:sz w:val="22"/>
          <w:szCs w:val="22"/>
        </w:rPr>
        <w:t>Partners</w:t>
      </w:r>
      <w:r w:rsidR="00EA08BF">
        <w:rPr>
          <w:b/>
          <w:color w:val="365F91" w:themeColor="accent1" w:themeShade="BF"/>
          <w:sz w:val="22"/>
          <w:szCs w:val="22"/>
        </w:rPr>
        <w:t xml:space="preserve"> and Consultant</w:t>
      </w:r>
      <w:r w:rsidR="00EA08BF">
        <w:rPr>
          <w:b/>
          <w:sz w:val="22"/>
          <w:szCs w:val="22"/>
        </w:rPr>
        <w:t xml:space="preserve"> </w:t>
      </w:r>
      <w:r w:rsidR="00EA08BF">
        <w:rPr>
          <w:b/>
          <w:color w:val="365F91" w:themeColor="accent1" w:themeShade="BF"/>
          <w:sz w:val="22"/>
          <w:szCs w:val="22"/>
        </w:rPr>
        <w:t>Analysis</w:t>
      </w:r>
    </w:p>
    <w:tbl>
      <w:tblPr>
        <w:tblpPr w:leftFromText="180" w:rightFromText="180" w:vertAnchor="page" w:horzAnchor="page" w:tblpX="4520" w:tblpY="3785"/>
        <w:tblW w:w="6938" w:type="dxa"/>
        <w:tblBorders>
          <w:bottom w:val="single" w:sz="2" w:space="0" w:color="auto"/>
          <w:insideH w:val="single" w:sz="2" w:space="0" w:color="auto"/>
          <w:insideV w:val="single" w:sz="2" w:space="0" w:color="auto"/>
        </w:tblBorders>
        <w:tblLayout w:type="fixed"/>
        <w:tblLook w:val="0000"/>
      </w:tblPr>
      <w:tblGrid>
        <w:gridCol w:w="3158"/>
        <w:gridCol w:w="1684"/>
        <w:gridCol w:w="1196"/>
        <w:gridCol w:w="900"/>
      </w:tblGrid>
      <w:tr w:rsidR="006A46FB" w:rsidTr="00117E63">
        <w:tc>
          <w:tcPr>
            <w:tcW w:w="6938" w:type="dxa"/>
            <w:gridSpan w:val="4"/>
            <w:tcBorders>
              <w:bottom w:val="single" w:sz="2" w:space="0" w:color="auto"/>
            </w:tcBorders>
            <w:vAlign w:val="bottom"/>
          </w:tcPr>
          <w:p w:rsidR="006A46FB" w:rsidRDefault="00117E63"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eastAsia="ja-JP"/>
              </w:rPr>
            </w:pPr>
            <w:r>
              <w:rPr>
                <w:b/>
                <w:color w:val="1F497D" w:themeColor="text2"/>
                <w:sz w:val="22"/>
                <w:szCs w:val="22"/>
                <w:lang w:eastAsia="ja-JP"/>
              </w:rPr>
              <w:t>Table 6. SR</w:t>
            </w:r>
            <w:r w:rsidR="006A46FB">
              <w:rPr>
                <w:b/>
                <w:color w:val="1F497D" w:themeColor="text2"/>
                <w:sz w:val="22"/>
                <w:szCs w:val="22"/>
                <w:lang w:eastAsia="ja-JP"/>
              </w:rPr>
              <w:t>G funding allocated to Partners and Consultants, 2010-2012</w:t>
            </w:r>
          </w:p>
        </w:tc>
      </w:tr>
      <w:tr w:rsidR="00C11298" w:rsidTr="00117E63">
        <w:tc>
          <w:tcPr>
            <w:tcW w:w="3158" w:type="dxa"/>
            <w:tcBorders>
              <w:top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lang w:eastAsia="ja-JP"/>
              </w:rPr>
            </w:pPr>
          </w:p>
        </w:tc>
        <w:tc>
          <w:tcPr>
            <w:tcW w:w="1684" w:type="dxa"/>
            <w:tcBorders>
              <w:top w:val="single" w:sz="2" w:space="0" w:color="auto"/>
              <w:left w:val="nil"/>
              <w:right w:val="nil"/>
            </w:tcBorders>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i/>
                <w:iCs/>
                <w:sz w:val="20"/>
                <w:lang w:eastAsia="ja-JP"/>
              </w:rPr>
              <w:t>Priority Partners</w:t>
            </w:r>
            <w:r>
              <w:rPr>
                <w:sz w:val="20"/>
                <w:lang w:eastAsia="ja-JP"/>
              </w:rPr>
              <w:t xml:space="preserve"> </w:t>
            </w:r>
            <w:r>
              <w:rPr>
                <w:i/>
                <w:iCs/>
                <w:sz w:val="20"/>
                <w:lang w:eastAsia="ja-JP"/>
              </w:rPr>
              <w:t>for Turnaround</w:t>
            </w:r>
          </w:p>
        </w:tc>
        <w:tc>
          <w:tcPr>
            <w:tcW w:w="1196" w:type="dxa"/>
            <w:tcBorders>
              <w:top w:val="single" w:sz="2" w:space="0" w:color="auto"/>
              <w:left w:val="nil"/>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Total Amount</w:t>
            </w:r>
          </w:p>
        </w:tc>
        <w:tc>
          <w:tcPr>
            <w:tcW w:w="900" w:type="dxa"/>
            <w:tcBorders>
              <w:top w:val="single" w:sz="2" w:space="0" w:color="auto"/>
              <w:left w:val="nil"/>
            </w:tcBorders>
            <w:vAlign w:val="bottom"/>
          </w:tcPr>
          <w:p w:rsidR="00C11298" w:rsidRDefault="006A46FB"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 of Schools</w:t>
            </w:r>
          </w:p>
        </w:tc>
      </w:tr>
      <w:tr w:rsidR="00C11298" w:rsidTr="00117E63">
        <w:tc>
          <w:tcPr>
            <w:tcW w:w="3158" w:type="dxa"/>
            <w:tcBorders>
              <w:top w:val="single" w:sz="2" w:space="0" w:color="auto"/>
              <w:right w:val="nil"/>
            </w:tcBorders>
            <w:shd w:val="clear" w:color="auto" w:fill="F2F2F2" w:themeFill="background1" w:themeFillShade="F2"/>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eastAsia="ja-JP"/>
              </w:rPr>
            </w:pPr>
            <w:r>
              <w:rPr>
                <w:sz w:val="20"/>
                <w:lang w:eastAsia="ja-JP"/>
              </w:rPr>
              <w:t>Total SIG funds Allocated to all External Partners and Consultants</w:t>
            </w:r>
          </w:p>
        </w:tc>
        <w:tc>
          <w:tcPr>
            <w:tcW w:w="1684" w:type="dxa"/>
            <w:tcBorders>
              <w:top w:val="single" w:sz="2" w:space="0" w:color="auto"/>
              <w:left w:val="nil"/>
              <w:right w:val="nil"/>
            </w:tcBorders>
            <w:shd w:val="clear" w:color="auto" w:fill="F2F2F2" w:themeFill="background1" w:themeFillShade="F2"/>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eastAsia="ja-JP"/>
              </w:rPr>
            </w:pPr>
          </w:p>
        </w:tc>
        <w:tc>
          <w:tcPr>
            <w:tcW w:w="1196" w:type="dxa"/>
            <w:tcBorders>
              <w:top w:val="single" w:sz="2" w:space="0" w:color="auto"/>
              <w:left w:val="nil"/>
              <w:right w:val="nil"/>
            </w:tcBorders>
            <w:shd w:val="clear" w:color="auto" w:fill="F2F2F2" w:themeFill="background1" w:themeFillShade="F2"/>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$3,261,305</w:t>
            </w:r>
          </w:p>
        </w:tc>
        <w:tc>
          <w:tcPr>
            <w:tcW w:w="900" w:type="dxa"/>
            <w:tcBorders>
              <w:top w:val="single" w:sz="2" w:space="0" w:color="auto"/>
              <w:left w:val="nil"/>
            </w:tcBorders>
            <w:shd w:val="clear" w:color="auto" w:fill="F2F2F2" w:themeFill="background1" w:themeFillShade="F2"/>
            <w:vAlign w:val="center"/>
          </w:tcPr>
          <w:p w:rsidR="00C11298" w:rsidRDefault="009D77D7"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30</w:t>
            </w:r>
          </w:p>
        </w:tc>
      </w:tr>
      <w:tr w:rsidR="00C11298" w:rsidTr="00117E63">
        <w:tc>
          <w:tcPr>
            <w:tcW w:w="3158" w:type="dxa"/>
            <w:tcBorders>
              <w:top w:val="single" w:sz="2" w:space="0" w:color="auto"/>
              <w:bottom w:val="thinThickLargeGap" w:sz="24" w:space="0" w:color="auto"/>
              <w:right w:val="nil"/>
            </w:tcBorders>
            <w:shd w:val="clear" w:color="auto" w:fill="F2F2F2" w:themeFill="background1" w:themeFillShade="F2"/>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eastAsia="ja-JP"/>
              </w:rPr>
            </w:pPr>
            <w:r>
              <w:rPr>
                <w:sz w:val="20"/>
                <w:lang w:eastAsia="ja-JP"/>
              </w:rPr>
              <w:t xml:space="preserve">Total SIG funds Allocated to all </w:t>
            </w:r>
            <w:r>
              <w:rPr>
                <w:i/>
                <w:iCs/>
                <w:sz w:val="20"/>
                <w:lang w:eastAsia="ja-JP"/>
              </w:rPr>
              <w:t xml:space="preserve">Priority Partners </w:t>
            </w:r>
            <w:r w:rsidRPr="00BC720B">
              <w:rPr>
                <w:i/>
                <w:sz w:val="20"/>
                <w:lang w:eastAsia="ja-JP"/>
              </w:rPr>
              <w:t>for Turnaround</w:t>
            </w:r>
          </w:p>
        </w:tc>
        <w:tc>
          <w:tcPr>
            <w:tcW w:w="1684" w:type="dxa"/>
            <w:tcBorders>
              <w:top w:val="single" w:sz="2" w:space="0" w:color="auto"/>
              <w:left w:val="nil"/>
              <w:bottom w:val="thinThickLargeGap" w:sz="24" w:space="0" w:color="auto"/>
              <w:right w:val="nil"/>
            </w:tcBorders>
            <w:shd w:val="clear" w:color="auto" w:fill="F2F2F2" w:themeFill="background1" w:themeFillShade="F2"/>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 xml:space="preserve"> </w:t>
            </w:r>
          </w:p>
        </w:tc>
        <w:tc>
          <w:tcPr>
            <w:tcW w:w="1196" w:type="dxa"/>
            <w:tcBorders>
              <w:top w:val="single" w:sz="2" w:space="0" w:color="auto"/>
              <w:left w:val="nil"/>
              <w:bottom w:val="thinThickLargeGap" w:sz="24" w:space="0" w:color="auto"/>
              <w:right w:val="nil"/>
            </w:tcBorders>
            <w:shd w:val="clear" w:color="auto" w:fill="F2F2F2" w:themeFill="background1" w:themeFillShade="F2"/>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$1,640,380</w:t>
            </w:r>
          </w:p>
        </w:tc>
        <w:tc>
          <w:tcPr>
            <w:tcW w:w="900" w:type="dxa"/>
            <w:tcBorders>
              <w:top w:val="single" w:sz="2" w:space="0" w:color="auto"/>
              <w:left w:val="nil"/>
              <w:bottom w:val="thinThickLargeGap" w:sz="24" w:space="0" w:color="auto"/>
            </w:tcBorders>
            <w:shd w:val="clear" w:color="auto" w:fill="F2F2F2" w:themeFill="background1" w:themeFillShade="F2"/>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p>
        </w:tc>
      </w:tr>
      <w:tr w:rsidR="00C11298" w:rsidTr="00117E63">
        <w:tc>
          <w:tcPr>
            <w:tcW w:w="3158" w:type="dxa"/>
            <w:tcBorders>
              <w:top w:val="thinThickLargeGap" w:sz="24"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City Connects</w:t>
            </w:r>
          </w:p>
        </w:tc>
        <w:tc>
          <w:tcPr>
            <w:tcW w:w="1684" w:type="dxa"/>
            <w:tcBorders>
              <w:top w:val="thinThickLargeGap" w:sz="24" w:space="0" w:color="auto"/>
              <w:left w:val="nil"/>
              <w:bottom w:val="single" w:sz="2" w:space="0" w:color="auto"/>
              <w:right w:val="nil"/>
            </w:tcBorders>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Yes</w:t>
            </w:r>
          </w:p>
        </w:tc>
        <w:tc>
          <w:tcPr>
            <w:tcW w:w="1196" w:type="dxa"/>
            <w:tcBorders>
              <w:top w:val="thinThickLargeGap" w:sz="24"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$483,000</w:t>
            </w:r>
          </w:p>
        </w:tc>
        <w:tc>
          <w:tcPr>
            <w:tcW w:w="900" w:type="dxa"/>
            <w:tcBorders>
              <w:top w:val="thinThickLargeGap" w:sz="24"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6</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The Achievement Network</w:t>
            </w:r>
          </w:p>
        </w:tc>
        <w:tc>
          <w:tcPr>
            <w:tcW w:w="1684" w:type="dxa"/>
            <w:tcBorders>
              <w:top w:val="single" w:sz="2" w:space="0" w:color="auto"/>
              <w:left w:val="nil"/>
              <w:bottom w:val="single" w:sz="2" w:space="0" w:color="auto"/>
              <w:right w:val="nil"/>
            </w:tcBorders>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Yes</w:t>
            </w: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$389,630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15</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City Year</w:t>
            </w:r>
          </w:p>
        </w:tc>
        <w:tc>
          <w:tcPr>
            <w:tcW w:w="1684" w:type="dxa"/>
            <w:tcBorders>
              <w:top w:val="single" w:sz="2" w:space="0" w:color="auto"/>
              <w:left w:val="nil"/>
              <w:bottom w:val="single" w:sz="2" w:space="0" w:color="auto"/>
              <w:right w:val="nil"/>
            </w:tcBorders>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Yes</w:t>
            </w: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$380,000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3</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Citizen Schools</w:t>
            </w:r>
          </w:p>
        </w:tc>
        <w:tc>
          <w:tcPr>
            <w:tcW w:w="1684" w:type="dxa"/>
            <w:tcBorders>
              <w:top w:val="single" w:sz="2" w:space="0" w:color="auto"/>
              <w:left w:val="nil"/>
              <w:bottom w:val="single" w:sz="2" w:space="0" w:color="auto"/>
              <w:right w:val="nil"/>
            </w:tcBorders>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Yes</w:t>
            </w: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$160,000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Unlocking Potential</w:t>
            </w:r>
          </w:p>
        </w:tc>
        <w:tc>
          <w:tcPr>
            <w:tcW w:w="1684" w:type="dxa"/>
            <w:tcBorders>
              <w:top w:val="single" w:sz="2" w:space="0" w:color="auto"/>
              <w:left w:val="nil"/>
              <w:bottom w:val="single" w:sz="2" w:space="0" w:color="auto"/>
              <w:right w:val="nil"/>
            </w:tcBorders>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$125,000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Talent Development</w:t>
            </w:r>
          </w:p>
        </w:tc>
        <w:tc>
          <w:tcPr>
            <w:tcW w:w="1684" w:type="dxa"/>
            <w:tcBorders>
              <w:top w:val="single" w:sz="2" w:space="0" w:color="auto"/>
              <w:left w:val="nil"/>
              <w:bottom w:val="single" w:sz="2" w:space="0" w:color="auto"/>
              <w:right w:val="nil"/>
            </w:tcBorders>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$100,571</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NIPD Behavioral Specialists</w:t>
            </w:r>
          </w:p>
        </w:tc>
        <w:tc>
          <w:tcPr>
            <w:tcW w:w="1684" w:type="dxa"/>
            <w:tcBorders>
              <w:top w:val="single" w:sz="2" w:space="0" w:color="auto"/>
              <w:left w:val="nil"/>
              <w:bottom w:val="single" w:sz="2" w:space="0" w:color="auto"/>
              <w:right w:val="nil"/>
            </w:tcBorders>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$100,000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Hyde Park</w:t>
            </w:r>
          </w:p>
        </w:tc>
        <w:tc>
          <w:tcPr>
            <w:tcW w:w="1684" w:type="dxa"/>
            <w:tcBorders>
              <w:top w:val="single" w:sz="2" w:space="0" w:color="auto"/>
              <w:left w:val="nil"/>
              <w:bottom w:val="single" w:sz="2" w:space="0" w:color="auto"/>
              <w:right w:val="nil"/>
            </w:tcBorders>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$100,000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w:t>
            </w:r>
          </w:p>
        </w:tc>
      </w:tr>
      <w:tr w:rsidR="00C11298" w:rsidTr="00117E63">
        <w:trPr>
          <w:trHeight w:val="251"/>
        </w:trPr>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BELL</w:t>
            </w:r>
          </w:p>
        </w:tc>
        <w:tc>
          <w:tcPr>
            <w:tcW w:w="1684" w:type="dxa"/>
            <w:tcBorders>
              <w:top w:val="single" w:sz="2" w:space="0" w:color="auto"/>
              <w:left w:val="nil"/>
              <w:bottom w:val="single" w:sz="2" w:space="0" w:color="auto"/>
              <w:right w:val="nil"/>
            </w:tcBorders>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Yes</w:t>
            </w: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$94,000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proofErr w:type="spellStart"/>
            <w:r>
              <w:rPr>
                <w:sz w:val="20"/>
                <w:lang w:eastAsia="ja-JP"/>
              </w:rPr>
              <w:t>Playworks</w:t>
            </w:r>
            <w:proofErr w:type="spellEnd"/>
          </w:p>
        </w:tc>
        <w:tc>
          <w:tcPr>
            <w:tcW w:w="1684" w:type="dxa"/>
            <w:tcBorders>
              <w:top w:val="single" w:sz="2" w:space="0" w:color="auto"/>
              <w:left w:val="nil"/>
              <w:bottom w:val="single" w:sz="2" w:space="0" w:color="auto"/>
              <w:right w:val="nil"/>
            </w:tcBorders>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$70,000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3</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Boston Medical</w:t>
            </w:r>
          </w:p>
        </w:tc>
        <w:tc>
          <w:tcPr>
            <w:tcW w:w="1684" w:type="dxa"/>
            <w:tcBorders>
              <w:top w:val="single" w:sz="2" w:space="0" w:color="auto"/>
              <w:left w:val="nil"/>
              <w:bottom w:val="single" w:sz="2" w:space="0" w:color="auto"/>
              <w:right w:val="nil"/>
            </w:tcBorders>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$54,000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Center for Collaborative Education</w:t>
            </w:r>
          </w:p>
        </w:tc>
        <w:tc>
          <w:tcPr>
            <w:tcW w:w="1684" w:type="dxa"/>
            <w:tcBorders>
              <w:top w:val="single" w:sz="2" w:space="0" w:color="auto"/>
              <w:left w:val="nil"/>
              <w:bottom w:val="single" w:sz="2" w:space="0" w:color="auto"/>
              <w:right w:val="nil"/>
            </w:tcBorders>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Yes</w:t>
            </w: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$48,750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2</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 xml:space="preserve">Lesley University, Center for Reading Recovery and Literacy Collaborative </w:t>
            </w:r>
          </w:p>
        </w:tc>
        <w:tc>
          <w:tcPr>
            <w:tcW w:w="1684" w:type="dxa"/>
            <w:tcBorders>
              <w:top w:val="single" w:sz="2" w:space="0" w:color="auto"/>
              <w:left w:val="nil"/>
              <w:bottom w:val="single" w:sz="2" w:space="0" w:color="auto"/>
              <w:right w:val="nil"/>
            </w:tcBorders>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Yes</w:t>
            </w: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$45,000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2</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 xml:space="preserve">National Center for Time and Learning/ Mass2020 </w:t>
            </w:r>
          </w:p>
        </w:tc>
        <w:tc>
          <w:tcPr>
            <w:tcW w:w="1684" w:type="dxa"/>
            <w:tcBorders>
              <w:top w:val="single" w:sz="2" w:space="0" w:color="auto"/>
              <w:left w:val="nil"/>
              <w:bottom w:val="single" w:sz="2" w:space="0" w:color="auto"/>
              <w:right w:val="nil"/>
            </w:tcBorders>
            <w:vAlign w:val="center"/>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Yes</w:t>
            </w: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$40,000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2</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Responsive Classroom</w:t>
            </w:r>
          </w:p>
        </w:tc>
        <w:tc>
          <w:tcPr>
            <w:tcW w:w="1684" w:type="dxa"/>
            <w:tcBorders>
              <w:top w:val="single" w:sz="2" w:space="0" w:color="auto"/>
              <w:left w:val="nil"/>
              <w:bottom w:val="single" w:sz="2" w:space="0" w:color="auto"/>
              <w:right w:val="nil"/>
            </w:tcBorders>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eastAsia="ja-JP"/>
              </w:rPr>
            </w:pP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$31,150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2</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The Writers’ Express</w:t>
            </w:r>
          </w:p>
        </w:tc>
        <w:tc>
          <w:tcPr>
            <w:tcW w:w="1684" w:type="dxa"/>
            <w:tcBorders>
              <w:top w:val="single" w:sz="2" w:space="0" w:color="auto"/>
              <w:left w:val="nil"/>
              <w:bottom w:val="single" w:sz="2" w:space="0" w:color="auto"/>
              <w:right w:val="nil"/>
            </w:tcBorders>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eastAsia="ja-JP"/>
              </w:rPr>
            </w:pP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$30,000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May Institute</w:t>
            </w:r>
          </w:p>
        </w:tc>
        <w:tc>
          <w:tcPr>
            <w:tcW w:w="1684" w:type="dxa"/>
            <w:tcBorders>
              <w:top w:val="single" w:sz="2" w:space="0" w:color="auto"/>
              <w:left w:val="nil"/>
              <w:bottom w:val="single" w:sz="2" w:space="0" w:color="auto"/>
              <w:right w:val="nil"/>
            </w:tcBorders>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eastAsia="ja-JP"/>
              </w:rPr>
            </w:pP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$23,000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2</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Generations Incorporated</w:t>
            </w:r>
          </w:p>
        </w:tc>
        <w:tc>
          <w:tcPr>
            <w:tcW w:w="1684" w:type="dxa"/>
            <w:tcBorders>
              <w:top w:val="single" w:sz="2" w:space="0" w:color="auto"/>
              <w:left w:val="nil"/>
              <w:bottom w:val="single" w:sz="2" w:space="0" w:color="auto"/>
              <w:right w:val="nil"/>
            </w:tcBorders>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eastAsia="ja-JP"/>
              </w:rPr>
            </w:pP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$20,000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2</w:t>
            </w:r>
          </w:p>
        </w:tc>
      </w:tr>
      <w:tr w:rsidR="00C11298" w:rsidTr="00117E63">
        <w:tc>
          <w:tcPr>
            <w:tcW w:w="3158" w:type="dxa"/>
            <w:tcBorders>
              <w:top w:val="single" w:sz="2" w:space="0" w:color="auto"/>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Boston Arts Academy</w:t>
            </w:r>
          </w:p>
        </w:tc>
        <w:tc>
          <w:tcPr>
            <w:tcW w:w="1684" w:type="dxa"/>
            <w:tcBorders>
              <w:top w:val="single" w:sz="2" w:space="0" w:color="auto"/>
              <w:left w:val="nil"/>
              <w:bottom w:val="single" w:sz="2" w:space="0" w:color="auto"/>
              <w:right w:val="nil"/>
            </w:tcBorders>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eastAsia="ja-JP"/>
              </w:rPr>
            </w:pPr>
          </w:p>
        </w:tc>
        <w:tc>
          <w:tcPr>
            <w:tcW w:w="1196" w:type="dxa"/>
            <w:tcBorders>
              <w:top w:val="single" w:sz="2" w:space="0" w:color="auto"/>
              <w:left w:val="nil"/>
              <w:bottom w:val="single" w:sz="2"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$20,000</w:t>
            </w:r>
          </w:p>
        </w:tc>
        <w:tc>
          <w:tcPr>
            <w:tcW w:w="900" w:type="dxa"/>
            <w:tcBorders>
              <w:top w:val="single" w:sz="2" w:space="0" w:color="auto"/>
              <w:left w:val="nil"/>
              <w:bottom w:val="single" w:sz="2"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w:t>
            </w:r>
          </w:p>
        </w:tc>
      </w:tr>
      <w:tr w:rsidR="00C11298" w:rsidTr="00117E63">
        <w:tc>
          <w:tcPr>
            <w:tcW w:w="3158" w:type="dxa"/>
            <w:tcBorders>
              <w:top w:val="single" w:sz="2" w:space="0" w:color="auto"/>
              <w:bottom w:val="thinThickLargeGap" w:sz="24"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eastAsia="ja-JP"/>
              </w:rPr>
            </w:pPr>
            <w:r>
              <w:rPr>
                <w:sz w:val="20"/>
                <w:lang w:eastAsia="ja-JP"/>
              </w:rPr>
              <w:t>Professional Learning Communities</w:t>
            </w:r>
          </w:p>
        </w:tc>
        <w:tc>
          <w:tcPr>
            <w:tcW w:w="1684" w:type="dxa"/>
            <w:tcBorders>
              <w:top w:val="single" w:sz="2" w:space="0" w:color="auto"/>
              <w:left w:val="nil"/>
              <w:bottom w:val="thinThickLargeGap" w:sz="24" w:space="0" w:color="auto"/>
              <w:right w:val="nil"/>
            </w:tcBorders>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eastAsia="ja-JP"/>
              </w:rPr>
            </w:pPr>
          </w:p>
        </w:tc>
        <w:tc>
          <w:tcPr>
            <w:tcW w:w="1196" w:type="dxa"/>
            <w:tcBorders>
              <w:top w:val="single" w:sz="2" w:space="0" w:color="auto"/>
              <w:left w:val="nil"/>
              <w:bottom w:val="thinThickLargeGap" w:sz="24" w:space="0" w:color="auto"/>
              <w:right w:val="nil"/>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$16,000</w:t>
            </w:r>
          </w:p>
        </w:tc>
        <w:tc>
          <w:tcPr>
            <w:tcW w:w="900" w:type="dxa"/>
            <w:tcBorders>
              <w:top w:val="single" w:sz="2" w:space="0" w:color="auto"/>
              <w:left w:val="nil"/>
              <w:bottom w:val="thinThickLargeGap" w:sz="24" w:space="0" w:color="auto"/>
            </w:tcBorders>
            <w:vAlign w:val="bottom"/>
          </w:tcPr>
          <w:p w:rsidR="00C11298" w:rsidRDefault="00C11298"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eastAsia="ja-JP"/>
              </w:rPr>
            </w:pPr>
            <w:r>
              <w:rPr>
                <w:sz w:val="20"/>
                <w:lang w:eastAsia="ja-JP"/>
              </w:rPr>
              <w:t>1</w:t>
            </w:r>
          </w:p>
        </w:tc>
      </w:tr>
      <w:tr w:rsidR="006A46FB" w:rsidTr="00117E63">
        <w:tc>
          <w:tcPr>
            <w:tcW w:w="3158" w:type="dxa"/>
            <w:tcBorders>
              <w:top w:val="thinThickLargeGap" w:sz="24" w:space="0" w:color="auto"/>
              <w:right w:val="nil"/>
            </w:tcBorders>
            <w:vAlign w:val="bottom"/>
          </w:tcPr>
          <w:p w:rsidR="006A46FB" w:rsidRPr="006A46FB" w:rsidRDefault="006A46FB"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imes New Roman"/>
                <w:color w:val="000000"/>
                <w:sz w:val="20"/>
              </w:rPr>
            </w:pPr>
            <w:r w:rsidRPr="00006E0F">
              <w:rPr>
                <w:rFonts w:eastAsia="Times New Roman"/>
                <w:color w:val="000000"/>
                <w:sz w:val="20"/>
              </w:rPr>
              <w:t>Misc</w:t>
            </w:r>
            <w:r>
              <w:rPr>
                <w:rFonts w:eastAsia="Times New Roman"/>
                <w:color w:val="000000"/>
                <w:sz w:val="20"/>
              </w:rPr>
              <w:t>ellaneous</w:t>
            </w:r>
            <w:r w:rsidRPr="00006E0F">
              <w:rPr>
                <w:rFonts w:eastAsia="Times New Roman"/>
                <w:color w:val="000000"/>
                <w:sz w:val="20"/>
              </w:rPr>
              <w:t xml:space="preserve"> Consultants</w:t>
            </w:r>
          </w:p>
        </w:tc>
        <w:tc>
          <w:tcPr>
            <w:tcW w:w="1684" w:type="dxa"/>
            <w:tcBorders>
              <w:top w:val="thinThickLargeGap" w:sz="24" w:space="0" w:color="auto"/>
              <w:left w:val="nil"/>
              <w:right w:val="nil"/>
            </w:tcBorders>
          </w:tcPr>
          <w:p w:rsidR="006A46FB" w:rsidRDefault="006A46FB"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eastAsia="ja-JP"/>
              </w:rPr>
            </w:pPr>
          </w:p>
        </w:tc>
        <w:tc>
          <w:tcPr>
            <w:tcW w:w="1196" w:type="dxa"/>
            <w:tcBorders>
              <w:top w:val="thinThickLargeGap" w:sz="24" w:space="0" w:color="auto"/>
              <w:left w:val="nil"/>
              <w:right w:val="nil"/>
            </w:tcBorders>
            <w:vAlign w:val="bottom"/>
          </w:tcPr>
          <w:p w:rsidR="006A46FB" w:rsidRDefault="006A46FB"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lang w:eastAsia="ja-JP"/>
              </w:rPr>
            </w:pPr>
            <w:r>
              <w:rPr>
                <w:rFonts w:eastAsia="Times New Roman"/>
                <w:color w:val="000000"/>
                <w:sz w:val="20"/>
              </w:rPr>
              <w:t>$642,4</w:t>
            </w:r>
            <w:r w:rsidRPr="00006E0F">
              <w:rPr>
                <w:rFonts w:eastAsia="Times New Roman"/>
                <w:color w:val="000000"/>
                <w:sz w:val="20"/>
              </w:rPr>
              <w:t>78</w:t>
            </w:r>
          </w:p>
        </w:tc>
        <w:tc>
          <w:tcPr>
            <w:tcW w:w="900" w:type="dxa"/>
            <w:tcBorders>
              <w:top w:val="thinThickLargeGap" w:sz="24" w:space="0" w:color="auto"/>
              <w:left w:val="nil"/>
            </w:tcBorders>
            <w:vAlign w:val="bottom"/>
          </w:tcPr>
          <w:p w:rsidR="006A46FB" w:rsidRDefault="006A46FB"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lang w:eastAsia="ja-JP"/>
              </w:rPr>
            </w:pPr>
            <w:r w:rsidRPr="00006E0F">
              <w:rPr>
                <w:rFonts w:eastAsia="Times New Roman"/>
                <w:color w:val="000000"/>
                <w:sz w:val="20"/>
              </w:rPr>
              <w:t>1</w:t>
            </w:r>
            <w:r>
              <w:rPr>
                <w:rFonts w:eastAsia="Times New Roman"/>
                <w:color w:val="000000"/>
                <w:sz w:val="20"/>
              </w:rPr>
              <w:t>6</w:t>
            </w:r>
          </w:p>
        </w:tc>
      </w:tr>
      <w:tr w:rsidR="006A46FB" w:rsidTr="00117E63">
        <w:tc>
          <w:tcPr>
            <w:tcW w:w="3158" w:type="dxa"/>
            <w:tcBorders>
              <w:top w:val="single" w:sz="2" w:space="0" w:color="auto"/>
              <w:right w:val="nil"/>
            </w:tcBorders>
            <w:vAlign w:val="bottom"/>
          </w:tcPr>
          <w:p w:rsidR="006A46FB" w:rsidRDefault="006A46FB"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0"/>
                <w:lang w:eastAsia="ja-JP"/>
              </w:rPr>
            </w:pPr>
            <w:r w:rsidRPr="00006E0F">
              <w:rPr>
                <w:rFonts w:eastAsia="Times New Roman"/>
                <w:color w:val="000000"/>
                <w:sz w:val="20"/>
              </w:rPr>
              <w:t>Int</w:t>
            </w:r>
            <w:r>
              <w:rPr>
                <w:rFonts w:eastAsia="Times New Roman"/>
                <w:color w:val="000000"/>
                <w:sz w:val="20"/>
              </w:rPr>
              <w:t>erventionists (unspecified)</w:t>
            </w:r>
          </w:p>
        </w:tc>
        <w:tc>
          <w:tcPr>
            <w:tcW w:w="1684" w:type="dxa"/>
            <w:tcBorders>
              <w:top w:val="single" w:sz="2" w:space="0" w:color="auto"/>
              <w:left w:val="nil"/>
              <w:right w:val="nil"/>
            </w:tcBorders>
          </w:tcPr>
          <w:p w:rsidR="006A46FB" w:rsidRDefault="006A46FB"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eastAsia="ja-JP"/>
              </w:rPr>
            </w:pPr>
          </w:p>
        </w:tc>
        <w:tc>
          <w:tcPr>
            <w:tcW w:w="1196" w:type="dxa"/>
            <w:tcBorders>
              <w:top w:val="single" w:sz="2" w:space="0" w:color="auto"/>
              <w:left w:val="nil"/>
              <w:right w:val="nil"/>
            </w:tcBorders>
            <w:vAlign w:val="bottom"/>
          </w:tcPr>
          <w:p w:rsidR="006A46FB" w:rsidRDefault="006A46FB"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lang w:eastAsia="ja-JP"/>
              </w:rPr>
            </w:pPr>
            <w:r w:rsidRPr="00006E0F">
              <w:rPr>
                <w:rFonts w:eastAsia="Times New Roman"/>
                <w:color w:val="000000"/>
                <w:sz w:val="20"/>
              </w:rPr>
              <w:t>$243,726</w:t>
            </w:r>
          </w:p>
        </w:tc>
        <w:tc>
          <w:tcPr>
            <w:tcW w:w="900" w:type="dxa"/>
            <w:tcBorders>
              <w:top w:val="single" w:sz="2" w:space="0" w:color="auto"/>
              <w:left w:val="nil"/>
            </w:tcBorders>
            <w:vAlign w:val="bottom"/>
          </w:tcPr>
          <w:p w:rsidR="006A46FB" w:rsidRDefault="006A46FB"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lang w:eastAsia="ja-JP"/>
              </w:rPr>
            </w:pPr>
            <w:r w:rsidRPr="00006E0F">
              <w:rPr>
                <w:rFonts w:eastAsia="Times New Roman"/>
                <w:color w:val="000000"/>
                <w:sz w:val="20"/>
              </w:rPr>
              <w:t>7</w:t>
            </w:r>
          </w:p>
        </w:tc>
      </w:tr>
      <w:tr w:rsidR="006A46FB" w:rsidTr="00117E63">
        <w:tc>
          <w:tcPr>
            <w:tcW w:w="3158" w:type="dxa"/>
            <w:tcBorders>
              <w:top w:val="single" w:sz="2" w:space="0" w:color="auto"/>
              <w:right w:val="nil"/>
            </w:tcBorders>
            <w:vAlign w:val="bottom"/>
          </w:tcPr>
          <w:p w:rsidR="006A46FB" w:rsidRDefault="006A46FB"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0"/>
                <w:lang w:eastAsia="ja-JP"/>
              </w:rPr>
            </w:pPr>
            <w:r w:rsidRPr="00006E0F">
              <w:rPr>
                <w:rFonts w:eastAsia="Times New Roman"/>
                <w:color w:val="000000"/>
                <w:sz w:val="20"/>
              </w:rPr>
              <w:t>Counseling</w:t>
            </w:r>
            <w:r>
              <w:rPr>
                <w:rFonts w:eastAsia="Times New Roman"/>
                <w:color w:val="000000"/>
                <w:sz w:val="20"/>
              </w:rPr>
              <w:t xml:space="preserve"> (unspecified)</w:t>
            </w:r>
          </w:p>
        </w:tc>
        <w:tc>
          <w:tcPr>
            <w:tcW w:w="1684" w:type="dxa"/>
            <w:tcBorders>
              <w:top w:val="single" w:sz="2" w:space="0" w:color="auto"/>
              <w:left w:val="nil"/>
              <w:right w:val="nil"/>
            </w:tcBorders>
          </w:tcPr>
          <w:p w:rsidR="006A46FB" w:rsidRDefault="006A46FB"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eastAsia="ja-JP"/>
              </w:rPr>
            </w:pPr>
          </w:p>
        </w:tc>
        <w:tc>
          <w:tcPr>
            <w:tcW w:w="1196" w:type="dxa"/>
            <w:tcBorders>
              <w:top w:val="single" w:sz="2" w:space="0" w:color="auto"/>
              <w:left w:val="nil"/>
              <w:right w:val="nil"/>
            </w:tcBorders>
            <w:vAlign w:val="bottom"/>
          </w:tcPr>
          <w:p w:rsidR="006A46FB" w:rsidRDefault="006A46FB"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lang w:eastAsia="ja-JP"/>
              </w:rPr>
            </w:pPr>
            <w:r w:rsidRPr="00006E0F">
              <w:rPr>
                <w:rFonts w:eastAsia="Times New Roman"/>
                <w:color w:val="000000"/>
                <w:sz w:val="20"/>
              </w:rPr>
              <w:t>$45,000</w:t>
            </w:r>
          </w:p>
        </w:tc>
        <w:tc>
          <w:tcPr>
            <w:tcW w:w="900" w:type="dxa"/>
            <w:tcBorders>
              <w:top w:val="single" w:sz="2" w:space="0" w:color="auto"/>
              <w:left w:val="nil"/>
            </w:tcBorders>
            <w:vAlign w:val="bottom"/>
          </w:tcPr>
          <w:p w:rsidR="006A46FB" w:rsidRDefault="006A46FB" w:rsidP="0011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lang w:eastAsia="ja-JP"/>
              </w:rPr>
            </w:pPr>
            <w:r w:rsidRPr="00006E0F">
              <w:rPr>
                <w:rFonts w:eastAsia="Times New Roman"/>
                <w:color w:val="000000"/>
                <w:sz w:val="20"/>
              </w:rPr>
              <w:t>1</w:t>
            </w:r>
          </w:p>
        </w:tc>
      </w:tr>
    </w:tbl>
    <w:p w:rsidR="00EA08BF" w:rsidRDefault="00EA08BF" w:rsidP="007845ED">
      <w:pPr>
        <w:spacing w:after="160" w:line="288" w:lineRule="auto"/>
        <w:rPr>
          <w:sz w:val="22"/>
          <w:szCs w:val="22"/>
        </w:rPr>
      </w:pPr>
      <w:r>
        <w:rPr>
          <w:sz w:val="22"/>
          <w:szCs w:val="22"/>
        </w:rPr>
        <w:t>The use of high-quality educational providers, lead partners, and educational consultants is a central compon</w:t>
      </w:r>
      <w:r w:rsidR="00AB2DC4">
        <w:rPr>
          <w:sz w:val="22"/>
          <w:szCs w:val="22"/>
        </w:rPr>
        <w:t>ent of the federal SIG program. Schools using the Restart model are required to partner with an Externa</w:t>
      </w:r>
      <w:r w:rsidR="009D77D7">
        <w:rPr>
          <w:sz w:val="22"/>
          <w:szCs w:val="22"/>
        </w:rPr>
        <w:t>l Management Organizations (EMO</w:t>
      </w:r>
      <w:r w:rsidR="00AB2DC4">
        <w:rPr>
          <w:sz w:val="22"/>
          <w:szCs w:val="22"/>
        </w:rPr>
        <w:t>) and schools using the Turnaround or Transformation models are encouraged to partner with external experts and consultants for professional development</w:t>
      </w:r>
      <w:r w:rsidR="00A15753">
        <w:rPr>
          <w:sz w:val="22"/>
          <w:szCs w:val="22"/>
        </w:rPr>
        <w:t xml:space="preserve"> a</w:t>
      </w:r>
      <w:r w:rsidR="009D77D7">
        <w:rPr>
          <w:sz w:val="22"/>
          <w:szCs w:val="22"/>
        </w:rPr>
        <w:t>nd direct services (e.g., after-</w:t>
      </w:r>
      <w:r w:rsidR="00A15753">
        <w:rPr>
          <w:sz w:val="22"/>
          <w:szCs w:val="22"/>
        </w:rPr>
        <w:t>school programming, tutoring, mentoring)</w:t>
      </w:r>
      <w:r w:rsidR="00AB2DC4">
        <w:rPr>
          <w:sz w:val="22"/>
          <w:szCs w:val="22"/>
        </w:rPr>
        <w:t xml:space="preserve">, aligned with the school’s priority areas for improvement. </w:t>
      </w:r>
      <w:r>
        <w:rPr>
          <w:sz w:val="22"/>
          <w:szCs w:val="22"/>
        </w:rPr>
        <w:t xml:space="preserve">Massachusetts </w:t>
      </w:r>
      <w:r w:rsidR="00AB2DC4">
        <w:rPr>
          <w:sz w:val="22"/>
          <w:szCs w:val="22"/>
        </w:rPr>
        <w:t xml:space="preserve">has taken a proactive approach to building the state’s pipeline of providers with the capacity to provide </w:t>
      </w:r>
      <w:r w:rsidR="00A15753">
        <w:rPr>
          <w:sz w:val="22"/>
          <w:szCs w:val="22"/>
        </w:rPr>
        <w:t>services</w:t>
      </w:r>
      <w:r w:rsidR="00AB2DC4">
        <w:rPr>
          <w:sz w:val="22"/>
          <w:szCs w:val="22"/>
        </w:rPr>
        <w:t xml:space="preserve"> and specializ</w:t>
      </w:r>
      <w:r w:rsidR="00AA5D63">
        <w:rPr>
          <w:sz w:val="22"/>
          <w:szCs w:val="22"/>
        </w:rPr>
        <w:t>ed expertise to Level 4 schools,</w:t>
      </w:r>
      <w:r w:rsidR="00AB2DC4">
        <w:rPr>
          <w:sz w:val="22"/>
          <w:szCs w:val="22"/>
        </w:rPr>
        <w:t xml:space="preserve"> </w:t>
      </w:r>
      <w:r w:rsidR="00A15753">
        <w:rPr>
          <w:sz w:val="22"/>
          <w:szCs w:val="22"/>
        </w:rPr>
        <w:t xml:space="preserve">by vetting and </w:t>
      </w:r>
      <w:r w:rsidR="00D53D10">
        <w:rPr>
          <w:sz w:val="22"/>
          <w:szCs w:val="22"/>
        </w:rPr>
        <w:t xml:space="preserve">identifying </w:t>
      </w:r>
      <w:r w:rsidR="00D53D10" w:rsidRPr="00D53D10">
        <w:rPr>
          <w:i/>
          <w:sz w:val="22"/>
          <w:szCs w:val="22"/>
        </w:rPr>
        <w:t>Priority Partners for Turnaround</w:t>
      </w:r>
      <w:r w:rsidR="00D53D10">
        <w:rPr>
          <w:sz w:val="22"/>
          <w:szCs w:val="22"/>
        </w:rPr>
        <w:t xml:space="preserve">, investing in building the capacity of partners to serve Level 3 and Level 4 schools, and convening regular networking among priority partners and district and school leaders. </w:t>
      </w:r>
    </w:p>
    <w:p w:rsidR="00AB2DC4" w:rsidRDefault="006A46FB" w:rsidP="007845ED">
      <w:pPr>
        <w:spacing w:after="160" w:line="288" w:lineRule="auto"/>
        <w:rPr>
          <w:sz w:val="22"/>
          <w:szCs w:val="22"/>
        </w:rPr>
      </w:pPr>
      <w:r>
        <w:rPr>
          <w:sz w:val="22"/>
          <w:szCs w:val="22"/>
        </w:rPr>
        <w:t>Table 6 provides</w:t>
      </w:r>
      <w:r w:rsidR="00CD497D">
        <w:rPr>
          <w:sz w:val="22"/>
          <w:szCs w:val="22"/>
        </w:rPr>
        <w:t xml:space="preserve"> descriptive information to inform continued thinking about the role of external </w:t>
      </w:r>
      <w:r w:rsidR="00D873DE">
        <w:rPr>
          <w:sz w:val="22"/>
          <w:szCs w:val="22"/>
        </w:rPr>
        <w:t>partners</w:t>
      </w:r>
      <w:r w:rsidR="00CD497D">
        <w:rPr>
          <w:sz w:val="22"/>
          <w:szCs w:val="22"/>
        </w:rPr>
        <w:t xml:space="preserve"> and consultants in district and school turnaround. </w:t>
      </w:r>
      <w:r w:rsidR="005A3F35">
        <w:rPr>
          <w:sz w:val="22"/>
          <w:szCs w:val="22"/>
        </w:rPr>
        <w:t xml:space="preserve">Our analysis </w:t>
      </w:r>
      <w:r w:rsidR="00D53D10">
        <w:rPr>
          <w:sz w:val="22"/>
          <w:szCs w:val="22"/>
        </w:rPr>
        <w:t xml:space="preserve">provides strong qualitative evidence that districts and many schools value the support provided by external </w:t>
      </w:r>
      <w:r w:rsidR="00D873DE">
        <w:rPr>
          <w:sz w:val="22"/>
          <w:szCs w:val="22"/>
        </w:rPr>
        <w:t>partners</w:t>
      </w:r>
      <w:r w:rsidR="00D53D10">
        <w:rPr>
          <w:sz w:val="22"/>
          <w:szCs w:val="22"/>
        </w:rPr>
        <w:t xml:space="preserve"> and consultants and feel that partnerships have been crucial to turnaround efforts. However, the fact that many of the Non-Gain schools </w:t>
      </w:r>
      <w:r w:rsidR="00D873DE">
        <w:rPr>
          <w:sz w:val="22"/>
          <w:szCs w:val="22"/>
        </w:rPr>
        <w:t xml:space="preserve">partner with the same providers </w:t>
      </w:r>
      <w:r w:rsidR="00D53D10">
        <w:rPr>
          <w:sz w:val="22"/>
          <w:szCs w:val="22"/>
        </w:rPr>
        <w:t>suggests that the use of external</w:t>
      </w:r>
      <w:r w:rsidR="00D873DE">
        <w:rPr>
          <w:sz w:val="22"/>
          <w:szCs w:val="22"/>
        </w:rPr>
        <w:t xml:space="preserve"> providers and consultants is necessary but not sufficient—the use of external providers does not </w:t>
      </w:r>
      <w:r w:rsidR="00D53D10">
        <w:rPr>
          <w:sz w:val="22"/>
          <w:szCs w:val="22"/>
        </w:rPr>
        <w:t>automatically lead to success.</w:t>
      </w:r>
      <w:r w:rsidR="007845ED">
        <w:rPr>
          <w:rStyle w:val="FootnoteReference"/>
          <w:sz w:val="22"/>
          <w:szCs w:val="22"/>
        </w:rPr>
        <w:footnoteReference w:id="18"/>
      </w:r>
      <w:r w:rsidR="00D53D10">
        <w:rPr>
          <w:sz w:val="22"/>
          <w:szCs w:val="22"/>
        </w:rPr>
        <w:t xml:space="preserve"> </w:t>
      </w:r>
    </w:p>
    <w:p w:rsidR="00C11298" w:rsidRDefault="00C11298" w:rsidP="00C11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lang w:eastAsia="ja-JP"/>
        </w:rPr>
      </w:pPr>
    </w:p>
    <w:p w:rsidR="00E8506C" w:rsidRPr="00893170" w:rsidRDefault="00E8506C" w:rsidP="00E8506C">
      <w:pPr>
        <w:spacing w:line="288" w:lineRule="auto"/>
        <w:rPr>
          <w:b/>
          <w:color w:val="943634" w:themeColor="accent2" w:themeShade="BF"/>
          <w:sz w:val="28"/>
          <w:szCs w:val="28"/>
        </w:rPr>
      </w:pPr>
      <w:r w:rsidRPr="00893170">
        <w:rPr>
          <w:b/>
          <w:color w:val="943634" w:themeColor="accent2" w:themeShade="BF"/>
          <w:sz w:val="28"/>
          <w:szCs w:val="28"/>
        </w:rPr>
        <w:t>Use of Turnaround Approaches and Flexibiliti</w:t>
      </w:r>
      <w:r w:rsidR="00AC3005">
        <w:rPr>
          <w:b/>
          <w:color w:val="943634" w:themeColor="accent2" w:themeShade="BF"/>
          <w:sz w:val="28"/>
          <w:szCs w:val="28"/>
        </w:rPr>
        <w:t xml:space="preserve">es: </w:t>
      </w:r>
      <w:proofErr w:type="gramStart"/>
      <w:r w:rsidR="00B44F6A">
        <w:rPr>
          <w:b/>
          <w:color w:val="943634" w:themeColor="accent2" w:themeShade="BF"/>
          <w:sz w:val="28"/>
          <w:szCs w:val="28"/>
        </w:rPr>
        <w:t>The</w:t>
      </w:r>
      <w:proofErr w:type="gramEnd"/>
      <w:r w:rsidR="00B44F6A">
        <w:rPr>
          <w:b/>
          <w:color w:val="943634" w:themeColor="accent2" w:themeShade="BF"/>
          <w:sz w:val="28"/>
          <w:szCs w:val="28"/>
        </w:rPr>
        <w:t xml:space="preserve"> relationship between </w:t>
      </w:r>
      <w:r w:rsidR="00AC3005">
        <w:rPr>
          <w:b/>
          <w:color w:val="943634" w:themeColor="accent2" w:themeShade="BF"/>
          <w:sz w:val="28"/>
          <w:szCs w:val="28"/>
        </w:rPr>
        <w:t xml:space="preserve">Federal Intervention Models, </w:t>
      </w:r>
      <w:r w:rsidRPr="00893170">
        <w:rPr>
          <w:b/>
          <w:color w:val="943634" w:themeColor="accent2" w:themeShade="BF"/>
          <w:sz w:val="28"/>
          <w:szCs w:val="28"/>
        </w:rPr>
        <w:t>Teacher Turnover Rates</w:t>
      </w:r>
      <w:r w:rsidR="00B44F6A">
        <w:rPr>
          <w:b/>
          <w:color w:val="943634" w:themeColor="accent2" w:themeShade="BF"/>
          <w:sz w:val="28"/>
          <w:szCs w:val="28"/>
        </w:rPr>
        <w:t>, and School Performance</w:t>
      </w:r>
    </w:p>
    <w:p w:rsidR="00E8506C" w:rsidRPr="00B44F6A" w:rsidRDefault="00E8506C" w:rsidP="00B44F6A">
      <w:pPr>
        <w:spacing w:before="120" w:line="288" w:lineRule="auto"/>
        <w:rPr>
          <w:sz w:val="22"/>
          <w:szCs w:val="22"/>
        </w:rPr>
      </w:pPr>
      <w:r w:rsidRPr="00CD7348">
        <w:rPr>
          <w:sz w:val="22"/>
          <w:szCs w:val="22"/>
        </w:rPr>
        <w:t>Massachusetts’ state law pro</w:t>
      </w:r>
      <w:r w:rsidR="00B44F6A">
        <w:rPr>
          <w:sz w:val="22"/>
          <w:szCs w:val="22"/>
        </w:rPr>
        <w:t>vides for the identification of</w:t>
      </w:r>
      <w:r>
        <w:rPr>
          <w:sz w:val="22"/>
          <w:szCs w:val="22"/>
        </w:rPr>
        <w:t xml:space="preserve"> “</w:t>
      </w:r>
      <w:r w:rsidRPr="00CD7348">
        <w:rPr>
          <w:sz w:val="22"/>
          <w:szCs w:val="22"/>
        </w:rPr>
        <w:t xml:space="preserve">Turnaround Schools” and affords identified districts and schools considerable flexibility to hire staff and change operating conditions. Even </w:t>
      </w:r>
      <w:r w:rsidR="00B7285A">
        <w:rPr>
          <w:sz w:val="22"/>
          <w:szCs w:val="22"/>
        </w:rPr>
        <w:t>with the flexibilities provided by state law, there is evidence that the opportunity to apply for SRG funding and the</w:t>
      </w:r>
      <w:r w:rsidRPr="00CD7348">
        <w:rPr>
          <w:sz w:val="22"/>
          <w:szCs w:val="22"/>
        </w:rPr>
        <w:t xml:space="preserve"> required use of one of four </w:t>
      </w:r>
      <w:r w:rsidR="00B7285A">
        <w:rPr>
          <w:sz w:val="22"/>
          <w:szCs w:val="22"/>
        </w:rPr>
        <w:t>federal intervention models</w:t>
      </w:r>
      <w:r w:rsidR="00AC3005">
        <w:rPr>
          <w:rStyle w:val="FootnoteReference"/>
          <w:sz w:val="22"/>
          <w:szCs w:val="22"/>
        </w:rPr>
        <w:footnoteReference w:id="19"/>
      </w:r>
      <w:r w:rsidRPr="00CD7348">
        <w:rPr>
          <w:sz w:val="22"/>
          <w:szCs w:val="22"/>
        </w:rPr>
        <w:t xml:space="preserve"> has helped districts </w:t>
      </w:r>
      <w:r w:rsidRPr="00CD7348">
        <w:rPr>
          <w:i/>
          <w:sz w:val="22"/>
          <w:szCs w:val="22"/>
        </w:rPr>
        <w:t>to further leverage state law</w:t>
      </w:r>
      <w:r w:rsidRPr="00CD7348">
        <w:rPr>
          <w:sz w:val="22"/>
          <w:szCs w:val="22"/>
        </w:rPr>
        <w:t xml:space="preserve"> and, in many instances, to make immediate changes in staffing and create the conditions needed to drive rapid achievement gains. </w:t>
      </w:r>
      <w:r w:rsidRPr="00B44F6A">
        <w:rPr>
          <w:sz w:val="22"/>
          <w:szCs w:val="22"/>
        </w:rPr>
        <w:t xml:space="preserve"> </w:t>
      </w:r>
      <w:r w:rsidRPr="00B44F6A">
        <w:rPr>
          <w:b/>
          <w:sz w:val="22"/>
          <w:szCs w:val="22"/>
        </w:rPr>
        <w:t>Significant and intentional changes in staffing (i.e., 35% or higher teacher turnover rate in a single year) occurred in schools using the federa</w:t>
      </w:r>
      <w:r w:rsidR="00AC3005" w:rsidRPr="00B44F6A">
        <w:rPr>
          <w:b/>
          <w:sz w:val="22"/>
          <w:szCs w:val="22"/>
        </w:rPr>
        <w:t>l t</w:t>
      </w:r>
      <w:r w:rsidRPr="00B44F6A">
        <w:rPr>
          <w:b/>
          <w:sz w:val="22"/>
          <w:szCs w:val="22"/>
        </w:rPr>
        <w:t>urnaround model as well as in many</w:t>
      </w:r>
      <w:r w:rsidRPr="00B44F6A">
        <w:rPr>
          <w:rStyle w:val="FootnoteReference"/>
          <w:b/>
          <w:sz w:val="22"/>
          <w:szCs w:val="22"/>
        </w:rPr>
        <w:footnoteReference w:id="20"/>
      </w:r>
      <w:r w:rsidR="00AC3005" w:rsidRPr="00B44F6A">
        <w:rPr>
          <w:b/>
          <w:sz w:val="22"/>
          <w:szCs w:val="22"/>
        </w:rPr>
        <w:t xml:space="preserve"> of the schools using the t</w:t>
      </w:r>
      <w:r w:rsidRPr="00B44F6A">
        <w:rPr>
          <w:b/>
          <w:sz w:val="22"/>
          <w:szCs w:val="22"/>
        </w:rPr>
        <w:t>ransformation model.</w:t>
      </w:r>
      <w:r w:rsidRPr="00B44F6A">
        <w:rPr>
          <w:sz w:val="22"/>
          <w:szCs w:val="22"/>
        </w:rPr>
        <w:t xml:space="preserve"> </w:t>
      </w:r>
    </w:p>
    <w:p w:rsidR="00E8506C" w:rsidRPr="00CD7348" w:rsidRDefault="00E8506C" w:rsidP="00E8506C">
      <w:pPr>
        <w:spacing w:line="288" w:lineRule="auto"/>
        <w:rPr>
          <w:sz w:val="22"/>
          <w:szCs w:val="22"/>
        </w:rPr>
      </w:pPr>
    </w:p>
    <w:p w:rsidR="00E8506C" w:rsidRPr="00CD7348" w:rsidRDefault="00AC3005" w:rsidP="00E8506C">
      <w:pPr>
        <w:spacing w:line="288" w:lineRule="auto"/>
        <w:rPr>
          <w:sz w:val="22"/>
          <w:szCs w:val="22"/>
        </w:rPr>
      </w:pPr>
      <w:r>
        <w:rPr>
          <w:sz w:val="22"/>
          <w:szCs w:val="22"/>
        </w:rPr>
        <w:t>Table 7</w:t>
      </w:r>
      <w:r w:rsidR="00E8506C" w:rsidRPr="00CD7348">
        <w:rPr>
          <w:sz w:val="22"/>
          <w:szCs w:val="22"/>
        </w:rPr>
        <w:t xml:space="preserve"> provides a descriptive overview of the relationship </w:t>
      </w:r>
      <w:r w:rsidR="00E8506C">
        <w:rPr>
          <w:sz w:val="22"/>
          <w:szCs w:val="22"/>
        </w:rPr>
        <w:t xml:space="preserve">between district and </w:t>
      </w:r>
      <w:r w:rsidR="00E8506C" w:rsidRPr="00CD7348">
        <w:rPr>
          <w:sz w:val="22"/>
          <w:szCs w:val="22"/>
        </w:rPr>
        <w:t>school use of intervention models and schools’ progre</w:t>
      </w:r>
      <w:r w:rsidR="00E8506C">
        <w:rPr>
          <w:sz w:val="22"/>
          <w:szCs w:val="22"/>
        </w:rPr>
        <w:t>ss towards meeting MAG</w:t>
      </w:r>
      <w:r>
        <w:rPr>
          <w:sz w:val="22"/>
          <w:szCs w:val="22"/>
        </w:rPr>
        <w:t>s. Table 8</w:t>
      </w:r>
      <w:r w:rsidR="00E8506C" w:rsidRPr="00CD7348">
        <w:rPr>
          <w:sz w:val="22"/>
          <w:szCs w:val="22"/>
        </w:rPr>
        <w:t xml:space="preserve"> displays the relationship between teacher turnover rates (irrespective of the intervention model used) and schools’ progress. </w:t>
      </w:r>
    </w:p>
    <w:p w:rsidR="00E8506C" w:rsidRDefault="00E8506C" w:rsidP="00E8506C">
      <w:pPr>
        <w:rPr>
          <w:b/>
          <w:sz w:val="22"/>
          <w:szCs w:val="22"/>
        </w:rPr>
      </w:pPr>
    </w:p>
    <w:tbl>
      <w:tblPr>
        <w:tblStyle w:val="TableGrid"/>
        <w:tblW w:w="0" w:type="auto"/>
        <w:tblInd w:w="108" w:type="dxa"/>
        <w:tblLook w:val="04A0"/>
      </w:tblPr>
      <w:tblGrid>
        <w:gridCol w:w="1951"/>
        <w:gridCol w:w="2459"/>
        <w:gridCol w:w="1620"/>
        <w:gridCol w:w="1260"/>
        <w:gridCol w:w="1260"/>
      </w:tblGrid>
      <w:tr w:rsidR="00E8506C" w:rsidTr="00804AB3">
        <w:trPr>
          <w:trHeight w:val="512"/>
        </w:trPr>
        <w:tc>
          <w:tcPr>
            <w:tcW w:w="4410" w:type="dxa"/>
            <w:gridSpan w:val="2"/>
            <w:tcBorders>
              <w:top w:val="nil"/>
              <w:left w:val="nil"/>
              <w:bottom w:val="single" w:sz="4" w:space="0" w:color="auto"/>
              <w:right w:val="nil"/>
            </w:tcBorders>
          </w:tcPr>
          <w:p w:rsidR="00E8506C" w:rsidRPr="00AC3005" w:rsidRDefault="00AC3005" w:rsidP="00AC3005">
            <w:pPr>
              <w:rPr>
                <w:rFonts w:ascii="Times New Roman" w:hAnsi="Times New Roman" w:cs="Times New Roman"/>
                <w:b/>
                <w:sz w:val="22"/>
                <w:szCs w:val="22"/>
              </w:rPr>
            </w:pPr>
            <w:r w:rsidRPr="00AC3005">
              <w:rPr>
                <w:rFonts w:ascii="Times New Roman" w:hAnsi="Times New Roman" w:cs="Times New Roman"/>
                <w:b/>
                <w:color w:val="1F497D" w:themeColor="text2"/>
                <w:sz w:val="22"/>
                <w:szCs w:val="22"/>
                <w:lang w:eastAsia="ja-JP"/>
              </w:rPr>
              <w:t>Table 7</w:t>
            </w:r>
            <w:r>
              <w:rPr>
                <w:rFonts w:ascii="Times New Roman" w:hAnsi="Times New Roman" w:cs="Times New Roman"/>
                <w:b/>
                <w:color w:val="1F497D" w:themeColor="text2"/>
                <w:sz w:val="22"/>
                <w:szCs w:val="22"/>
                <w:lang w:eastAsia="ja-JP"/>
              </w:rPr>
              <w:t>. Schools’ achievement trajectory by Intervention Model, 2010 to 2012</w:t>
            </w:r>
            <w:r w:rsidR="00E8506C" w:rsidRPr="00AC3005">
              <w:rPr>
                <w:rFonts w:ascii="Times New Roman" w:hAnsi="Times New Roman" w:cs="Times New Roman"/>
                <w:b/>
                <w:sz w:val="22"/>
                <w:szCs w:val="22"/>
              </w:rPr>
              <w:t xml:space="preserve">. </w:t>
            </w:r>
          </w:p>
        </w:tc>
        <w:tc>
          <w:tcPr>
            <w:tcW w:w="4140" w:type="dxa"/>
            <w:gridSpan w:val="3"/>
            <w:tcBorders>
              <w:left w:val="nil"/>
              <w:bottom w:val="single" w:sz="4" w:space="0" w:color="auto"/>
              <w:right w:val="nil"/>
            </w:tcBorders>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Number and Percent of Schools…</w:t>
            </w:r>
          </w:p>
        </w:tc>
      </w:tr>
      <w:tr w:rsidR="00E8506C" w:rsidTr="00804AB3">
        <w:tc>
          <w:tcPr>
            <w:tcW w:w="1951" w:type="dxa"/>
            <w:tcBorders>
              <w:left w:val="nil"/>
            </w:tcBorders>
          </w:tcPr>
          <w:p w:rsidR="00E8506C" w:rsidRPr="00CD7348" w:rsidRDefault="00E8506C" w:rsidP="00804AB3">
            <w:pPr>
              <w:rPr>
                <w:rFonts w:ascii="Times New Roman" w:hAnsi="Times New Roman" w:cs="Times New Roman"/>
                <w:sz w:val="22"/>
                <w:szCs w:val="22"/>
              </w:rPr>
            </w:pPr>
          </w:p>
        </w:tc>
        <w:tc>
          <w:tcPr>
            <w:tcW w:w="2459" w:type="dxa"/>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Total # of Schools Using Model</w:t>
            </w:r>
          </w:p>
        </w:tc>
        <w:tc>
          <w:tcPr>
            <w:tcW w:w="1620" w:type="dxa"/>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On target to meeting MAGs</w:t>
            </w:r>
          </w:p>
        </w:tc>
        <w:tc>
          <w:tcPr>
            <w:tcW w:w="1260" w:type="dxa"/>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 xml:space="preserve">Partially </w:t>
            </w:r>
          </w:p>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on target</w:t>
            </w:r>
          </w:p>
        </w:tc>
        <w:tc>
          <w:tcPr>
            <w:tcW w:w="1260" w:type="dxa"/>
            <w:tcBorders>
              <w:right w:val="nil"/>
            </w:tcBorders>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 xml:space="preserve">Not </w:t>
            </w:r>
          </w:p>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on target</w:t>
            </w:r>
          </w:p>
        </w:tc>
      </w:tr>
      <w:tr w:rsidR="00E8506C" w:rsidTr="00804AB3">
        <w:tc>
          <w:tcPr>
            <w:tcW w:w="1951" w:type="dxa"/>
            <w:tcBorders>
              <w:left w:val="nil"/>
            </w:tcBorders>
          </w:tcPr>
          <w:p w:rsidR="00E8506C" w:rsidRPr="00CD7348" w:rsidRDefault="00E8506C" w:rsidP="00804AB3">
            <w:pPr>
              <w:rPr>
                <w:rFonts w:ascii="Times New Roman" w:hAnsi="Times New Roman" w:cs="Times New Roman"/>
                <w:sz w:val="22"/>
                <w:szCs w:val="22"/>
              </w:rPr>
            </w:pPr>
            <w:r w:rsidRPr="00CD7348">
              <w:rPr>
                <w:rFonts w:ascii="Times New Roman" w:hAnsi="Times New Roman" w:cs="Times New Roman"/>
                <w:sz w:val="22"/>
                <w:szCs w:val="22"/>
              </w:rPr>
              <w:t>Turnaround</w:t>
            </w:r>
          </w:p>
        </w:tc>
        <w:tc>
          <w:tcPr>
            <w:tcW w:w="2459" w:type="dxa"/>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12</w:t>
            </w:r>
          </w:p>
        </w:tc>
        <w:tc>
          <w:tcPr>
            <w:tcW w:w="1620" w:type="dxa"/>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7 (58%)</w:t>
            </w:r>
          </w:p>
        </w:tc>
        <w:tc>
          <w:tcPr>
            <w:tcW w:w="1260" w:type="dxa"/>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3 (25%)</w:t>
            </w:r>
          </w:p>
        </w:tc>
        <w:tc>
          <w:tcPr>
            <w:tcW w:w="1260" w:type="dxa"/>
            <w:tcBorders>
              <w:right w:val="nil"/>
            </w:tcBorders>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2 (22%)</w:t>
            </w:r>
          </w:p>
        </w:tc>
      </w:tr>
      <w:tr w:rsidR="00E8506C" w:rsidTr="00804AB3">
        <w:tc>
          <w:tcPr>
            <w:tcW w:w="1951" w:type="dxa"/>
            <w:tcBorders>
              <w:left w:val="nil"/>
            </w:tcBorders>
          </w:tcPr>
          <w:p w:rsidR="00E8506C" w:rsidRPr="00CD7348" w:rsidRDefault="00E8506C" w:rsidP="00804AB3">
            <w:pPr>
              <w:rPr>
                <w:rFonts w:ascii="Times New Roman" w:hAnsi="Times New Roman" w:cs="Times New Roman"/>
                <w:sz w:val="22"/>
                <w:szCs w:val="22"/>
              </w:rPr>
            </w:pPr>
            <w:r w:rsidRPr="00CD7348">
              <w:rPr>
                <w:rFonts w:ascii="Times New Roman" w:hAnsi="Times New Roman" w:cs="Times New Roman"/>
                <w:sz w:val="22"/>
                <w:szCs w:val="22"/>
              </w:rPr>
              <w:t>Transformation</w:t>
            </w:r>
          </w:p>
        </w:tc>
        <w:tc>
          <w:tcPr>
            <w:tcW w:w="2459" w:type="dxa"/>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18</w:t>
            </w:r>
          </w:p>
        </w:tc>
        <w:tc>
          <w:tcPr>
            <w:tcW w:w="1620" w:type="dxa"/>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7 (39%)</w:t>
            </w:r>
          </w:p>
        </w:tc>
        <w:tc>
          <w:tcPr>
            <w:tcW w:w="1260" w:type="dxa"/>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7 (39%)</w:t>
            </w:r>
          </w:p>
        </w:tc>
        <w:tc>
          <w:tcPr>
            <w:tcW w:w="1260" w:type="dxa"/>
            <w:tcBorders>
              <w:right w:val="nil"/>
            </w:tcBorders>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4 (22%)</w:t>
            </w:r>
          </w:p>
        </w:tc>
      </w:tr>
      <w:tr w:rsidR="00E8506C" w:rsidTr="00804AB3">
        <w:tc>
          <w:tcPr>
            <w:tcW w:w="1951" w:type="dxa"/>
            <w:tcBorders>
              <w:left w:val="nil"/>
            </w:tcBorders>
          </w:tcPr>
          <w:p w:rsidR="00E8506C" w:rsidRPr="00CD7348" w:rsidRDefault="00E8506C" w:rsidP="00804AB3">
            <w:pPr>
              <w:rPr>
                <w:rFonts w:ascii="Times New Roman" w:hAnsi="Times New Roman" w:cs="Times New Roman"/>
                <w:sz w:val="22"/>
                <w:szCs w:val="22"/>
              </w:rPr>
            </w:pPr>
            <w:r w:rsidRPr="00CD7348">
              <w:rPr>
                <w:rFonts w:ascii="Times New Roman" w:hAnsi="Times New Roman" w:cs="Times New Roman"/>
                <w:sz w:val="22"/>
                <w:szCs w:val="22"/>
              </w:rPr>
              <w:t>Restart</w:t>
            </w:r>
          </w:p>
        </w:tc>
        <w:tc>
          <w:tcPr>
            <w:tcW w:w="2459" w:type="dxa"/>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1</w:t>
            </w:r>
          </w:p>
        </w:tc>
        <w:tc>
          <w:tcPr>
            <w:tcW w:w="1620" w:type="dxa"/>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0</w:t>
            </w:r>
          </w:p>
        </w:tc>
        <w:tc>
          <w:tcPr>
            <w:tcW w:w="1260" w:type="dxa"/>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1 (100%)</w:t>
            </w:r>
          </w:p>
        </w:tc>
        <w:tc>
          <w:tcPr>
            <w:tcW w:w="1260" w:type="dxa"/>
            <w:tcBorders>
              <w:right w:val="nil"/>
            </w:tcBorders>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0</w:t>
            </w:r>
          </w:p>
        </w:tc>
      </w:tr>
      <w:tr w:rsidR="00E8506C" w:rsidTr="00804AB3">
        <w:tc>
          <w:tcPr>
            <w:tcW w:w="1951" w:type="dxa"/>
            <w:tcBorders>
              <w:left w:val="nil"/>
            </w:tcBorders>
          </w:tcPr>
          <w:p w:rsidR="00E8506C" w:rsidRPr="00CD7348" w:rsidRDefault="00E8506C" w:rsidP="00804AB3">
            <w:pPr>
              <w:rPr>
                <w:rFonts w:ascii="Times New Roman" w:hAnsi="Times New Roman" w:cs="Times New Roman"/>
                <w:sz w:val="22"/>
                <w:szCs w:val="22"/>
              </w:rPr>
            </w:pPr>
            <w:r w:rsidRPr="00CD7348">
              <w:rPr>
                <w:rFonts w:ascii="Times New Roman" w:hAnsi="Times New Roman" w:cs="Times New Roman"/>
                <w:sz w:val="22"/>
                <w:szCs w:val="22"/>
              </w:rPr>
              <w:t>Closure</w:t>
            </w:r>
          </w:p>
        </w:tc>
        <w:tc>
          <w:tcPr>
            <w:tcW w:w="2459" w:type="dxa"/>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0</w:t>
            </w:r>
          </w:p>
        </w:tc>
        <w:tc>
          <w:tcPr>
            <w:tcW w:w="1620" w:type="dxa"/>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0</w:t>
            </w:r>
          </w:p>
        </w:tc>
        <w:tc>
          <w:tcPr>
            <w:tcW w:w="1260" w:type="dxa"/>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0</w:t>
            </w:r>
          </w:p>
        </w:tc>
        <w:tc>
          <w:tcPr>
            <w:tcW w:w="1260" w:type="dxa"/>
            <w:tcBorders>
              <w:right w:val="nil"/>
            </w:tcBorders>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0</w:t>
            </w:r>
          </w:p>
        </w:tc>
      </w:tr>
      <w:tr w:rsidR="00E8506C" w:rsidTr="00804AB3">
        <w:tc>
          <w:tcPr>
            <w:tcW w:w="1951" w:type="dxa"/>
            <w:tcBorders>
              <w:left w:val="nil"/>
            </w:tcBorders>
          </w:tcPr>
          <w:p w:rsidR="00E8506C" w:rsidRPr="00CD7348" w:rsidRDefault="00E8506C" w:rsidP="00804AB3">
            <w:pPr>
              <w:rPr>
                <w:rFonts w:ascii="Times New Roman" w:hAnsi="Times New Roman" w:cs="Times New Roman"/>
                <w:sz w:val="22"/>
                <w:szCs w:val="22"/>
              </w:rPr>
            </w:pPr>
            <w:r w:rsidRPr="00CD7348">
              <w:rPr>
                <w:rFonts w:ascii="Times New Roman" w:hAnsi="Times New Roman" w:cs="Times New Roman"/>
                <w:sz w:val="22"/>
                <w:szCs w:val="22"/>
              </w:rPr>
              <w:t>Not Funded</w:t>
            </w:r>
          </w:p>
        </w:tc>
        <w:tc>
          <w:tcPr>
            <w:tcW w:w="2459" w:type="dxa"/>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3</w:t>
            </w:r>
          </w:p>
        </w:tc>
        <w:tc>
          <w:tcPr>
            <w:tcW w:w="1620" w:type="dxa"/>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0</w:t>
            </w:r>
          </w:p>
        </w:tc>
        <w:tc>
          <w:tcPr>
            <w:tcW w:w="1260" w:type="dxa"/>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1 (33%)</w:t>
            </w:r>
          </w:p>
        </w:tc>
        <w:tc>
          <w:tcPr>
            <w:tcW w:w="1260" w:type="dxa"/>
            <w:tcBorders>
              <w:right w:val="nil"/>
            </w:tcBorders>
            <w:vAlign w:val="center"/>
          </w:tcPr>
          <w:p w:rsidR="00E8506C" w:rsidRPr="00AC3005" w:rsidRDefault="00E8506C" w:rsidP="00804AB3">
            <w:pPr>
              <w:jc w:val="center"/>
              <w:rPr>
                <w:rFonts w:ascii="Times New Roman" w:hAnsi="Times New Roman" w:cs="Times New Roman"/>
                <w:sz w:val="22"/>
                <w:szCs w:val="22"/>
              </w:rPr>
            </w:pPr>
            <w:r w:rsidRPr="00AC3005">
              <w:rPr>
                <w:rFonts w:ascii="Times New Roman" w:hAnsi="Times New Roman" w:cs="Times New Roman"/>
                <w:sz w:val="22"/>
                <w:szCs w:val="22"/>
              </w:rPr>
              <w:t>2 (67%)</w:t>
            </w:r>
          </w:p>
        </w:tc>
      </w:tr>
    </w:tbl>
    <w:p w:rsidR="00E8506C" w:rsidRDefault="00E8506C" w:rsidP="00E8506C">
      <w:pPr>
        <w:spacing w:before="80" w:after="80"/>
        <w:rPr>
          <w:sz w:val="22"/>
          <w:szCs w:val="22"/>
        </w:rPr>
      </w:pPr>
    </w:p>
    <w:tbl>
      <w:tblPr>
        <w:tblStyle w:val="TableGrid"/>
        <w:tblW w:w="0" w:type="auto"/>
        <w:tblInd w:w="108" w:type="dxa"/>
        <w:tblLook w:val="04A0"/>
      </w:tblPr>
      <w:tblGrid>
        <w:gridCol w:w="2250"/>
        <w:gridCol w:w="2160"/>
        <w:gridCol w:w="1620"/>
        <w:gridCol w:w="1260"/>
        <w:gridCol w:w="1904"/>
      </w:tblGrid>
      <w:tr w:rsidR="00E8506C" w:rsidTr="00804AB3">
        <w:trPr>
          <w:trHeight w:val="512"/>
        </w:trPr>
        <w:tc>
          <w:tcPr>
            <w:tcW w:w="4410" w:type="dxa"/>
            <w:gridSpan w:val="2"/>
            <w:tcBorders>
              <w:top w:val="nil"/>
              <w:left w:val="nil"/>
              <w:bottom w:val="single" w:sz="4" w:space="0" w:color="auto"/>
              <w:right w:val="nil"/>
            </w:tcBorders>
          </w:tcPr>
          <w:p w:rsidR="00E8506C" w:rsidRPr="00CD7348" w:rsidRDefault="00AC3005" w:rsidP="00804AB3">
            <w:pPr>
              <w:rPr>
                <w:rFonts w:ascii="Times New Roman" w:hAnsi="Times New Roman" w:cs="Times New Roman"/>
                <w:b/>
                <w:sz w:val="22"/>
                <w:szCs w:val="22"/>
              </w:rPr>
            </w:pPr>
            <w:r>
              <w:rPr>
                <w:rFonts w:ascii="Times New Roman" w:hAnsi="Times New Roman" w:cs="Times New Roman"/>
                <w:b/>
                <w:color w:val="1F497D" w:themeColor="text2"/>
                <w:sz w:val="22"/>
                <w:szCs w:val="22"/>
              </w:rPr>
              <w:t>Table 8</w:t>
            </w:r>
            <w:r w:rsidR="00E8506C" w:rsidRPr="00AC3005">
              <w:rPr>
                <w:rFonts w:ascii="Times New Roman" w:hAnsi="Times New Roman" w:cs="Times New Roman"/>
                <w:b/>
                <w:color w:val="1F497D" w:themeColor="text2"/>
                <w:sz w:val="22"/>
                <w:szCs w:val="22"/>
              </w:rPr>
              <w:t>. Schools’ achievement trajectory by one-year teacher turnover rates (2010-11)</w:t>
            </w:r>
          </w:p>
        </w:tc>
        <w:tc>
          <w:tcPr>
            <w:tcW w:w="4140" w:type="dxa"/>
            <w:gridSpan w:val="3"/>
            <w:tcBorders>
              <w:left w:val="nil"/>
              <w:bottom w:val="single" w:sz="4" w:space="0" w:color="auto"/>
              <w:right w:val="nil"/>
            </w:tcBorders>
            <w:vAlign w:val="center"/>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Number and Percent of Schools…</w:t>
            </w:r>
          </w:p>
        </w:tc>
      </w:tr>
      <w:tr w:rsidR="00E8506C" w:rsidTr="00804AB3">
        <w:tc>
          <w:tcPr>
            <w:tcW w:w="2250" w:type="dxa"/>
            <w:tcBorders>
              <w:left w:val="nil"/>
            </w:tcBorders>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Turnover Rate during the 2010-11 school year</w:t>
            </w:r>
          </w:p>
        </w:tc>
        <w:tc>
          <w:tcPr>
            <w:tcW w:w="2160" w:type="dxa"/>
          </w:tcPr>
          <w:p w:rsidR="00127564" w:rsidRDefault="00127564" w:rsidP="00127564">
            <w:pPr>
              <w:jc w:val="center"/>
              <w:rPr>
                <w:rFonts w:ascii="Times New Roman" w:hAnsi="Times New Roman" w:cs="Times New Roman"/>
                <w:sz w:val="22"/>
                <w:szCs w:val="22"/>
              </w:rPr>
            </w:pPr>
          </w:p>
          <w:p w:rsidR="00E8506C" w:rsidRPr="00CD7348" w:rsidRDefault="00E8506C" w:rsidP="00127564">
            <w:pPr>
              <w:jc w:val="center"/>
              <w:rPr>
                <w:rFonts w:ascii="Times New Roman" w:hAnsi="Times New Roman" w:cs="Times New Roman"/>
                <w:sz w:val="22"/>
                <w:szCs w:val="22"/>
              </w:rPr>
            </w:pPr>
            <w:r w:rsidRPr="00CD7348">
              <w:rPr>
                <w:rFonts w:ascii="Times New Roman" w:hAnsi="Times New Roman" w:cs="Times New Roman"/>
                <w:sz w:val="22"/>
                <w:szCs w:val="22"/>
              </w:rPr>
              <w:t xml:space="preserve"># of Schools </w:t>
            </w:r>
          </w:p>
        </w:tc>
        <w:tc>
          <w:tcPr>
            <w:tcW w:w="1620" w:type="dxa"/>
            <w:vAlign w:val="center"/>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On target to meeting MAGs</w:t>
            </w:r>
          </w:p>
        </w:tc>
        <w:tc>
          <w:tcPr>
            <w:tcW w:w="1260" w:type="dxa"/>
            <w:vAlign w:val="center"/>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Partially</w:t>
            </w:r>
          </w:p>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on target</w:t>
            </w:r>
          </w:p>
        </w:tc>
        <w:tc>
          <w:tcPr>
            <w:tcW w:w="1260" w:type="dxa"/>
            <w:tcBorders>
              <w:right w:val="nil"/>
            </w:tcBorders>
            <w:vAlign w:val="center"/>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Not</w:t>
            </w:r>
          </w:p>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on target</w:t>
            </w:r>
          </w:p>
        </w:tc>
      </w:tr>
      <w:tr w:rsidR="00E8506C" w:rsidTr="00804AB3">
        <w:tc>
          <w:tcPr>
            <w:tcW w:w="2250" w:type="dxa"/>
            <w:tcBorders>
              <w:left w:val="nil"/>
            </w:tcBorders>
          </w:tcPr>
          <w:p w:rsidR="00E8506C" w:rsidRPr="00CD7348" w:rsidRDefault="00E8506C" w:rsidP="00804AB3">
            <w:pPr>
              <w:rPr>
                <w:rFonts w:ascii="Times New Roman" w:hAnsi="Times New Roman" w:cs="Times New Roman"/>
                <w:sz w:val="22"/>
                <w:szCs w:val="22"/>
              </w:rPr>
            </w:pPr>
            <w:r w:rsidRPr="00CD7348">
              <w:rPr>
                <w:rFonts w:ascii="Times New Roman" w:hAnsi="Times New Roman" w:cs="Times New Roman"/>
                <w:sz w:val="22"/>
                <w:szCs w:val="22"/>
              </w:rPr>
              <w:t>50% or higher</w:t>
            </w:r>
          </w:p>
        </w:tc>
        <w:tc>
          <w:tcPr>
            <w:tcW w:w="2160" w:type="dxa"/>
            <w:vAlign w:val="center"/>
          </w:tcPr>
          <w:p w:rsidR="00E8506C" w:rsidRPr="00CD7348" w:rsidRDefault="00E8506C" w:rsidP="00804AB3">
            <w:pPr>
              <w:jc w:val="center"/>
              <w:rPr>
                <w:rFonts w:ascii="Times New Roman" w:hAnsi="Times New Roman" w:cs="Times New Roman"/>
                <w:sz w:val="22"/>
                <w:szCs w:val="22"/>
              </w:rPr>
            </w:pPr>
            <w:r>
              <w:rPr>
                <w:rFonts w:ascii="Times New Roman" w:hAnsi="Times New Roman" w:cs="Times New Roman"/>
                <w:sz w:val="22"/>
                <w:szCs w:val="22"/>
              </w:rPr>
              <w:t>9</w:t>
            </w:r>
          </w:p>
        </w:tc>
        <w:tc>
          <w:tcPr>
            <w:tcW w:w="1620" w:type="dxa"/>
            <w:vAlign w:val="center"/>
          </w:tcPr>
          <w:p w:rsidR="00E8506C" w:rsidRPr="00CD7348" w:rsidRDefault="00E8506C" w:rsidP="00804AB3">
            <w:pPr>
              <w:jc w:val="center"/>
              <w:rPr>
                <w:rFonts w:ascii="Times New Roman" w:hAnsi="Times New Roman" w:cs="Times New Roman"/>
                <w:sz w:val="22"/>
                <w:szCs w:val="22"/>
              </w:rPr>
            </w:pPr>
            <w:r>
              <w:rPr>
                <w:rFonts w:ascii="Times New Roman" w:hAnsi="Times New Roman" w:cs="Times New Roman"/>
                <w:sz w:val="22"/>
                <w:szCs w:val="22"/>
              </w:rPr>
              <w:t>8 (89</w:t>
            </w:r>
            <w:r w:rsidRPr="00CD7348">
              <w:rPr>
                <w:rFonts w:ascii="Times New Roman" w:hAnsi="Times New Roman" w:cs="Times New Roman"/>
                <w:sz w:val="22"/>
                <w:szCs w:val="22"/>
              </w:rPr>
              <w:t>%)</w:t>
            </w:r>
          </w:p>
        </w:tc>
        <w:tc>
          <w:tcPr>
            <w:tcW w:w="1260" w:type="dxa"/>
            <w:vAlign w:val="center"/>
          </w:tcPr>
          <w:p w:rsidR="00E8506C" w:rsidRPr="00CD7348" w:rsidRDefault="00E8506C" w:rsidP="00804AB3">
            <w:pPr>
              <w:jc w:val="center"/>
              <w:rPr>
                <w:rFonts w:ascii="Times New Roman" w:hAnsi="Times New Roman" w:cs="Times New Roman"/>
                <w:sz w:val="22"/>
                <w:szCs w:val="22"/>
              </w:rPr>
            </w:pPr>
            <w:r>
              <w:rPr>
                <w:rFonts w:ascii="Times New Roman" w:hAnsi="Times New Roman" w:cs="Times New Roman"/>
                <w:sz w:val="22"/>
                <w:szCs w:val="22"/>
              </w:rPr>
              <w:t>1 (17</w:t>
            </w:r>
            <w:r w:rsidRPr="00CD7348">
              <w:rPr>
                <w:rFonts w:ascii="Times New Roman" w:hAnsi="Times New Roman" w:cs="Times New Roman"/>
                <w:sz w:val="22"/>
                <w:szCs w:val="22"/>
              </w:rPr>
              <w:t>%)</w:t>
            </w:r>
          </w:p>
        </w:tc>
        <w:tc>
          <w:tcPr>
            <w:tcW w:w="1260" w:type="dxa"/>
            <w:tcBorders>
              <w:right w:val="nil"/>
            </w:tcBorders>
            <w:vAlign w:val="center"/>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0</w:t>
            </w:r>
          </w:p>
        </w:tc>
      </w:tr>
      <w:tr w:rsidR="00E8506C" w:rsidTr="00804AB3">
        <w:tc>
          <w:tcPr>
            <w:tcW w:w="2250" w:type="dxa"/>
            <w:tcBorders>
              <w:left w:val="nil"/>
            </w:tcBorders>
          </w:tcPr>
          <w:p w:rsidR="00E8506C" w:rsidRPr="00CD7348" w:rsidRDefault="00E8506C" w:rsidP="00804AB3">
            <w:pPr>
              <w:rPr>
                <w:rFonts w:ascii="Times New Roman" w:hAnsi="Times New Roman" w:cs="Times New Roman"/>
                <w:sz w:val="22"/>
                <w:szCs w:val="22"/>
              </w:rPr>
            </w:pPr>
            <w:r w:rsidRPr="00CD7348">
              <w:rPr>
                <w:rFonts w:ascii="Times New Roman" w:hAnsi="Times New Roman" w:cs="Times New Roman"/>
                <w:sz w:val="22"/>
                <w:szCs w:val="22"/>
              </w:rPr>
              <w:t>35% to 49%</w:t>
            </w:r>
          </w:p>
        </w:tc>
        <w:tc>
          <w:tcPr>
            <w:tcW w:w="2160" w:type="dxa"/>
            <w:vAlign w:val="center"/>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9</w:t>
            </w:r>
          </w:p>
        </w:tc>
        <w:tc>
          <w:tcPr>
            <w:tcW w:w="1620" w:type="dxa"/>
            <w:vAlign w:val="center"/>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3 (33%)</w:t>
            </w:r>
          </w:p>
        </w:tc>
        <w:tc>
          <w:tcPr>
            <w:tcW w:w="1260" w:type="dxa"/>
            <w:vAlign w:val="center"/>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5 (56%)</w:t>
            </w:r>
          </w:p>
        </w:tc>
        <w:tc>
          <w:tcPr>
            <w:tcW w:w="1260" w:type="dxa"/>
            <w:tcBorders>
              <w:right w:val="nil"/>
            </w:tcBorders>
            <w:vAlign w:val="center"/>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1 (11%)</w:t>
            </w:r>
          </w:p>
        </w:tc>
      </w:tr>
      <w:tr w:rsidR="00E8506C" w:rsidTr="00804AB3">
        <w:tc>
          <w:tcPr>
            <w:tcW w:w="2250" w:type="dxa"/>
            <w:tcBorders>
              <w:left w:val="nil"/>
            </w:tcBorders>
          </w:tcPr>
          <w:p w:rsidR="00E8506C" w:rsidRPr="00CD7348" w:rsidRDefault="00E8506C" w:rsidP="00804AB3">
            <w:pPr>
              <w:rPr>
                <w:rFonts w:ascii="Times New Roman" w:hAnsi="Times New Roman" w:cs="Times New Roman"/>
                <w:sz w:val="22"/>
                <w:szCs w:val="22"/>
              </w:rPr>
            </w:pPr>
            <w:r w:rsidRPr="00CD7348">
              <w:rPr>
                <w:rFonts w:ascii="Times New Roman" w:hAnsi="Times New Roman" w:cs="Times New Roman"/>
                <w:sz w:val="22"/>
                <w:szCs w:val="22"/>
              </w:rPr>
              <w:t>20% to 34%</w:t>
            </w:r>
          </w:p>
        </w:tc>
        <w:tc>
          <w:tcPr>
            <w:tcW w:w="2160" w:type="dxa"/>
            <w:vAlign w:val="center"/>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11</w:t>
            </w:r>
          </w:p>
        </w:tc>
        <w:tc>
          <w:tcPr>
            <w:tcW w:w="1620" w:type="dxa"/>
            <w:vAlign w:val="center"/>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2 (18%)</w:t>
            </w:r>
          </w:p>
        </w:tc>
        <w:tc>
          <w:tcPr>
            <w:tcW w:w="1260" w:type="dxa"/>
            <w:vAlign w:val="center"/>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4 (36%)</w:t>
            </w:r>
          </w:p>
        </w:tc>
        <w:tc>
          <w:tcPr>
            <w:tcW w:w="1260" w:type="dxa"/>
            <w:tcBorders>
              <w:right w:val="nil"/>
            </w:tcBorders>
            <w:vAlign w:val="center"/>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5 (46%)</w:t>
            </w:r>
          </w:p>
        </w:tc>
      </w:tr>
      <w:tr w:rsidR="00E8506C" w:rsidTr="00804AB3">
        <w:tc>
          <w:tcPr>
            <w:tcW w:w="2250" w:type="dxa"/>
            <w:tcBorders>
              <w:left w:val="nil"/>
            </w:tcBorders>
          </w:tcPr>
          <w:p w:rsidR="00E8506C" w:rsidRPr="00CD7348" w:rsidRDefault="00E8506C" w:rsidP="00804AB3">
            <w:pPr>
              <w:rPr>
                <w:rFonts w:ascii="Times New Roman" w:hAnsi="Times New Roman" w:cs="Times New Roman"/>
                <w:sz w:val="22"/>
                <w:szCs w:val="22"/>
              </w:rPr>
            </w:pPr>
            <w:r w:rsidRPr="00CD7348">
              <w:rPr>
                <w:rFonts w:ascii="Times New Roman" w:hAnsi="Times New Roman" w:cs="Times New Roman"/>
                <w:sz w:val="22"/>
                <w:szCs w:val="22"/>
              </w:rPr>
              <w:t>19% or lower</w:t>
            </w:r>
          </w:p>
        </w:tc>
        <w:tc>
          <w:tcPr>
            <w:tcW w:w="2160" w:type="dxa"/>
            <w:vAlign w:val="center"/>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5</w:t>
            </w:r>
          </w:p>
        </w:tc>
        <w:tc>
          <w:tcPr>
            <w:tcW w:w="1620" w:type="dxa"/>
            <w:vAlign w:val="center"/>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1 (20%)</w:t>
            </w:r>
          </w:p>
        </w:tc>
        <w:tc>
          <w:tcPr>
            <w:tcW w:w="1260" w:type="dxa"/>
            <w:vAlign w:val="center"/>
          </w:tcPr>
          <w:p w:rsidR="00E8506C" w:rsidRPr="00CD7348" w:rsidRDefault="00E8506C" w:rsidP="00804AB3">
            <w:pPr>
              <w:jc w:val="center"/>
              <w:rPr>
                <w:rFonts w:ascii="Times New Roman" w:hAnsi="Times New Roman" w:cs="Times New Roman"/>
                <w:sz w:val="22"/>
                <w:szCs w:val="22"/>
              </w:rPr>
            </w:pPr>
            <w:r w:rsidRPr="00CD7348">
              <w:rPr>
                <w:rFonts w:ascii="Times New Roman" w:hAnsi="Times New Roman" w:cs="Times New Roman"/>
                <w:sz w:val="22"/>
                <w:szCs w:val="22"/>
              </w:rPr>
              <w:t>1 (20%)</w:t>
            </w:r>
          </w:p>
        </w:tc>
        <w:tc>
          <w:tcPr>
            <w:tcW w:w="1260" w:type="dxa"/>
            <w:tcBorders>
              <w:right w:val="nil"/>
            </w:tcBorders>
            <w:vAlign w:val="center"/>
          </w:tcPr>
          <w:p w:rsidR="00E8506C" w:rsidRPr="00AC3005" w:rsidRDefault="00E8506C" w:rsidP="00145FF0">
            <w:pPr>
              <w:pStyle w:val="ListParagraph"/>
              <w:numPr>
                <w:ilvl w:val="0"/>
                <w:numId w:val="26"/>
              </w:numPr>
              <w:jc w:val="center"/>
              <w:rPr>
                <w:sz w:val="22"/>
                <w:szCs w:val="22"/>
              </w:rPr>
            </w:pPr>
            <w:r w:rsidRPr="00AC3005">
              <w:rPr>
                <w:sz w:val="22"/>
                <w:szCs w:val="22"/>
              </w:rPr>
              <w:t>(60%)</w:t>
            </w:r>
          </w:p>
        </w:tc>
      </w:tr>
    </w:tbl>
    <w:p w:rsidR="00AC3005" w:rsidRDefault="00AC3005" w:rsidP="00AC3005">
      <w:pPr>
        <w:pStyle w:val="ListParagraph"/>
        <w:spacing w:line="288" w:lineRule="auto"/>
        <w:ind w:left="0"/>
        <w:rPr>
          <w:b/>
          <w:sz w:val="22"/>
          <w:szCs w:val="22"/>
        </w:rPr>
      </w:pPr>
    </w:p>
    <w:p w:rsidR="00B44F6A" w:rsidRDefault="00B44F6A" w:rsidP="00145FF0">
      <w:pPr>
        <w:pStyle w:val="ListParagraph"/>
        <w:numPr>
          <w:ilvl w:val="0"/>
          <w:numId w:val="27"/>
        </w:numPr>
        <w:spacing w:line="288" w:lineRule="auto"/>
        <w:rPr>
          <w:b/>
          <w:i/>
          <w:sz w:val="22"/>
          <w:szCs w:val="22"/>
        </w:rPr>
      </w:pPr>
      <w:r>
        <w:rPr>
          <w:b/>
          <w:sz w:val="22"/>
          <w:szCs w:val="22"/>
        </w:rPr>
        <w:t>There is a</w:t>
      </w:r>
      <w:r w:rsidR="00E8506C" w:rsidRPr="00AC3005">
        <w:rPr>
          <w:b/>
          <w:sz w:val="22"/>
          <w:szCs w:val="22"/>
        </w:rPr>
        <w:t xml:space="preserve"> strong relationship between </w:t>
      </w:r>
      <w:r w:rsidR="00AC3005" w:rsidRPr="00AC3005">
        <w:rPr>
          <w:b/>
          <w:sz w:val="22"/>
          <w:szCs w:val="22"/>
        </w:rPr>
        <w:t>a school’s</w:t>
      </w:r>
      <w:r w:rsidR="00E8506C" w:rsidRPr="00AC3005">
        <w:rPr>
          <w:b/>
          <w:sz w:val="22"/>
          <w:szCs w:val="22"/>
        </w:rPr>
        <w:t xml:space="preserve"> initial, single year teacher turnover rates and ability of </w:t>
      </w:r>
      <w:r w:rsidR="00AC3005" w:rsidRPr="00AC3005">
        <w:rPr>
          <w:b/>
          <w:sz w:val="22"/>
          <w:szCs w:val="22"/>
        </w:rPr>
        <w:t>the school</w:t>
      </w:r>
      <w:r w:rsidR="00E8506C" w:rsidRPr="00AC3005">
        <w:rPr>
          <w:b/>
          <w:sz w:val="22"/>
          <w:szCs w:val="22"/>
        </w:rPr>
        <w:t xml:space="preserve"> to make rapid improvement</w:t>
      </w:r>
      <w:r w:rsidR="00AC3005" w:rsidRPr="00AC3005">
        <w:rPr>
          <w:b/>
          <w:sz w:val="22"/>
          <w:szCs w:val="22"/>
        </w:rPr>
        <w:t xml:space="preserve"> (e.g., to be classified as an Achievement Gain school after two years)</w:t>
      </w:r>
      <w:r w:rsidR="00E8506C" w:rsidRPr="00AC3005">
        <w:rPr>
          <w:b/>
          <w:sz w:val="22"/>
          <w:szCs w:val="22"/>
        </w:rPr>
        <w:t>.</w:t>
      </w:r>
      <w:r w:rsidR="00E8506C" w:rsidRPr="00AC3005">
        <w:rPr>
          <w:b/>
          <w:i/>
          <w:sz w:val="22"/>
          <w:szCs w:val="22"/>
        </w:rPr>
        <w:t xml:space="preserve"> </w:t>
      </w:r>
    </w:p>
    <w:p w:rsidR="00B44F6A" w:rsidRDefault="00B44F6A" w:rsidP="00B44F6A">
      <w:pPr>
        <w:pStyle w:val="ListParagraph"/>
        <w:spacing w:line="288" w:lineRule="auto"/>
        <w:ind w:left="0"/>
        <w:rPr>
          <w:sz w:val="22"/>
          <w:szCs w:val="22"/>
        </w:rPr>
      </w:pPr>
    </w:p>
    <w:p w:rsidR="00E8506C" w:rsidRPr="00AC3005" w:rsidRDefault="00AC3005" w:rsidP="00B44F6A">
      <w:pPr>
        <w:pStyle w:val="ListParagraph"/>
        <w:spacing w:line="288" w:lineRule="auto"/>
        <w:ind w:left="0"/>
        <w:rPr>
          <w:sz w:val="22"/>
          <w:szCs w:val="22"/>
        </w:rPr>
      </w:pPr>
      <w:r w:rsidRPr="00AC3005">
        <w:rPr>
          <w:sz w:val="22"/>
          <w:szCs w:val="22"/>
        </w:rPr>
        <w:t>The information in Tables 7 and 8</w:t>
      </w:r>
      <w:r w:rsidR="00E8506C" w:rsidRPr="00AC3005">
        <w:rPr>
          <w:sz w:val="22"/>
          <w:szCs w:val="22"/>
        </w:rPr>
        <w:t xml:space="preserve"> provides compelling evidence of a relationship between a school’</w:t>
      </w:r>
      <w:r w:rsidR="00B44F6A">
        <w:rPr>
          <w:sz w:val="22"/>
          <w:szCs w:val="22"/>
        </w:rPr>
        <w:t>s initial teacher turnover rate, indicative of district and school</w:t>
      </w:r>
      <w:r w:rsidR="00E8506C" w:rsidRPr="00AC3005">
        <w:rPr>
          <w:sz w:val="22"/>
          <w:szCs w:val="22"/>
        </w:rPr>
        <w:t xml:space="preserve"> decisions regardin</w:t>
      </w:r>
      <w:r w:rsidR="00B44F6A">
        <w:rPr>
          <w:sz w:val="22"/>
          <w:szCs w:val="22"/>
        </w:rPr>
        <w:t>g staffing and teacher capacity,</w:t>
      </w:r>
      <w:r w:rsidR="00E8506C" w:rsidRPr="00AC3005">
        <w:rPr>
          <w:sz w:val="22"/>
          <w:szCs w:val="22"/>
        </w:rPr>
        <w:t xml:space="preserve"> and the </w:t>
      </w:r>
      <w:r w:rsidR="00E8506C" w:rsidRPr="00AC3005">
        <w:rPr>
          <w:sz w:val="22"/>
          <w:szCs w:val="22"/>
        </w:rPr>
        <w:lastRenderedPageBreak/>
        <w:t>likelihood that a school is able to embark on an improvement trajectory. Specifically, higher rates of teacher turnover appear to be linked with sc</w:t>
      </w:r>
      <w:r w:rsidR="00B44F6A">
        <w:rPr>
          <w:sz w:val="22"/>
          <w:szCs w:val="22"/>
        </w:rPr>
        <w:t xml:space="preserve">hools’ success in meeting MAGs. </w:t>
      </w:r>
      <w:r w:rsidR="00E8506C" w:rsidRPr="00AC3005">
        <w:rPr>
          <w:sz w:val="22"/>
          <w:szCs w:val="22"/>
        </w:rPr>
        <w:t>Eleven of the 14 Achievement Gain schools</w:t>
      </w:r>
      <w:r w:rsidR="00E8506C" w:rsidRPr="00CD7348">
        <w:rPr>
          <w:rStyle w:val="FootnoteReference"/>
          <w:sz w:val="22"/>
          <w:szCs w:val="22"/>
        </w:rPr>
        <w:footnoteReference w:id="21"/>
      </w:r>
      <w:r w:rsidR="00E8506C" w:rsidRPr="00AC3005">
        <w:rPr>
          <w:sz w:val="22"/>
          <w:szCs w:val="22"/>
        </w:rPr>
        <w:t xml:space="preserve"> experienced turnover rates of 35 % or greater and 8 had turnover rates of over 50 %.</w:t>
      </w:r>
      <w:r w:rsidR="00B44F6A">
        <w:rPr>
          <w:sz w:val="22"/>
          <w:szCs w:val="22"/>
        </w:rPr>
        <w:t xml:space="preserve"> </w:t>
      </w:r>
      <w:r w:rsidR="00E8506C" w:rsidRPr="00AC3005">
        <w:rPr>
          <w:sz w:val="22"/>
          <w:szCs w:val="22"/>
        </w:rPr>
        <w:t xml:space="preserve">Of the 9 schools not on target, 9 had turnover rates of 34 % or lower and none had a turnover rate of over 50%.  </w:t>
      </w:r>
    </w:p>
    <w:p w:rsidR="00E8506C" w:rsidRDefault="00E8506C" w:rsidP="00E8506C">
      <w:pPr>
        <w:spacing w:line="288" w:lineRule="auto"/>
        <w:rPr>
          <w:sz w:val="21"/>
          <w:szCs w:val="21"/>
        </w:rPr>
      </w:pPr>
    </w:p>
    <w:p w:rsidR="00C05939" w:rsidRPr="00C05939" w:rsidRDefault="00696C03" w:rsidP="00145FF0">
      <w:pPr>
        <w:pStyle w:val="ListParagraph"/>
        <w:numPr>
          <w:ilvl w:val="0"/>
          <w:numId w:val="27"/>
        </w:numPr>
        <w:spacing w:line="288" w:lineRule="auto"/>
        <w:rPr>
          <w:b/>
          <w:sz w:val="22"/>
          <w:szCs w:val="22"/>
        </w:rPr>
      </w:pPr>
      <w:r>
        <w:rPr>
          <w:b/>
          <w:sz w:val="22"/>
          <w:szCs w:val="22"/>
        </w:rPr>
        <w:t>While Achievement Gain schools show signs of stabilizing te</w:t>
      </w:r>
      <w:r w:rsidR="00C6056D">
        <w:rPr>
          <w:b/>
          <w:sz w:val="22"/>
          <w:szCs w:val="22"/>
        </w:rPr>
        <w:t>acher turnover over two years (</w:t>
      </w:r>
      <w:r>
        <w:rPr>
          <w:b/>
          <w:sz w:val="22"/>
          <w:szCs w:val="22"/>
        </w:rPr>
        <w:t>after recruiting and hiring new teachers in year one of the turnaround effort</w:t>
      </w:r>
      <w:r w:rsidR="007D193B">
        <w:rPr>
          <w:b/>
          <w:sz w:val="22"/>
          <w:szCs w:val="22"/>
        </w:rPr>
        <w:t>)</w:t>
      </w:r>
      <w:r>
        <w:rPr>
          <w:b/>
          <w:sz w:val="22"/>
          <w:szCs w:val="22"/>
        </w:rPr>
        <w:t xml:space="preserve">, Non-Gain schools are experiencing increased rates of teacher turnover during year two and year three of turnaround efforts.  </w:t>
      </w:r>
    </w:p>
    <w:p w:rsidR="00C05939" w:rsidRDefault="00C05939" w:rsidP="00E8506C">
      <w:pPr>
        <w:spacing w:line="288" w:lineRule="auto"/>
        <w:rPr>
          <w:sz w:val="22"/>
          <w:szCs w:val="22"/>
        </w:rPr>
      </w:pPr>
    </w:p>
    <w:p w:rsidR="00E8506C" w:rsidRPr="00CD7348" w:rsidRDefault="00E8506C" w:rsidP="00E8506C">
      <w:pPr>
        <w:spacing w:line="288" w:lineRule="auto"/>
        <w:rPr>
          <w:sz w:val="22"/>
          <w:szCs w:val="22"/>
        </w:rPr>
      </w:pPr>
      <w:r w:rsidRPr="00CD7348">
        <w:rPr>
          <w:sz w:val="22"/>
          <w:szCs w:val="22"/>
        </w:rPr>
        <w:t>The tea</w:t>
      </w:r>
      <w:r>
        <w:rPr>
          <w:sz w:val="22"/>
          <w:szCs w:val="22"/>
        </w:rPr>
        <w:t>cher turnover rates among the 14</w:t>
      </w:r>
      <w:r w:rsidRPr="00CD7348">
        <w:rPr>
          <w:sz w:val="22"/>
          <w:szCs w:val="22"/>
        </w:rPr>
        <w:t xml:space="preserve"> schools on an improvement trajectory declined by 28% between 2010-11 and 2011-12, suggesting that turnover rates in improving school are stabilizing. In contrast, the turnover rate among schools not making progress increased by 15% (from 23% to 38%) between 2010-11 and 2011-12. </w:t>
      </w:r>
      <w:r w:rsidR="00AA5D5F">
        <w:rPr>
          <w:sz w:val="22"/>
          <w:szCs w:val="22"/>
        </w:rPr>
        <w:t>Table C2 in Appendix C</w:t>
      </w:r>
      <w:r w:rsidR="00C05939">
        <w:rPr>
          <w:sz w:val="22"/>
          <w:szCs w:val="22"/>
        </w:rPr>
        <w:t xml:space="preserve"> provides detailed teacher turnover rates for all of the Achievement Gain and Non-Gain schools.</w:t>
      </w:r>
      <w:r w:rsidRPr="00CD7348">
        <w:rPr>
          <w:sz w:val="22"/>
          <w:szCs w:val="22"/>
        </w:rPr>
        <w:t xml:space="preserve">  </w:t>
      </w:r>
    </w:p>
    <w:p w:rsidR="00E8506C" w:rsidRPr="00CD7348" w:rsidRDefault="00E8506C" w:rsidP="00E8506C">
      <w:pPr>
        <w:spacing w:line="288" w:lineRule="auto"/>
        <w:rPr>
          <w:sz w:val="22"/>
          <w:szCs w:val="22"/>
        </w:rPr>
      </w:pPr>
    </w:p>
    <w:p w:rsidR="00B0072C" w:rsidRPr="00B0072C" w:rsidRDefault="00E8506C" w:rsidP="00E8506C">
      <w:pPr>
        <w:spacing w:line="288" w:lineRule="auto"/>
      </w:pPr>
      <w:r w:rsidRPr="00CD7348">
        <w:rPr>
          <w:sz w:val="22"/>
          <w:szCs w:val="22"/>
        </w:rPr>
        <w:t xml:space="preserve">While there appears to be a strong relationship between teacher turnover rates and a school’s achievement trajectory, the meaning of this relationship is not clear. For instance, teachers may be departing a school because improvement efforts are not working </w:t>
      </w:r>
      <w:r w:rsidRPr="00CD7348">
        <w:rPr>
          <w:b/>
          <w:sz w:val="22"/>
          <w:szCs w:val="22"/>
        </w:rPr>
        <w:t xml:space="preserve">or </w:t>
      </w:r>
      <w:r w:rsidRPr="00CD7348">
        <w:rPr>
          <w:sz w:val="22"/>
          <w:szCs w:val="22"/>
        </w:rPr>
        <w:t>the school leader may be slowly encouraging particular teachers to look for work elsewhere. Additionally, district policies (e.g., bidding and bumping, other hiring practices) may be influencing turnover rates. Additional document analysis and interviews with school principals and district staff is necessary to better understand how teacher turnover is related to school turnaround</w:t>
      </w:r>
      <w:r>
        <w:rPr>
          <w:sz w:val="22"/>
          <w:szCs w:val="22"/>
        </w:rPr>
        <w:t xml:space="preserve"> efforts</w:t>
      </w:r>
      <w:r w:rsidR="00C6056D">
        <w:rPr>
          <w:sz w:val="22"/>
          <w:szCs w:val="22"/>
        </w:rPr>
        <w:t>.</w:t>
      </w:r>
    </w:p>
    <w:p w:rsidR="00B0072C" w:rsidRPr="00B0072C" w:rsidRDefault="00B0072C" w:rsidP="00B0072C"/>
    <w:p w:rsidR="00B0072C" w:rsidRPr="00B0072C" w:rsidRDefault="00B0072C" w:rsidP="00B0072C"/>
    <w:p w:rsidR="00B0072C" w:rsidRPr="00B0072C" w:rsidRDefault="00B0072C" w:rsidP="00B0072C"/>
    <w:p w:rsidR="00B0072C" w:rsidRPr="00B0072C" w:rsidRDefault="00B0072C" w:rsidP="00B0072C"/>
    <w:p w:rsidR="00B0072C" w:rsidRPr="00B0072C" w:rsidRDefault="00B0072C" w:rsidP="00B0072C"/>
    <w:p w:rsidR="004F0734" w:rsidRDefault="004F0734" w:rsidP="00B0072C">
      <w:pPr>
        <w:sectPr w:rsidR="004F0734" w:rsidSect="00E60986">
          <w:type w:val="continuous"/>
          <w:pgSz w:w="12240" w:h="15840"/>
          <w:pgMar w:top="1440" w:right="1152" w:bottom="1152" w:left="1152" w:header="720" w:footer="720" w:gutter="0"/>
          <w:cols w:space="720"/>
        </w:sectPr>
      </w:pPr>
    </w:p>
    <w:p w:rsidR="004F0734" w:rsidRDefault="004F0734" w:rsidP="004F0734"/>
    <w:p w:rsidR="00B94E07" w:rsidRPr="004F0734" w:rsidRDefault="00A97869" w:rsidP="004F0734">
      <w:pPr>
        <w:rPr>
          <w:b/>
        </w:rPr>
      </w:pPr>
      <w:r w:rsidRPr="004F0734">
        <w:rPr>
          <w:b/>
        </w:rPr>
        <w:t>Appendix A</w:t>
      </w:r>
      <w:r w:rsidR="004F0734" w:rsidRPr="004F0734">
        <w:rPr>
          <w:b/>
        </w:rPr>
        <w:t xml:space="preserve">: List of </w:t>
      </w:r>
      <w:r w:rsidR="004F0734">
        <w:rPr>
          <w:b/>
        </w:rPr>
        <w:t>Indicators</w:t>
      </w:r>
      <w:r w:rsidR="004F0734" w:rsidRPr="004F0734">
        <w:rPr>
          <w:b/>
        </w:rPr>
        <w:t xml:space="preserve"> </w:t>
      </w:r>
      <w:r w:rsidR="004F0734">
        <w:rPr>
          <w:b/>
        </w:rPr>
        <w:t>of</w:t>
      </w:r>
      <w:r w:rsidR="004F0734" w:rsidRPr="004F0734">
        <w:rPr>
          <w:b/>
        </w:rPr>
        <w:t xml:space="preserve"> Measurable Annual Goals</w:t>
      </w:r>
    </w:p>
    <w:p w:rsidR="004F0734" w:rsidRDefault="004F0734" w:rsidP="004F0734"/>
    <w:p w:rsidR="004F0734" w:rsidRPr="004F0734" w:rsidRDefault="004F0734" w:rsidP="004F0734">
      <w:pPr>
        <w:spacing w:before="120" w:after="120"/>
        <w:ind w:left="360"/>
        <w:rPr>
          <w:rFonts w:eastAsia="Times New Roman"/>
          <w:color w:val="222222"/>
          <w:sz w:val="22"/>
          <w:szCs w:val="22"/>
        </w:rPr>
      </w:pPr>
      <w:r>
        <w:rPr>
          <w:rFonts w:eastAsia="Times New Roman"/>
          <w:color w:val="222222"/>
          <w:sz w:val="22"/>
          <w:szCs w:val="22"/>
        </w:rPr>
        <w:t>Drop-</w:t>
      </w:r>
      <w:r w:rsidRPr="004F0734">
        <w:rPr>
          <w:rFonts w:eastAsia="Times New Roman"/>
          <w:color w:val="222222"/>
          <w:sz w:val="22"/>
          <w:szCs w:val="22"/>
        </w:rPr>
        <w:t>out Rate</w:t>
      </w:r>
    </w:p>
    <w:p w:rsidR="004F0734" w:rsidRPr="004F0734" w:rsidRDefault="004F0734" w:rsidP="004F0734">
      <w:pPr>
        <w:spacing w:before="120" w:after="120"/>
        <w:ind w:left="360"/>
        <w:rPr>
          <w:rFonts w:eastAsia="Times New Roman"/>
          <w:color w:val="222222"/>
          <w:sz w:val="22"/>
          <w:szCs w:val="22"/>
        </w:rPr>
      </w:pPr>
      <w:r w:rsidRPr="004F0734">
        <w:rPr>
          <w:rFonts w:eastAsia="Times New Roman"/>
          <w:color w:val="222222"/>
          <w:sz w:val="22"/>
          <w:szCs w:val="22"/>
        </w:rPr>
        <w:t>Graduation Rate 4yr</w:t>
      </w:r>
    </w:p>
    <w:p w:rsidR="004F0734" w:rsidRPr="004F0734" w:rsidRDefault="004F0734" w:rsidP="004F0734">
      <w:pPr>
        <w:spacing w:before="120" w:after="120"/>
        <w:ind w:left="360"/>
        <w:rPr>
          <w:rFonts w:eastAsia="Times New Roman"/>
          <w:color w:val="222222"/>
          <w:sz w:val="22"/>
          <w:szCs w:val="22"/>
        </w:rPr>
      </w:pPr>
      <w:r w:rsidRPr="004F0734">
        <w:rPr>
          <w:rFonts w:eastAsia="Times New Roman"/>
          <w:color w:val="222222"/>
          <w:sz w:val="22"/>
          <w:szCs w:val="22"/>
        </w:rPr>
        <w:t>Composite Performance Index (CPI): ELA, all students in all grades</w:t>
      </w:r>
    </w:p>
    <w:p w:rsidR="004F0734" w:rsidRPr="004F0734" w:rsidRDefault="004F0734" w:rsidP="004F0734">
      <w:pPr>
        <w:spacing w:before="120" w:after="120"/>
        <w:ind w:left="360"/>
        <w:rPr>
          <w:rFonts w:eastAsia="Times New Roman"/>
          <w:color w:val="222222"/>
          <w:sz w:val="22"/>
          <w:szCs w:val="22"/>
        </w:rPr>
      </w:pPr>
      <w:r w:rsidRPr="004F0734">
        <w:rPr>
          <w:rFonts w:eastAsia="Times New Roman"/>
          <w:color w:val="222222"/>
          <w:sz w:val="22"/>
          <w:szCs w:val="22"/>
        </w:rPr>
        <w:t>Composite Performan</w:t>
      </w:r>
      <w:r>
        <w:rPr>
          <w:rFonts w:eastAsia="Times New Roman"/>
          <w:color w:val="222222"/>
          <w:sz w:val="22"/>
          <w:szCs w:val="22"/>
        </w:rPr>
        <w:t>ce Index (CPI): ELA, high needs</w:t>
      </w:r>
      <w:r w:rsidRPr="004F0734">
        <w:rPr>
          <w:rFonts w:eastAsia="Times New Roman"/>
          <w:color w:val="222222"/>
          <w:sz w:val="22"/>
          <w:szCs w:val="22"/>
        </w:rPr>
        <w:t xml:space="preserve"> students in all grades</w:t>
      </w:r>
    </w:p>
    <w:p w:rsidR="004F0734" w:rsidRPr="004F0734" w:rsidRDefault="004F0734" w:rsidP="004F0734">
      <w:pPr>
        <w:spacing w:before="120" w:after="120"/>
        <w:ind w:left="360"/>
        <w:rPr>
          <w:rFonts w:eastAsia="Times New Roman"/>
          <w:color w:val="222222"/>
          <w:sz w:val="22"/>
          <w:szCs w:val="22"/>
        </w:rPr>
      </w:pPr>
      <w:r w:rsidRPr="004F0734">
        <w:rPr>
          <w:rFonts w:eastAsia="Times New Roman"/>
          <w:color w:val="222222"/>
          <w:sz w:val="22"/>
          <w:szCs w:val="22"/>
        </w:rPr>
        <w:t>Composite Performance Index (CPI): Math, all students in all grades</w:t>
      </w:r>
    </w:p>
    <w:p w:rsidR="004F0734" w:rsidRPr="004F0734" w:rsidRDefault="004F0734" w:rsidP="004F0734">
      <w:pPr>
        <w:spacing w:before="120" w:after="120"/>
        <w:ind w:left="360"/>
        <w:rPr>
          <w:rFonts w:eastAsia="Times New Roman"/>
          <w:color w:val="222222"/>
          <w:sz w:val="22"/>
          <w:szCs w:val="22"/>
        </w:rPr>
      </w:pPr>
      <w:r w:rsidRPr="004F0734">
        <w:rPr>
          <w:rFonts w:eastAsia="Times New Roman"/>
          <w:color w:val="222222"/>
          <w:sz w:val="22"/>
          <w:szCs w:val="22"/>
        </w:rPr>
        <w:t>Composite Performanc</w:t>
      </w:r>
      <w:r>
        <w:rPr>
          <w:rFonts w:eastAsia="Times New Roman"/>
          <w:color w:val="222222"/>
          <w:sz w:val="22"/>
          <w:szCs w:val="22"/>
        </w:rPr>
        <w:t>e Index (CPI): Math, high needs</w:t>
      </w:r>
      <w:r w:rsidRPr="004F0734">
        <w:rPr>
          <w:rFonts w:eastAsia="Times New Roman"/>
          <w:color w:val="222222"/>
          <w:sz w:val="22"/>
          <w:szCs w:val="22"/>
        </w:rPr>
        <w:t xml:space="preserve"> students in all grades</w:t>
      </w:r>
    </w:p>
    <w:p w:rsidR="004F0734" w:rsidRPr="004F0734" w:rsidRDefault="004F0734" w:rsidP="004F0734">
      <w:pPr>
        <w:spacing w:before="120" w:after="120"/>
        <w:ind w:left="360"/>
        <w:rPr>
          <w:rFonts w:eastAsia="Times New Roman"/>
          <w:color w:val="222222"/>
          <w:sz w:val="22"/>
          <w:szCs w:val="22"/>
        </w:rPr>
      </w:pPr>
      <w:r w:rsidRPr="004F0734">
        <w:rPr>
          <w:rFonts w:eastAsia="Times New Roman"/>
          <w:color w:val="222222"/>
          <w:sz w:val="22"/>
          <w:szCs w:val="22"/>
        </w:rPr>
        <w:t>Percentage of students scoring Warning / Failing on MCAS: ELA, all students in all grades</w:t>
      </w:r>
    </w:p>
    <w:p w:rsidR="004F0734" w:rsidRPr="004F0734" w:rsidRDefault="004F0734" w:rsidP="004F0734">
      <w:pPr>
        <w:spacing w:before="120" w:after="120"/>
        <w:ind w:left="360"/>
        <w:rPr>
          <w:rFonts w:eastAsia="Times New Roman"/>
          <w:color w:val="222222"/>
          <w:sz w:val="22"/>
          <w:szCs w:val="22"/>
        </w:rPr>
      </w:pPr>
      <w:r w:rsidRPr="004F0734">
        <w:rPr>
          <w:rFonts w:eastAsia="Times New Roman"/>
          <w:color w:val="222222"/>
          <w:sz w:val="22"/>
          <w:szCs w:val="22"/>
        </w:rPr>
        <w:t xml:space="preserve">Percentage of students scoring Warning / Failing on MCAS: </w:t>
      </w:r>
      <w:r>
        <w:rPr>
          <w:rFonts w:eastAsia="Times New Roman"/>
          <w:color w:val="222222"/>
          <w:sz w:val="22"/>
          <w:szCs w:val="22"/>
        </w:rPr>
        <w:t>ELA, high needs</w:t>
      </w:r>
      <w:r w:rsidRPr="004F0734">
        <w:rPr>
          <w:rFonts w:eastAsia="Times New Roman"/>
          <w:color w:val="222222"/>
          <w:sz w:val="22"/>
          <w:szCs w:val="22"/>
        </w:rPr>
        <w:t xml:space="preserve"> students in all grades</w:t>
      </w:r>
    </w:p>
    <w:p w:rsidR="004F0734" w:rsidRPr="004F0734" w:rsidRDefault="004F0734" w:rsidP="004F0734">
      <w:pPr>
        <w:spacing w:before="120" w:after="120"/>
        <w:ind w:left="360"/>
        <w:rPr>
          <w:rFonts w:eastAsia="Times New Roman"/>
          <w:color w:val="222222"/>
          <w:sz w:val="22"/>
          <w:szCs w:val="22"/>
        </w:rPr>
      </w:pPr>
      <w:r w:rsidRPr="004F0734">
        <w:rPr>
          <w:rFonts w:eastAsia="Times New Roman"/>
          <w:color w:val="222222"/>
          <w:sz w:val="22"/>
          <w:szCs w:val="22"/>
        </w:rPr>
        <w:t>Percentage of students scoring Warning / Failing on MCAS: Math, all students in all grades</w:t>
      </w:r>
    </w:p>
    <w:p w:rsidR="004F0734" w:rsidRPr="004F0734" w:rsidRDefault="004F0734" w:rsidP="004F0734">
      <w:pPr>
        <w:spacing w:before="120" w:after="120"/>
        <w:ind w:left="360"/>
        <w:rPr>
          <w:rFonts w:eastAsia="Times New Roman"/>
          <w:color w:val="222222"/>
          <w:sz w:val="22"/>
          <w:szCs w:val="22"/>
        </w:rPr>
      </w:pPr>
      <w:r w:rsidRPr="004F0734">
        <w:rPr>
          <w:rFonts w:eastAsia="Times New Roman"/>
          <w:color w:val="222222"/>
          <w:sz w:val="22"/>
          <w:szCs w:val="22"/>
        </w:rPr>
        <w:t>Percentage of students scoring Warning / Fa</w:t>
      </w:r>
      <w:r>
        <w:rPr>
          <w:rFonts w:eastAsia="Times New Roman"/>
          <w:color w:val="222222"/>
          <w:sz w:val="22"/>
          <w:szCs w:val="22"/>
        </w:rPr>
        <w:t>iling on MCAS: Math, high needs</w:t>
      </w:r>
      <w:r w:rsidRPr="004F0734">
        <w:rPr>
          <w:rFonts w:eastAsia="Times New Roman"/>
          <w:color w:val="222222"/>
          <w:sz w:val="22"/>
          <w:szCs w:val="22"/>
        </w:rPr>
        <w:t xml:space="preserve"> students in all grades</w:t>
      </w:r>
    </w:p>
    <w:p w:rsidR="004F0734" w:rsidRPr="004F0734" w:rsidRDefault="004F0734" w:rsidP="004F0734">
      <w:pPr>
        <w:spacing w:before="120" w:after="120"/>
        <w:ind w:left="360"/>
        <w:rPr>
          <w:rFonts w:eastAsia="Times New Roman"/>
          <w:color w:val="222222"/>
          <w:sz w:val="22"/>
          <w:szCs w:val="22"/>
        </w:rPr>
      </w:pPr>
      <w:r w:rsidRPr="004F0734">
        <w:rPr>
          <w:rFonts w:eastAsia="Times New Roman"/>
          <w:color w:val="222222"/>
          <w:sz w:val="22"/>
          <w:szCs w:val="22"/>
        </w:rPr>
        <w:t>Median Student Growth Percentile (SGP): ELA, all students in all grades</w:t>
      </w:r>
    </w:p>
    <w:p w:rsidR="004F0734" w:rsidRPr="004F0734" w:rsidRDefault="004F0734" w:rsidP="004F0734">
      <w:pPr>
        <w:spacing w:before="120" w:after="120"/>
        <w:ind w:left="360"/>
        <w:rPr>
          <w:rFonts w:eastAsia="Times New Roman"/>
          <w:color w:val="222222"/>
          <w:sz w:val="22"/>
          <w:szCs w:val="22"/>
        </w:rPr>
      </w:pPr>
      <w:r w:rsidRPr="004F0734">
        <w:rPr>
          <w:rFonts w:eastAsia="Times New Roman"/>
          <w:color w:val="222222"/>
          <w:sz w:val="22"/>
          <w:szCs w:val="22"/>
        </w:rPr>
        <w:t>Median Student Growth Pe</w:t>
      </w:r>
      <w:r>
        <w:rPr>
          <w:rFonts w:eastAsia="Times New Roman"/>
          <w:color w:val="222222"/>
          <w:sz w:val="22"/>
          <w:szCs w:val="22"/>
        </w:rPr>
        <w:t>rcentile (SGP): ELA, high needs</w:t>
      </w:r>
      <w:r w:rsidRPr="004F0734">
        <w:rPr>
          <w:rFonts w:eastAsia="Times New Roman"/>
          <w:color w:val="222222"/>
          <w:sz w:val="22"/>
          <w:szCs w:val="22"/>
        </w:rPr>
        <w:t xml:space="preserve"> students in all grades</w:t>
      </w:r>
    </w:p>
    <w:p w:rsidR="004F0734" w:rsidRPr="004F0734" w:rsidRDefault="004F0734" w:rsidP="004F0734">
      <w:pPr>
        <w:spacing w:before="120" w:after="120"/>
        <w:ind w:left="360"/>
        <w:rPr>
          <w:rFonts w:eastAsia="Times New Roman"/>
          <w:color w:val="222222"/>
          <w:sz w:val="22"/>
          <w:szCs w:val="22"/>
        </w:rPr>
      </w:pPr>
      <w:r w:rsidRPr="004F0734">
        <w:rPr>
          <w:rFonts w:eastAsia="Times New Roman"/>
          <w:color w:val="222222"/>
          <w:sz w:val="22"/>
          <w:szCs w:val="22"/>
        </w:rPr>
        <w:t>Median Student Growth Percentile (SGP): Math, all students in all grades</w:t>
      </w:r>
    </w:p>
    <w:p w:rsidR="004F0734" w:rsidRPr="004F0734" w:rsidRDefault="004F0734" w:rsidP="004F0734">
      <w:pPr>
        <w:spacing w:before="120" w:after="120"/>
        <w:ind w:left="360"/>
        <w:rPr>
          <w:rFonts w:eastAsia="Times New Roman"/>
          <w:color w:val="222222"/>
          <w:sz w:val="22"/>
          <w:szCs w:val="22"/>
        </w:rPr>
      </w:pPr>
      <w:r w:rsidRPr="004F0734">
        <w:rPr>
          <w:rFonts w:eastAsia="Times New Roman"/>
          <w:color w:val="222222"/>
          <w:sz w:val="22"/>
          <w:szCs w:val="22"/>
        </w:rPr>
        <w:t>Median Student Growth Per</w:t>
      </w:r>
      <w:r>
        <w:rPr>
          <w:rFonts w:eastAsia="Times New Roman"/>
          <w:color w:val="222222"/>
          <w:sz w:val="22"/>
          <w:szCs w:val="22"/>
        </w:rPr>
        <w:t>centile (SGP): Math, high needs</w:t>
      </w:r>
      <w:r w:rsidRPr="004F0734">
        <w:rPr>
          <w:rFonts w:eastAsia="Times New Roman"/>
          <w:color w:val="222222"/>
          <w:sz w:val="22"/>
          <w:szCs w:val="22"/>
        </w:rPr>
        <w:t xml:space="preserve"> students in all grades</w:t>
      </w:r>
    </w:p>
    <w:p w:rsidR="004F0734" w:rsidRDefault="004F0734" w:rsidP="004F0734"/>
    <w:p w:rsidR="00A97869" w:rsidRDefault="00A97869"/>
    <w:p w:rsidR="00A97869" w:rsidRDefault="00A97869"/>
    <w:p w:rsidR="00B03EE3" w:rsidRDefault="00B03EE3" w:rsidP="00AA5D5F">
      <w:pPr>
        <w:rPr>
          <w:b/>
        </w:rPr>
        <w:sectPr w:rsidR="00B03EE3" w:rsidSect="00B03EE3">
          <w:footerReference w:type="default" r:id="rId34"/>
          <w:pgSz w:w="12240" w:h="15840"/>
          <w:pgMar w:top="1152" w:right="1152" w:bottom="1152" w:left="1152" w:header="720" w:footer="720" w:gutter="0"/>
          <w:pgNumType w:fmt="upperLetter" w:start="1"/>
          <w:cols w:space="720"/>
        </w:sectPr>
      </w:pPr>
    </w:p>
    <w:p w:rsidR="00966AFB" w:rsidRPr="00B03EE3" w:rsidRDefault="00966AFB" w:rsidP="00966AFB">
      <w:r>
        <w:rPr>
          <w:b/>
        </w:rPr>
        <w:lastRenderedPageBreak/>
        <w:t>Appendix B</w:t>
      </w:r>
      <w:r w:rsidRPr="00AA5D5F">
        <w:rPr>
          <w:b/>
        </w:rPr>
        <w:t>: Data Sources and Methodology</w:t>
      </w:r>
    </w:p>
    <w:p w:rsidR="00966AFB" w:rsidRDefault="00966AFB" w:rsidP="00B1473D">
      <w:pPr>
        <w:spacing w:beforeLines="25" w:line="288" w:lineRule="auto"/>
        <w:rPr>
          <w:sz w:val="22"/>
          <w:szCs w:val="22"/>
        </w:rPr>
      </w:pPr>
    </w:p>
    <w:p w:rsidR="00966AFB" w:rsidRPr="008718FA" w:rsidRDefault="00966AFB" w:rsidP="00B1473D">
      <w:pPr>
        <w:spacing w:beforeLines="25" w:line="288" w:lineRule="auto"/>
        <w:rPr>
          <w:sz w:val="22"/>
          <w:szCs w:val="22"/>
        </w:rPr>
      </w:pPr>
      <w:r w:rsidRPr="008718FA">
        <w:rPr>
          <w:sz w:val="22"/>
          <w:szCs w:val="22"/>
        </w:rPr>
        <w:t>Data Sources:</w:t>
      </w:r>
    </w:p>
    <w:p w:rsidR="00966AFB" w:rsidRPr="008718FA" w:rsidRDefault="00966AFB" w:rsidP="00966AFB">
      <w:pPr>
        <w:pStyle w:val="ListParagraph"/>
        <w:numPr>
          <w:ilvl w:val="0"/>
          <w:numId w:val="27"/>
        </w:numPr>
        <w:spacing w:line="288" w:lineRule="auto"/>
        <w:rPr>
          <w:sz w:val="22"/>
          <w:szCs w:val="22"/>
        </w:rPr>
      </w:pPr>
      <w:r w:rsidRPr="008718FA">
        <w:rPr>
          <w:sz w:val="22"/>
          <w:szCs w:val="22"/>
        </w:rPr>
        <w:t xml:space="preserve">Monitoring Site Visit </w:t>
      </w:r>
      <w:r>
        <w:rPr>
          <w:sz w:val="22"/>
          <w:szCs w:val="22"/>
        </w:rPr>
        <w:t xml:space="preserve">(MSV) </w:t>
      </w:r>
      <w:r w:rsidRPr="008718FA">
        <w:rPr>
          <w:sz w:val="22"/>
          <w:szCs w:val="22"/>
        </w:rPr>
        <w:t>Reports: Spring 2011 and 2012</w:t>
      </w:r>
    </w:p>
    <w:p w:rsidR="00966AFB" w:rsidRPr="008718FA" w:rsidRDefault="00966AFB" w:rsidP="00966AFB">
      <w:pPr>
        <w:pStyle w:val="ListParagraph"/>
        <w:numPr>
          <w:ilvl w:val="0"/>
          <w:numId w:val="27"/>
        </w:numPr>
        <w:spacing w:line="288" w:lineRule="auto"/>
        <w:rPr>
          <w:sz w:val="22"/>
          <w:szCs w:val="22"/>
        </w:rPr>
      </w:pPr>
      <w:r w:rsidRPr="008718FA">
        <w:rPr>
          <w:sz w:val="22"/>
          <w:szCs w:val="22"/>
        </w:rPr>
        <w:t>School Renewal Applications: Spring 2011 and 2012</w:t>
      </w:r>
    </w:p>
    <w:p w:rsidR="00966AFB" w:rsidRPr="008718FA" w:rsidRDefault="00966AFB" w:rsidP="00966AFB">
      <w:pPr>
        <w:pStyle w:val="ListParagraph"/>
        <w:numPr>
          <w:ilvl w:val="0"/>
          <w:numId w:val="27"/>
        </w:numPr>
        <w:spacing w:line="288" w:lineRule="auto"/>
        <w:rPr>
          <w:sz w:val="22"/>
          <w:szCs w:val="22"/>
        </w:rPr>
      </w:pPr>
      <w:r w:rsidRPr="008718FA">
        <w:rPr>
          <w:sz w:val="22"/>
          <w:szCs w:val="22"/>
        </w:rPr>
        <w:t>District and School Budgets: Amended Budgets, 2010-11 and 2011-12</w:t>
      </w:r>
    </w:p>
    <w:p w:rsidR="00966AFB" w:rsidRPr="008718FA" w:rsidRDefault="00966AFB" w:rsidP="00966AFB">
      <w:pPr>
        <w:spacing w:line="288" w:lineRule="auto"/>
        <w:rPr>
          <w:sz w:val="22"/>
          <w:szCs w:val="22"/>
        </w:rPr>
      </w:pPr>
      <w:r w:rsidRPr="008718FA">
        <w:rPr>
          <w:sz w:val="22"/>
          <w:szCs w:val="22"/>
        </w:rPr>
        <w:t>Identification of Achievement Gain and Non-Gain schools</w:t>
      </w:r>
    </w:p>
    <w:p w:rsidR="00966AFB" w:rsidRPr="008718FA" w:rsidRDefault="00966AFB" w:rsidP="00966AFB">
      <w:pPr>
        <w:pStyle w:val="ListParagraph"/>
        <w:numPr>
          <w:ilvl w:val="0"/>
          <w:numId w:val="30"/>
        </w:numPr>
        <w:spacing w:line="288" w:lineRule="auto"/>
        <w:contextualSpacing w:val="0"/>
        <w:rPr>
          <w:sz w:val="22"/>
          <w:szCs w:val="22"/>
        </w:rPr>
      </w:pPr>
      <w:r w:rsidRPr="008718FA">
        <w:rPr>
          <w:sz w:val="22"/>
          <w:szCs w:val="22"/>
        </w:rPr>
        <w:t>The metric “percent remaining to achieve MAGs” was used to determine the initial list of schools for consideration in the analysis; schools within 20% of attaining MAGs were identified as potential Achievement Gain schools and</w:t>
      </w:r>
      <w:r>
        <w:rPr>
          <w:sz w:val="22"/>
          <w:szCs w:val="22"/>
        </w:rPr>
        <w:t xml:space="preserve"> those 60</w:t>
      </w:r>
      <w:r w:rsidRPr="008718FA">
        <w:rPr>
          <w:sz w:val="22"/>
          <w:szCs w:val="22"/>
        </w:rPr>
        <w:t>% away were potential Non-Gain schools.</w:t>
      </w:r>
    </w:p>
    <w:p w:rsidR="00966AFB" w:rsidRPr="008718FA" w:rsidRDefault="00966AFB" w:rsidP="00966AFB">
      <w:pPr>
        <w:pStyle w:val="ListParagraph"/>
        <w:numPr>
          <w:ilvl w:val="0"/>
          <w:numId w:val="30"/>
        </w:numPr>
        <w:spacing w:line="288" w:lineRule="auto"/>
        <w:contextualSpacing w:val="0"/>
        <w:rPr>
          <w:sz w:val="22"/>
          <w:szCs w:val="22"/>
        </w:rPr>
      </w:pPr>
      <w:r w:rsidRPr="008718FA">
        <w:rPr>
          <w:sz w:val="22"/>
          <w:szCs w:val="22"/>
        </w:rPr>
        <w:t>INSTLL</w:t>
      </w:r>
      <w:r>
        <w:rPr>
          <w:sz w:val="22"/>
          <w:szCs w:val="22"/>
        </w:rPr>
        <w:t xml:space="preserve"> then </w:t>
      </w:r>
      <w:r w:rsidRPr="008718FA">
        <w:rPr>
          <w:sz w:val="22"/>
          <w:szCs w:val="22"/>
        </w:rPr>
        <w:t>analyzed the ELA and math CPI achievement gap for each school (and for various subgroups). As a result of our analysis, we</w:t>
      </w:r>
      <w:r>
        <w:rPr>
          <w:sz w:val="22"/>
          <w:szCs w:val="22"/>
        </w:rPr>
        <w:t xml:space="preserve"> identified two additional Achievement Gain schools and two schools were removed from the Non-Gain set of schools. </w:t>
      </w:r>
      <w:r w:rsidRPr="008718FA">
        <w:rPr>
          <w:sz w:val="22"/>
          <w:szCs w:val="22"/>
        </w:rPr>
        <w:t xml:space="preserve"> </w:t>
      </w:r>
      <w:r>
        <w:rPr>
          <w:sz w:val="22"/>
          <w:szCs w:val="22"/>
        </w:rPr>
        <w:t>Additionally, we excluded three of the Achievement Gain schools from the qualitative analysis of emerging practices, due to these schools experiencing gains in only one of the past two years. The use of two metrics to classify schools into the comparison categories provided an added level of confidence that the identified patterns and practices attributed to successful turnaround efforts are valid.</w:t>
      </w:r>
    </w:p>
    <w:p w:rsidR="00966AFB" w:rsidRPr="00966AFB" w:rsidRDefault="00966AFB" w:rsidP="00966AFB">
      <w:pPr>
        <w:spacing w:line="288" w:lineRule="auto"/>
      </w:pPr>
      <w:r w:rsidRPr="00966AFB">
        <w:t>Analysis of Emerging and Sustaining Practices</w:t>
      </w:r>
    </w:p>
    <w:p w:rsidR="00966AFB" w:rsidRPr="00966AFB" w:rsidRDefault="00966AFB" w:rsidP="00966AFB">
      <w:pPr>
        <w:pStyle w:val="NormalWeb"/>
        <w:numPr>
          <w:ilvl w:val="0"/>
          <w:numId w:val="32"/>
        </w:numPr>
        <w:shd w:val="clear" w:color="auto" w:fill="FFFFFF"/>
        <w:spacing w:before="0" w:beforeAutospacing="0" w:after="0" w:afterAutospacing="0" w:line="288" w:lineRule="auto"/>
        <w:rPr>
          <w:sz w:val="22"/>
          <w:szCs w:val="22"/>
        </w:rPr>
      </w:pPr>
      <w:r w:rsidRPr="00966AFB">
        <w:rPr>
          <w:bCs/>
          <w:sz w:val="22"/>
          <w:szCs w:val="22"/>
        </w:rPr>
        <w:t xml:space="preserve">Building upon the 2012 analysis, we conducted a detailed document analysis of monitoring site visit reports and renewal applications, among Achievement Gain and Non-Gain schools, to </w:t>
      </w:r>
      <w:r w:rsidRPr="00966AFB">
        <w:rPr>
          <w:sz w:val="22"/>
          <w:szCs w:val="22"/>
        </w:rPr>
        <w:t xml:space="preserve">identify common and discrepant themes and practices across schools, focusing on (a) the continued use of emerging practices and (b) identification of additional practices, or modifications to practices, across schools. </w:t>
      </w:r>
    </w:p>
    <w:p w:rsidR="00966AFB" w:rsidRPr="00966AFB" w:rsidRDefault="00966AFB" w:rsidP="00966AFB">
      <w:pPr>
        <w:pStyle w:val="NormalWeb"/>
        <w:numPr>
          <w:ilvl w:val="0"/>
          <w:numId w:val="32"/>
        </w:numPr>
        <w:shd w:val="clear" w:color="auto" w:fill="FFFFFF"/>
        <w:spacing w:before="0" w:beforeAutospacing="0" w:after="0" w:afterAutospacing="0" w:line="288" w:lineRule="auto"/>
        <w:rPr>
          <w:sz w:val="22"/>
          <w:szCs w:val="22"/>
        </w:rPr>
      </w:pPr>
      <w:r w:rsidRPr="00966AFB">
        <w:rPr>
          <w:sz w:val="22"/>
          <w:szCs w:val="22"/>
        </w:rPr>
        <w:t xml:space="preserve">Once the significant themes and practices were identified and subsequently refined through an additional analysis of SRG renewal applications, each MSV report was again reviewed to test the assumption that each identified practice played a significant role in the gains made by Achievement Gain schools.  In this iterative process, the articulation of themes and practices was further refined to include connections among various practices that could enhance the explanation of why certain Level schools are having success and other not, yielding the findings as presented in this report. </w:t>
      </w:r>
    </w:p>
    <w:p w:rsidR="00966AFB" w:rsidRPr="00966AFB" w:rsidRDefault="00966AFB" w:rsidP="00966AFB">
      <w:pPr>
        <w:spacing w:line="288" w:lineRule="auto"/>
      </w:pPr>
      <w:r w:rsidRPr="00966AFB">
        <w:t>Budget Analysis Methodology Note</w:t>
      </w:r>
    </w:p>
    <w:p w:rsidR="00966AFB" w:rsidRPr="008319B0" w:rsidRDefault="00966AFB" w:rsidP="00966AFB">
      <w:pPr>
        <w:pStyle w:val="ListParagraph"/>
        <w:numPr>
          <w:ilvl w:val="0"/>
          <w:numId w:val="12"/>
        </w:numPr>
        <w:spacing w:line="288" w:lineRule="auto"/>
        <w:contextualSpacing w:val="0"/>
      </w:pPr>
      <w:r w:rsidRPr="00966AFB">
        <w:rPr>
          <w:sz w:val="22"/>
          <w:szCs w:val="22"/>
        </w:rPr>
        <w:t xml:space="preserve">We did not closely examine the extent to which budgets were aligned with proposed activities </w:t>
      </w:r>
      <w:r>
        <w:rPr>
          <w:sz w:val="22"/>
          <w:szCs w:val="22"/>
        </w:rPr>
        <w:t>and priorities as described in each school’s original proposal or renewal applications.</w:t>
      </w:r>
    </w:p>
    <w:p w:rsidR="00966AFB" w:rsidRPr="00652C97" w:rsidRDefault="00966AFB" w:rsidP="00966AFB">
      <w:pPr>
        <w:pStyle w:val="ListParagraph"/>
        <w:numPr>
          <w:ilvl w:val="0"/>
          <w:numId w:val="12"/>
        </w:numPr>
        <w:spacing w:line="288" w:lineRule="auto"/>
        <w:contextualSpacing w:val="0"/>
        <w:rPr>
          <w:sz w:val="22"/>
          <w:szCs w:val="22"/>
        </w:rPr>
      </w:pPr>
      <w:r w:rsidRPr="00652C97">
        <w:rPr>
          <w:sz w:val="22"/>
          <w:szCs w:val="22"/>
        </w:rPr>
        <w:t xml:space="preserve">Upon reviewing the SRG budgets, we realized that an analysis of budgets based on ESE defined budget categories (e.g., administrators, instructional staff, </w:t>
      </w:r>
      <w:r>
        <w:rPr>
          <w:sz w:val="22"/>
          <w:szCs w:val="22"/>
        </w:rPr>
        <w:t xml:space="preserve">and </w:t>
      </w:r>
      <w:r w:rsidRPr="00652C97">
        <w:rPr>
          <w:sz w:val="22"/>
          <w:szCs w:val="22"/>
        </w:rPr>
        <w:t>support staff) would not provide the nuance needed to understand exactly how schools were using SRG funds.</w:t>
      </w:r>
    </w:p>
    <w:p w:rsidR="00966AFB" w:rsidRPr="00652C97" w:rsidRDefault="00966AFB" w:rsidP="00966AFB">
      <w:pPr>
        <w:pStyle w:val="ListParagraph"/>
        <w:numPr>
          <w:ilvl w:val="0"/>
          <w:numId w:val="12"/>
        </w:numPr>
        <w:spacing w:line="288" w:lineRule="auto"/>
        <w:contextualSpacing w:val="0"/>
        <w:rPr>
          <w:sz w:val="22"/>
          <w:szCs w:val="22"/>
        </w:rPr>
      </w:pPr>
      <w:r w:rsidRPr="00652C97">
        <w:rPr>
          <w:sz w:val="22"/>
          <w:szCs w:val="22"/>
        </w:rPr>
        <w:t>We carefully read the narratives provided in the budgets and budget amendments to develop two groupings of resource use (</w:t>
      </w:r>
      <w:r w:rsidRPr="00652C97">
        <w:rPr>
          <w:sz w:val="22"/>
          <w:szCs w:val="22"/>
          <w:u w:val="single"/>
        </w:rPr>
        <w:t>Implementation Focus</w:t>
      </w:r>
      <w:r w:rsidRPr="00652C97">
        <w:rPr>
          <w:sz w:val="22"/>
          <w:szCs w:val="22"/>
        </w:rPr>
        <w:t xml:space="preserve"> and </w:t>
      </w:r>
      <w:r w:rsidRPr="00652C97">
        <w:rPr>
          <w:sz w:val="22"/>
          <w:szCs w:val="22"/>
          <w:u w:val="single"/>
        </w:rPr>
        <w:t>People and Resources</w:t>
      </w:r>
      <w:r w:rsidRPr="00652C97">
        <w:rPr>
          <w:sz w:val="22"/>
          <w:szCs w:val="22"/>
        </w:rPr>
        <w:t xml:space="preserve">) that provide different frames through which to analyze how schools are using SRG funds.  </w:t>
      </w:r>
    </w:p>
    <w:p w:rsidR="00966AFB" w:rsidRPr="00652C97" w:rsidRDefault="00966AFB" w:rsidP="00966AFB">
      <w:pPr>
        <w:pStyle w:val="ListParagraph"/>
        <w:numPr>
          <w:ilvl w:val="0"/>
          <w:numId w:val="12"/>
        </w:numPr>
        <w:spacing w:line="288" w:lineRule="auto"/>
        <w:contextualSpacing w:val="0"/>
        <w:rPr>
          <w:sz w:val="22"/>
          <w:szCs w:val="22"/>
        </w:rPr>
      </w:pPr>
      <w:r w:rsidRPr="00652C97">
        <w:rPr>
          <w:sz w:val="22"/>
          <w:szCs w:val="22"/>
        </w:rPr>
        <w:t>We then hand coded and categorized the budget allocations for 2</w:t>
      </w:r>
      <w:r>
        <w:rPr>
          <w:sz w:val="22"/>
          <w:szCs w:val="22"/>
        </w:rPr>
        <w:t>010-11 and 2011-12 budget for Level</w:t>
      </w:r>
      <w:r w:rsidRPr="00652C97">
        <w:rPr>
          <w:sz w:val="22"/>
          <w:szCs w:val="22"/>
        </w:rPr>
        <w:t xml:space="preserve"> and SRG schools, including Bridge</w:t>
      </w:r>
      <w:r>
        <w:rPr>
          <w:sz w:val="22"/>
          <w:szCs w:val="22"/>
        </w:rPr>
        <w:t xml:space="preserve"> Grant funds provided to some Level 4</w:t>
      </w:r>
      <w:r w:rsidRPr="00652C97">
        <w:rPr>
          <w:sz w:val="22"/>
          <w:szCs w:val="22"/>
        </w:rPr>
        <w:t xml:space="preserve"> schools in 2010-11. </w:t>
      </w:r>
    </w:p>
    <w:p w:rsidR="00966AFB" w:rsidRDefault="00966AFB" w:rsidP="00966AFB">
      <w:pPr>
        <w:pStyle w:val="ListParagraph"/>
        <w:numPr>
          <w:ilvl w:val="0"/>
          <w:numId w:val="12"/>
        </w:numPr>
        <w:spacing w:line="288" w:lineRule="auto"/>
        <w:contextualSpacing w:val="0"/>
        <w:rPr>
          <w:sz w:val="22"/>
          <w:szCs w:val="22"/>
        </w:rPr>
      </w:pPr>
      <w:r w:rsidRPr="00652C97">
        <w:rPr>
          <w:sz w:val="22"/>
          <w:szCs w:val="22"/>
        </w:rPr>
        <w:t xml:space="preserve">Upon finding little trends or differences in how schools allocated funds from year one to year two, we decided to combine the budgets for 2010-11 and 2011-12 to provide a two year measure of how schools are allocating SRG and Bridge Grant funding. </w:t>
      </w:r>
    </w:p>
    <w:p w:rsidR="00966AFB" w:rsidRPr="008718FA" w:rsidRDefault="00966AFB" w:rsidP="00966AFB">
      <w:pPr>
        <w:pStyle w:val="ListParagraph"/>
        <w:numPr>
          <w:ilvl w:val="0"/>
          <w:numId w:val="12"/>
        </w:numPr>
        <w:spacing w:line="288" w:lineRule="auto"/>
        <w:contextualSpacing w:val="0"/>
        <w:rPr>
          <w:sz w:val="22"/>
          <w:szCs w:val="22"/>
        </w:rPr>
      </w:pPr>
      <w:r w:rsidRPr="008718FA">
        <w:rPr>
          <w:sz w:val="22"/>
          <w:szCs w:val="22"/>
        </w:rPr>
        <w:t>Categories are based on a careful reading and coding of budget narratives through each lens, and our findings are likewise organized according to these two “analytic frames”.</w:t>
      </w:r>
    </w:p>
    <w:p w:rsidR="00966AFB" w:rsidRDefault="00966AFB" w:rsidP="00966AFB">
      <w:pPr>
        <w:sectPr w:rsidR="00966AFB" w:rsidSect="00B03EE3">
          <w:footerReference w:type="default" r:id="rId35"/>
          <w:pgSz w:w="12240" w:h="15840"/>
          <w:pgMar w:top="1152" w:right="1152" w:bottom="1152" w:left="1152" w:header="720" w:footer="720" w:gutter="0"/>
          <w:pgNumType w:fmt="upperLetter" w:start="2"/>
          <w:cols w:space="720"/>
        </w:sectPr>
      </w:pPr>
    </w:p>
    <w:p w:rsidR="00966AFB" w:rsidRPr="00B03EE3" w:rsidRDefault="00966AFB" w:rsidP="00966AFB">
      <w:r>
        <w:rPr>
          <w:b/>
        </w:rPr>
        <w:lastRenderedPageBreak/>
        <w:t>Appendix B</w:t>
      </w:r>
      <w:r w:rsidRPr="00AA5D5F">
        <w:rPr>
          <w:b/>
        </w:rPr>
        <w:t>: Data Sources and Methodology</w:t>
      </w:r>
    </w:p>
    <w:p w:rsidR="00966AFB" w:rsidRDefault="00966AFB" w:rsidP="00966AFB">
      <w:pPr>
        <w:rPr>
          <w:b/>
          <w:sz w:val="20"/>
        </w:rPr>
      </w:pPr>
    </w:p>
    <w:p w:rsidR="00966AFB" w:rsidRPr="00AC47DC" w:rsidRDefault="00966AFB" w:rsidP="00966AFB">
      <w:pPr>
        <w:rPr>
          <w:b/>
          <w:sz w:val="20"/>
        </w:rPr>
      </w:pPr>
      <w:r w:rsidRPr="00AC47DC">
        <w:rPr>
          <w:b/>
          <w:sz w:val="20"/>
        </w:rPr>
        <w:t>Budget Allocation Analytic Frames</w:t>
      </w:r>
    </w:p>
    <w:p w:rsidR="00966AFB" w:rsidRPr="00F2162A" w:rsidRDefault="00966AFB" w:rsidP="00966AFB">
      <w:pPr>
        <w:rPr>
          <w:sz w:val="20"/>
        </w:rPr>
      </w:pPr>
    </w:p>
    <w:p w:rsidR="00966AFB" w:rsidRDefault="00966AFB" w:rsidP="00966AFB">
      <w:pPr>
        <w:spacing w:after="80"/>
        <w:rPr>
          <w:sz w:val="20"/>
        </w:rPr>
      </w:pPr>
      <w:r w:rsidRPr="00AC47DC">
        <w:rPr>
          <w:sz w:val="20"/>
        </w:rPr>
        <w:t>Two analytic frames were used to code budget items:</w:t>
      </w:r>
      <w:r>
        <w:rPr>
          <w:sz w:val="20"/>
        </w:rPr>
        <w:t xml:space="preserve"> (1) </w:t>
      </w:r>
      <w:r w:rsidRPr="006527C0">
        <w:rPr>
          <w:sz w:val="20"/>
        </w:rPr>
        <w:t>Staffing, Time and Resources</w:t>
      </w:r>
      <w:r>
        <w:rPr>
          <w:sz w:val="20"/>
        </w:rPr>
        <w:t xml:space="preserve"> and (2) </w:t>
      </w:r>
      <w:r w:rsidRPr="006527C0">
        <w:rPr>
          <w:sz w:val="20"/>
        </w:rPr>
        <w:t>Improvement Focus</w:t>
      </w:r>
      <w:r>
        <w:rPr>
          <w:sz w:val="20"/>
        </w:rPr>
        <w:t>. Each analytic frame is comprised of specific categories, as follows.</w:t>
      </w:r>
    </w:p>
    <w:p w:rsidR="00966AFB" w:rsidRPr="006527C0" w:rsidRDefault="00966AFB" w:rsidP="00966AFB">
      <w:pPr>
        <w:spacing w:after="80"/>
        <w:rPr>
          <w:sz w:val="20"/>
        </w:rPr>
      </w:pPr>
    </w:p>
    <w:tbl>
      <w:tblPr>
        <w:tblStyle w:val="TableGrid"/>
        <w:tblW w:w="0" w:type="auto"/>
        <w:tblBorders>
          <w:left w:val="none" w:sz="0" w:space="0" w:color="auto"/>
          <w:right w:val="none" w:sz="0" w:space="0" w:color="auto"/>
        </w:tblBorders>
        <w:tblLook w:val="04A0"/>
      </w:tblPr>
      <w:tblGrid>
        <w:gridCol w:w="5688"/>
        <w:gridCol w:w="6390"/>
      </w:tblGrid>
      <w:tr w:rsidR="00966AFB" w:rsidTr="00971151">
        <w:trPr>
          <w:trHeight w:val="2609"/>
        </w:trPr>
        <w:tc>
          <w:tcPr>
            <w:tcW w:w="5688" w:type="dxa"/>
          </w:tcPr>
          <w:p w:rsidR="00966AFB" w:rsidRPr="00F2162A" w:rsidRDefault="00966AFB" w:rsidP="00971151">
            <w:pPr>
              <w:rPr>
                <w:b/>
                <w:sz w:val="20"/>
              </w:rPr>
            </w:pPr>
            <w:r w:rsidRPr="00F2162A">
              <w:rPr>
                <w:b/>
                <w:sz w:val="20"/>
              </w:rPr>
              <w:t xml:space="preserve">(1) Staffing, Time and Resources: </w:t>
            </w:r>
            <w:r w:rsidRPr="00F2162A">
              <w:rPr>
                <w:b/>
                <w:i/>
                <w:sz w:val="20"/>
              </w:rPr>
              <w:t>How and where schools allocate funds?</w:t>
            </w:r>
          </w:p>
          <w:p w:rsidR="00966AFB" w:rsidRPr="00F2162A" w:rsidRDefault="00966AFB" w:rsidP="00971151">
            <w:pPr>
              <w:numPr>
                <w:ilvl w:val="0"/>
                <w:numId w:val="11"/>
              </w:numPr>
              <w:tabs>
                <w:tab w:val="clear" w:pos="720"/>
                <w:tab w:val="num" w:pos="540"/>
              </w:tabs>
              <w:ind w:left="360" w:hanging="270"/>
              <w:rPr>
                <w:sz w:val="20"/>
              </w:rPr>
            </w:pPr>
            <w:r w:rsidRPr="00F2162A">
              <w:rPr>
                <w:b/>
                <w:sz w:val="20"/>
              </w:rPr>
              <w:t>Direct Staffing</w:t>
            </w:r>
            <w:r w:rsidRPr="00F2162A">
              <w:rPr>
                <w:sz w:val="20"/>
              </w:rPr>
              <w:t>: Hiring full/part time staff</w:t>
            </w:r>
          </w:p>
          <w:p w:rsidR="00966AFB" w:rsidRPr="00F2162A" w:rsidRDefault="00966AFB" w:rsidP="00971151">
            <w:pPr>
              <w:numPr>
                <w:ilvl w:val="0"/>
                <w:numId w:val="11"/>
              </w:numPr>
              <w:tabs>
                <w:tab w:val="clear" w:pos="720"/>
                <w:tab w:val="num" w:pos="540"/>
              </w:tabs>
              <w:ind w:left="360" w:hanging="270"/>
              <w:rPr>
                <w:sz w:val="20"/>
              </w:rPr>
            </w:pPr>
            <w:r w:rsidRPr="00F2162A">
              <w:rPr>
                <w:b/>
                <w:sz w:val="20"/>
              </w:rPr>
              <w:t>Stipends</w:t>
            </w:r>
            <w:r w:rsidRPr="00F2162A">
              <w:rPr>
                <w:sz w:val="20"/>
              </w:rPr>
              <w:t xml:space="preserve"> for required extended time, for teachers and </w:t>
            </w:r>
            <w:proofErr w:type="spellStart"/>
            <w:r w:rsidRPr="00F2162A">
              <w:rPr>
                <w:sz w:val="20"/>
              </w:rPr>
              <w:t>para</w:t>
            </w:r>
            <w:proofErr w:type="spellEnd"/>
            <w:r w:rsidRPr="00F2162A">
              <w:rPr>
                <w:sz w:val="20"/>
              </w:rPr>
              <w:t>-professionals.</w:t>
            </w:r>
          </w:p>
          <w:p w:rsidR="00966AFB" w:rsidRPr="00F2162A" w:rsidRDefault="00966AFB" w:rsidP="00971151">
            <w:pPr>
              <w:numPr>
                <w:ilvl w:val="0"/>
                <w:numId w:val="11"/>
              </w:numPr>
              <w:tabs>
                <w:tab w:val="clear" w:pos="720"/>
                <w:tab w:val="num" w:pos="540"/>
              </w:tabs>
              <w:ind w:left="360" w:hanging="270"/>
              <w:rPr>
                <w:sz w:val="20"/>
              </w:rPr>
            </w:pPr>
            <w:r w:rsidRPr="00F2162A">
              <w:rPr>
                <w:b/>
                <w:sz w:val="20"/>
              </w:rPr>
              <w:t>Stipends</w:t>
            </w:r>
            <w:r w:rsidRPr="00F2162A">
              <w:rPr>
                <w:sz w:val="20"/>
              </w:rPr>
              <w:t xml:space="preserve"> for administrators, teachers and substitutes (not part of required extended time) for professional development</w:t>
            </w:r>
          </w:p>
          <w:p w:rsidR="00966AFB" w:rsidRPr="00F2162A" w:rsidRDefault="00966AFB" w:rsidP="00971151">
            <w:pPr>
              <w:numPr>
                <w:ilvl w:val="0"/>
                <w:numId w:val="11"/>
              </w:numPr>
              <w:tabs>
                <w:tab w:val="clear" w:pos="720"/>
                <w:tab w:val="num" w:pos="540"/>
              </w:tabs>
              <w:ind w:left="360" w:hanging="270"/>
              <w:rPr>
                <w:b/>
                <w:sz w:val="20"/>
              </w:rPr>
            </w:pPr>
            <w:r w:rsidRPr="00F2162A">
              <w:rPr>
                <w:b/>
                <w:sz w:val="20"/>
              </w:rPr>
              <w:t>Consultants</w:t>
            </w:r>
          </w:p>
          <w:p w:rsidR="00966AFB" w:rsidRPr="00F2162A" w:rsidRDefault="00966AFB" w:rsidP="00971151">
            <w:pPr>
              <w:numPr>
                <w:ilvl w:val="0"/>
                <w:numId w:val="11"/>
              </w:numPr>
              <w:tabs>
                <w:tab w:val="clear" w:pos="720"/>
                <w:tab w:val="num" w:pos="540"/>
              </w:tabs>
              <w:ind w:left="360" w:hanging="270"/>
              <w:rPr>
                <w:b/>
                <w:sz w:val="20"/>
              </w:rPr>
            </w:pPr>
            <w:r w:rsidRPr="00F2162A">
              <w:rPr>
                <w:b/>
                <w:sz w:val="20"/>
              </w:rPr>
              <w:t>Materials</w:t>
            </w:r>
            <w:r w:rsidRPr="00F2162A">
              <w:rPr>
                <w:sz w:val="20"/>
              </w:rPr>
              <w:t xml:space="preserve">, including technology </w:t>
            </w:r>
          </w:p>
          <w:p w:rsidR="00966AFB" w:rsidRPr="00E40EBE" w:rsidRDefault="00966AFB" w:rsidP="00971151">
            <w:pPr>
              <w:numPr>
                <w:ilvl w:val="0"/>
                <w:numId w:val="11"/>
              </w:numPr>
              <w:tabs>
                <w:tab w:val="clear" w:pos="720"/>
                <w:tab w:val="num" w:pos="540"/>
              </w:tabs>
              <w:ind w:left="360" w:hanging="270"/>
              <w:rPr>
                <w:sz w:val="20"/>
              </w:rPr>
            </w:pPr>
            <w:r w:rsidRPr="00F2162A">
              <w:rPr>
                <w:b/>
                <w:sz w:val="20"/>
              </w:rPr>
              <w:t>Other</w:t>
            </w:r>
            <w:r w:rsidRPr="00F2162A">
              <w:rPr>
                <w:sz w:val="20"/>
              </w:rPr>
              <w:t xml:space="preserve"> (e.g., Incentives, Travel)</w:t>
            </w:r>
          </w:p>
        </w:tc>
        <w:tc>
          <w:tcPr>
            <w:tcW w:w="6390" w:type="dxa"/>
          </w:tcPr>
          <w:p w:rsidR="00966AFB" w:rsidRPr="00F2162A" w:rsidRDefault="00966AFB" w:rsidP="00971151">
            <w:pPr>
              <w:rPr>
                <w:b/>
                <w:sz w:val="20"/>
              </w:rPr>
            </w:pPr>
            <w:r w:rsidRPr="00F2162A">
              <w:rPr>
                <w:b/>
                <w:sz w:val="20"/>
              </w:rPr>
              <w:t xml:space="preserve">(2) Improvement Focus: </w:t>
            </w:r>
            <w:r w:rsidRPr="00F2162A">
              <w:rPr>
                <w:b/>
                <w:i/>
                <w:sz w:val="20"/>
              </w:rPr>
              <w:t>What was the foci and target of SIG funds?</w:t>
            </w:r>
          </w:p>
          <w:p w:rsidR="00966AFB" w:rsidRPr="00F2162A" w:rsidRDefault="00966AFB" w:rsidP="00971151">
            <w:pPr>
              <w:numPr>
                <w:ilvl w:val="0"/>
                <w:numId w:val="10"/>
              </w:numPr>
              <w:tabs>
                <w:tab w:val="clear" w:pos="720"/>
                <w:tab w:val="num" w:pos="360"/>
              </w:tabs>
              <w:ind w:left="360" w:hanging="270"/>
              <w:rPr>
                <w:sz w:val="20"/>
              </w:rPr>
            </w:pPr>
            <w:r w:rsidRPr="00F2162A">
              <w:rPr>
                <w:sz w:val="20"/>
              </w:rPr>
              <w:t>Implementation and oversight</w:t>
            </w:r>
          </w:p>
          <w:p w:rsidR="00966AFB" w:rsidRPr="00F2162A" w:rsidRDefault="00966AFB" w:rsidP="00971151">
            <w:pPr>
              <w:numPr>
                <w:ilvl w:val="0"/>
                <w:numId w:val="10"/>
              </w:numPr>
              <w:tabs>
                <w:tab w:val="clear" w:pos="720"/>
                <w:tab w:val="num" w:pos="360"/>
              </w:tabs>
              <w:ind w:left="360" w:hanging="270"/>
              <w:rPr>
                <w:sz w:val="20"/>
              </w:rPr>
            </w:pPr>
            <w:r w:rsidRPr="00F2162A">
              <w:rPr>
                <w:sz w:val="20"/>
              </w:rPr>
              <w:t>Redesign team planning</w:t>
            </w:r>
          </w:p>
          <w:p w:rsidR="00966AFB" w:rsidRPr="00F2162A" w:rsidRDefault="00966AFB" w:rsidP="00971151">
            <w:pPr>
              <w:numPr>
                <w:ilvl w:val="0"/>
                <w:numId w:val="10"/>
              </w:numPr>
              <w:tabs>
                <w:tab w:val="clear" w:pos="720"/>
                <w:tab w:val="num" w:pos="360"/>
              </w:tabs>
              <w:ind w:left="360" w:hanging="270"/>
              <w:rPr>
                <w:sz w:val="20"/>
              </w:rPr>
            </w:pPr>
            <w:r w:rsidRPr="00F2162A">
              <w:rPr>
                <w:sz w:val="20"/>
              </w:rPr>
              <w:t>Direct instructional support to students</w:t>
            </w:r>
          </w:p>
          <w:p w:rsidR="00966AFB" w:rsidRPr="00F2162A" w:rsidRDefault="00966AFB" w:rsidP="00971151">
            <w:pPr>
              <w:numPr>
                <w:ilvl w:val="0"/>
                <w:numId w:val="10"/>
              </w:numPr>
              <w:tabs>
                <w:tab w:val="clear" w:pos="720"/>
                <w:tab w:val="num" w:pos="360"/>
              </w:tabs>
              <w:ind w:left="360" w:hanging="270"/>
              <w:rPr>
                <w:sz w:val="20"/>
              </w:rPr>
            </w:pPr>
            <w:r w:rsidRPr="00F2162A">
              <w:rPr>
                <w:sz w:val="20"/>
              </w:rPr>
              <w:t>Formal professional development</w:t>
            </w:r>
          </w:p>
          <w:p w:rsidR="00966AFB" w:rsidRPr="00F2162A" w:rsidRDefault="00966AFB" w:rsidP="00971151">
            <w:pPr>
              <w:numPr>
                <w:ilvl w:val="0"/>
                <w:numId w:val="10"/>
              </w:numPr>
              <w:tabs>
                <w:tab w:val="clear" w:pos="720"/>
                <w:tab w:val="num" w:pos="360"/>
              </w:tabs>
              <w:ind w:left="360" w:hanging="270"/>
              <w:rPr>
                <w:sz w:val="20"/>
              </w:rPr>
            </w:pPr>
            <w:r w:rsidRPr="00F2162A">
              <w:rPr>
                <w:sz w:val="20"/>
              </w:rPr>
              <w:t>Job-embedded professional development</w:t>
            </w:r>
          </w:p>
          <w:p w:rsidR="00966AFB" w:rsidRPr="00F2162A" w:rsidRDefault="00966AFB" w:rsidP="00971151">
            <w:pPr>
              <w:numPr>
                <w:ilvl w:val="0"/>
                <w:numId w:val="10"/>
              </w:numPr>
              <w:tabs>
                <w:tab w:val="clear" w:pos="720"/>
                <w:tab w:val="num" w:pos="360"/>
              </w:tabs>
              <w:ind w:left="360" w:hanging="270"/>
              <w:rPr>
                <w:sz w:val="20"/>
              </w:rPr>
            </w:pPr>
            <w:r w:rsidRPr="00F2162A">
              <w:rPr>
                <w:sz w:val="20"/>
              </w:rPr>
              <w:t>Data (primarily new assessments)</w:t>
            </w:r>
          </w:p>
          <w:p w:rsidR="00966AFB" w:rsidRPr="00F2162A" w:rsidRDefault="00966AFB" w:rsidP="00971151">
            <w:pPr>
              <w:numPr>
                <w:ilvl w:val="0"/>
                <w:numId w:val="10"/>
              </w:numPr>
              <w:tabs>
                <w:tab w:val="clear" w:pos="720"/>
                <w:tab w:val="num" w:pos="360"/>
              </w:tabs>
              <w:ind w:left="360" w:hanging="270"/>
              <w:rPr>
                <w:sz w:val="20"/>
              </w:rPr>
            </w:pPr>
            <w:r w:rsidRPr="00F2162A">
              <w:rPr>
                <w:sz w:val="20"/>
              </w:rPr>
              <w:t xml:space="preserve">Materials, including technology </w:t>
            </w:r>
          </w:p>
          <w:p w:rsidR="00966AFB" w:rsidRPr="00F2162A" w:rsidRDefault="00966AFB" w:rsidP="00971151">
            <w:pPr>
              <w:numPr>
                <w:ilvl w:val="0"/>
                <w:numId w:val="10"/>
              </w:numPr>
              <w:tabs>
                <w:tab w:val="clear" w:pos="720"/>
                <w:tab w:val="num" w:pos="360"/>
              </w:tabs>
              <w:ind w:left="360" w:hanging="270"/>
              <w:rPr>
                <w:sz w:val="20"/>
              </w:rPr>
            </w:pPr>
            <w:r w:rsidRPr="00F2162A">
              <w:rPr>
                <w:sz w:val="20"/>
              </w:rPr>
              <w:t>Social-emotional programs and services</w:t>
            </w:r>
          </w:p>
          <w:p w:rsidR="00966AFB" w:rsidRPr="00F2162A" w:rsidRDefault="00966AFB" w:rsidP="00971151">
            <w:pPr>
              <w:numPr>
                <w:ilvl w:val="0"/>
                <w:numId w:val="10"/>
              </w:numPr>
              <w:tabs>
                <w:tab w:val="clear" w:pos="720"/>
                <w:tab w:val="num" w:pos="360"/>
              </w:tabs>
              <w:ind w:left="360" w:hanging="270"/>
              <w:rPr>
                <w:sz w:val="20"/>
              </w:rPr>
            </w:pPr>
            <w:r w:rsidRPr="00F2162A">
              <w:rPr>
                <w:sz w:val="20"/>
              </w:rPr>
              <w:t>Parent and community engagement</w:t>
            </w:r>
          </w:p>
          <w:p w:rsidR="00966AFB" w:rsidRPr="00E40EBE" w:rsidRDefault="00966AFB" w:rsidP="00971151">
            <w:pPr>
              <w:numPr>
                <w:ilvl w:val="0"/>
                <w:numId w:val="10"/>
              </w:numPr>
              <w:tabs>
                <w:tab w:val="clear" w:pos="720"/>
                <w:tab w:val="num" w:pos="360"/>
              </w:tabs>
              <w:ind w:left="360" w:hanging="270"/>
              <w:rPr>
                <w:sz w:val="20"/>
              </w:rPr>
            </w:pPr>
            <w:r w:rsidRPr="00F2162A">
              <w:rPr>
                <w:sz w:val="20"/>
              </w:rPr>
              <w:t>Other/misc</w:t>
            </w:r>
          </w:p>
        </w:tc>
      </w:tr>
    </w:tbl>
    <w:p w:rsidR="00966AFB" w:rsidRDefault="00966AFB" w:rsidP="00966AFB">
      <w:pPr>
        <w:rPr>
          <w:b/>
          <w:sz w:val="20"/>
        </w:rPr>
      </w:pPr>
    </w:p>
    <w:p w:rsidR="00966AFB" w:rsidRPr="00F2162A" w:rsidRDefault="00966AFB" w:rsidP="00966AFB">
      <w:pPr>
        <w:rPr>
          <w:sz w:val="20"/>
        </w:rPr>
      </w:pPr>
      <w:r w:rsidRPr="00AC47DC">
        <w:rPr>
          <w:b/>
          <w:sz w:val="20"/>
          <w:u w:val="single"/>
        </w:rPr>
        <w:t>Budget items were coded using each analytic frame</w:t>
      </w:r>
      <w:r w:rsidRPr="00F2162A">
        <w:rPr>
          <w:sz w:val="20"/>
        </w:rPr>
        <w:t xml:space="preserve">. </w:t>
      </w:r>
      <w:r>
        <w:rPr>
          <w:sz w:val="20"/>
        </w:rPr>
        <w:t xml:space="preserve">Table XX (on the following page) provides an overview of the Analytic Frames used to code each budget items, displaying the overlap between the Staffing, Time and Resources frame and the Improvement Focus frame.  </w:t>
      </w:r>
      <w:r w:rsidRPr="00F2162A">
        <w:rPr>
          <w:sz w:val="20"/>
        </w:rPr>
        <w:t xml:space="preserve">For instance, funding for an external consultant to provide one-on-one reading instruction to targeted students, during or after the school day, would be coded as </w:t>
      </w:r>
      <w:r w:rsidRPr="006F07B3">
        <w:rPr>
          <w:b/>
          <w:i/>
          <w:sz w:val="20"/>
        </w:rPr>
        <w:t>Consultant</w:t>
      </w:r>
      <w:r w:rsidRPr="00F2162A">
        <w:rPr>
          <w:sz w:val="20"/>
        </w:rPr>
        <w:t xml:space="preserve"> and</w:t>
      </w:r>
      <w:r>
        <w:rPr>
          <w:sz w:val="20"/>
        </w:rPr>
        <w:t xml:space="preserve"> as</w:t>
      </w:r>
      <w:r w:rsidRPr="00F2162A">
        <w:rPr>
          <w:sz w:val="20"/>
        </w:rPr>
        <w:t xml:space="preserve"> </w:t>
      </w:r>
      <w:r w:rsidRPr="006F07B3">
        <w:rPr>
          <w:b/>
          <w:i/>
          <w:sz w:val="20"/>
        </w:rPr>
        <w:t xml:space="preserve">Direct Instructional Support </w:t>
      </w:r>
      <w:proofErr w:type="gramStart"/>
      <w:r w:rsidRPr="006F07B3">
        <w:rPr>
          <w:b/>
          <w:i/>
          <w:sz w:val="20"/>
        </w:rPr>
        <w:t>To</w:t>
      </w:r>
      <w:proofErr w:type="gramEnd"/>
      <w:r w:rsidRPr="006F07B3">
        <w:rPr>
          <w:b/>
          <w:i/>
          <w:sz w:val="20"/>
        </w:rPr>
        <w:t xml:space="preserve"> Students</w:t>
      </w:r>
      <w:r w:rsidRPr="00F2162A">
        <w:rPr>
          <w:sz w:val="20"/>
        </w:rPr>
        <w:t xml:space="preserve">. Similarly, a stipend for a math teacher to provide direct instructional support to students on Saturdays would be coded as </w:t>
      </w:r>
      <w:r w:rsidRPr="006558B5">
        <w:rPr>
          <w:b/>
          <w:i/>
          <w:sz w:val="20"/>
        </w:rPr>
        <w:t>Stipend</w:t>
      </w:r>
      <w:r w:rsidRPr="00F2162A">
        <w:rPr>
          <w:sz w:val="20"/>
        </w:rPr>
        <w:t xml:space="preserve"> </w:t>
      </w:r>
      <w:r>
        <w:rPr>
          <w:sz w:val="20"/>
        </w:rPr>
        <w:t>and as</w:t>
      </w:r>
      <w:r w:rsidRPr="00F2162A">
        <w:rPr>
          <w:sz w:val="20"/>
        </w:rPr>
        <w:t xml:space="preserve"> </w:t>
      </w:r>
      <w:r w:rsidRPr="006558B5">
        <w:rPr>
          <w:b/>
          <w:i/>
          <w:sz w:val="20"/>
        </w:rPr>
        <w:t>Instruction and Direct Instructional Support to Students.</w:t>
      </w:r>
    </w:p>
    <w:p w:rsidR="00966AFB" w:rsidRDefault="00966AFB" w:rsidP="00966AFB">
      <w:pPr>
        <w:rPr>
          <w:sz w:val="20"/>
        </w:rPr>
      </w:pPr>
    </w:p>
    <w:p w:rsidR="00966AFB" w:rsidRPr="00F2162A" w:rsidRDefault="00966AFB" w:rsidP="00966AFB">
      <w:pPr>
        <w:rPr>
          <w:sz w:val="20"/>
        </w:rPr>
      </w:pPr>
      <w:r>
        <w:rPr>
          <w:sz w:val="20"/>
        </w:rPr>
        <w:t xml:space="preserve">The following provides additional detail on how budget items were coded: </w:t>
      </w:r>
    </w:p>
    <w:p w:rsidR="00966AFB" w:rsidRPr="00E40EBE" w:rsidRDefault="00966AFB" w:rsidP="00966AFB">
      <w:pPr>
        <w:pStyle w:val="ListParagraph"/>
        <w:numPr>
          <w:ilvl w:val="0"/>
          <w:numId w:val="33"/>
        </w:numPr>
        <w:spacing w:before="40" w:after="40"/>
        <w:contextualSpacing w:val="0"/>
        <w:rPr>
          <w:sz w:val="20"/>
        </w:rPr>
      </w:pPr>
      <w:r w:rsidRPr="001945D3">
        <w:rPr>
          <w:sz w:val="20"/>
          <w:u w:val="single"/>
        </w:rPr>
        <w:t>Implementation and oversight</w:t>
      </w:r>
      <w:r w:rsidRPr="00E40EBE">
        <w:rPr>
          <w:sz w:val="20"/>
        </w:rPr>
        <w:t xml:space="preserve">: Staffing, stipends, and consultants for supporting, monitoring, and providing oversight of overall SRG efforts.  </w:t>
      </w:r>
    </w:p>
    <w:p w:rsidR="00966AFB" w:rsidRPr="00E40EBE" w:rsidRDefault="00966AFB" w:rsidP="00966AFB">
      <w:pPr>
        <w:pStyle w:val="ListParagraph"/>
        <w:numPr>
          <w:ilvl w:val="0"/>
          <w:numId w:val="33"/>
        </w:numPr>
        <w:spacing w:before="40" w:after="40"/>
        <w:contextualSpacing w:val="0"/>
        <w:rPr>
          <w:sz w:val="20"/>
        </w:rPr>
      </w:pPr>
      <w:r w:rsidRPr="001945D3">
        <w:rPr>
          <w:sz w:val="20"/>
          <w:u w:val="single"/>
        </w:rPr>
        <w:t>Redesign team planning</w:t>
      </w:r>
      <w:r w:rsidRPr="00E40EBE">
        <w:rPr>
          <w:sz w:val="20"/>
        </w:rPr>
        <w:t>: Staffing, stipends, and consultants specifically focused on redesign team planning activities.</w:t>
      </w:r>
    </w:p>
    <w:p w:rsidR="00966AFB" w:rsidRPr="00E40EBE" w:rsidRDefault="00966AFB" w:rsidP="00966AFB">
      <w:pPr>
        <w:pStyle w:val="ListParagraph"/>
        <w:numPr>
          <w:ilvl w:val="0"/>
          <w:numId w:val="33"/>
        </w:numPr>
        <w:spacing w:before="40" w:after="40"/>
        <w:contextualSpacing w:val="0"/>
        <w:rPr>
          <w:sz w:val="20"/>
        </w:rPr>
      </w:pPr>
      <w:r w:rsidRPr="001945D3">
        <w:rPr>
          <w:sz w:val="20"/>
          <w:u w:val="single"/>
        </w:rPr>
        <w:t>Direct instructional support to students</w:t>
      </w:r>
      <w:r w:rsidRPr="00E40EBE">
        <w:rPr>
          <w:sz w:val="20"/>
        </w:rPr>
        <w:t xml:space="preserve">: Staffing, stipends, and consultants that provide direct (e.g., </w:t>
      </w:r>
      <w:r>
        <w:rPr>
          <w:sz w:val="20"/>
        </w:rPr>
        <w:t>in-person, adult</w:t>
      </w:r>
      <w:r w:rsidRPr="00E40EBE">
        <w:rPr>
          <w:sz w:val="20"/>
        </w:rPr>
        <w:t xml:space="preserve"> to student</w:t>
      </w:r>
      <w:r>
        <w:rPr>
          <w:sz w:val="20"/>
        </w:rPr>
        <w:t>) instruction to students, such as</w:t>
      </w:r>
      <w:r w:rsidRPr="00E40EBE">
        <w:rPr>
          <w:sz w:val="20"/>
        </w:rPr>
        <w:t xml:space="preserve"> </w:t>
      </w:r>
      <w:r>
        <w:rPr>
          <w:sz w:val="20"/>
        </w:rPr>
        <w:t>tutoring and classroom instruction</w:t>
      </w:r>
      <w:r w:rsidRPr="00E40EBE">
        <w:rPr>
          <w:sz w:val="20"/>
        </w:rPr>
        <w:t>.</w:t>
      </w:r>
    </w:p>
    <w:p w:rsidR="00966AFB" w:rsidRPr="00E40EBE" w:rsidRDefault="00966AFB" w:rsidP="00966AFB">
      <w:pPr>
        <w:pStyle w:val="ListParagraph"/>
        <w:numPr>
          <w:ilvl w:val="0"/>
          <w:numId w:val="33"/>
        </w:numPr>
        <w:spacing w:before="40" w:after="40"/>
        <w:contextualSpacing w:val="0"/>
        <w:rPr>
          <w:sz w:val="20"/>
        </w:rPr>
      </w:pPr>
      <w:r w:rsidRPr="001945D3">
        <w:rPr>
          <w:sz w:val="20"/>
          <w:u w:val="single"/>
        </w:rPr>
        <w:t>Formal professional development</w:t>
      </w:r>
      <w:r w:rsidRPr="00E40EBE">
        <w:rPr>
          <w:sz w:val="20"/>
        </w:rPr>
        <w:t>: Staffing, stipends, and consultants related to formal (e.g., external or after school) professional development.</w:t>
      </w:r>
    </w:p>
    <w:p w:rsidR="00966AFB" w:rsidRPr="00E40EBE" w:rsidRDefault="00966AFB" w:rsidP="00966AFB">
      <w:pPr>
        <w:pStyle w:val="ListParagraph"/>
        <w:numPr>
          <w:ilvl w:val="0"/>
          <w:numId w:val="33"/>
        </w:numPr>
        <w:spacing w:before="40" w:after="40"/>
        <w:contextualSpacing w:val="0"/>
        <w:rPr>
          <w:sz w:val="20"/>
        </w:rPr>
      </w:pPr>
      <w:r w:rsidRPr="001945D3">
        <w:rPr>
          <w:sz w:val="20"/>
          <w:u w:val="single"/>
        </w:rPr>
        <w:t>Job-embedded professional development</w:t>
      </w:r>
      <w:r w:rsidRPr="00E40EBE">
        <w:rPr>
          <w:sz w:val="20"/>
        </w:rPr>
        <w:t xml:space="preserve">: Staffing, stipends, and consultants that provide in-school, job-embedded professional development. For instance, the hiring of, or use of stipend for, a literacy coach specifically designated to support reading teachers improve instruction would be coded as job-embedded professional development. </w:t>
      </w:r>
    </w:p>
    <w:p w:rsidR="00966AFB" w:rsidRDefault="00966AFB" w:rsidP="00966AFB">
      <w:pPr>
        <w:pStyle w:val="ListParagraph"/>
        <w:numPr>
          <w:ilvl w:val="0"/>
          <w:numId w:val="33"/>
        </w:numPr>
        <w:spacing w:before="40" w:after="40"/>
        <w:contextualSpacing w:val="0"/>
        <w:rPr>
          <w:sz w:val="20"/>
        </w:rPr>
      </w:pPr>
      <w:r w:rsidRPr="001945D3">
        <w:rPr>
          <w:sz w:val="20"/>
          <w:u w:val="single"/>
        </w:rPr>
        <w:t>Data</w:t>
      </w:r>
      <w:r w:rsidRPr="00E40EBE">
        <w:rPr>
          <w:sz w:val="20"/>
        </w:rPr>
        <w:t>: Staffing, stipends, and consultants related to the use of data (e.g., a data coach or purchasing of assessments).</w:t>
      </w:r>
    </w:p>
    <w:p w:rsidR="00966AFB" w:rsidRDefault="00966AFB" w:rsidP="00966AFB">
      <w:pPr>
        <w:pStyle w:val="ListParagraph"/>
        <w:numPr>
          <w:ilvl w:val="0"/>
          <w:numId w:val="33"/>
        </w:numPr>
        <w:spacing w:before="40" w:after="40"/>
        <w:contextualSpacing w:val="0"/>
        <w:rPr>
          <w:sz w:val="20"/>
        </w:rPr>
      </w:pPr>
      <w:r w:rsidRPr="001945D3">
        <w:rPr>
          <w:sz w:val="20"/>
          <w:u w:val="single"/>
        </w:rPr>
        <w:t>Materials</w:t>
      </w:r>
      <w:r>
        <w:rPr>
          <w:sz w:val="20"/>
        </w:rPr>
        <w:t>: Budget allocations for instructional materials (generic and targeted), technology, and non-instructional materials</w:t>
      </w:r>
    </w:p>
    <w:p w:rsidR="00966AFB" w:rsidRDefault="00966AFB" w:rsidP="00966AFB">
      <w:pPr>
        <w:pStyle w:val="ListParagraph"/>
        <w:numPr>
          <w:ilvl w:val="0"/>
          <w:numId w:val="33"/>
        </w:numPr>
        <w:spacing w:before="40" w:after="40"/>
        <w:contextualSpacing w:val="0"/>
        <w:rPr>
          <w:sz w:val="20"/>
        </w:rPr>
      </w:pPr>
      <w:r w:rsidRPr="001945D3">
        <w:rPr>
          <w:sz w:val="20"/>
          <w:u w:val="single"/>
        </w:rPr>
        <w:t>Social-emotional programs and services</w:t>
      </w:r>
      <w:r>
        <w:rPr>
          <w:sz w:val="20"/>
        </w:rPr>
        <w:t xml:space="preserve">: </w:t>
      </w:r>
      <w:r w:rsidRPr="00E40EBE">
        <w:rPr>
          <w:sz w:val="20"/>
        </w:rPr>
        <w:t>Staffing, stipends, and consultants</w:t>
      </w:r>
      <w:r>
        <w:rPr>
          <w:sz w:val="20"/>
        </w:rPr>
        <w:t xml:space="preserve"> directly focused on supporting students’ social emotional health.</w:t>
      </w:r>
    </w:p>
    <w:p w:rsidR="00966AFB" w:rsidRPr="00AC47DC" w:rsidRDefault="00966AFB" w:rsidP="00966AFB">
      <w:pPr>
        <w:pStyle w:val="ListParagraph"/>
        <w:numPr>
          <w:ilvl w:val="0"/>
          <w:numId w:val="33"/>
        </w:numPr>
        <w:spacing w:before="40" w:after="40"/>
        <w:contextualSpacing w:val="0"/>
        <w:rPr>
          <w:sz w:val="20"/>
        </w:rPr>
      </w:pPr>
      <w:r w:rsidRPr="001945D3">
        <w:rPr>
          <w:sz w:val="20"/>
          <w:u w:val="single"/>
        </w:rPr>
        <w:t>Parent and community engagement</w:t>
      </w:r>
      <w:r>
        <w:rPr>
          <w:sz w:val="20"/>
        </w:rPr>
        <w:t xml:space="preserve">: </w:t>
      </w:r>
      <w:r w:rsidRPr="00E40EBE">
        <w:rPr>
          <w:sz w:val="20"/>
        </w:rPr>
        <w:t>Staffing, stipends, and consultants</w:t>
      </w:r>
      <w:r>
        <w:rPr>
          <w:sz w:val="20"/>
        </w:rPr>
        <w:t xml:space="preserve"> focused on supporting and cultivating parent and community involvement. </w:t>
      </w:r>
    </w:p>
    <w:p w:rsidR="00966AFB" w:rsidRDefault="00966AFB" w:rsidP="00966AFB">
      <w:pPr>
        <w:sectPr w:rsidR="00966AFB" w:rsidSect="004727CF">
          <w:pgSz w:w="15840" w:h="12240" w:orient="landscape"/>
          <w:pgMar w:top="1152" w:right="1152" w:bottom="1152" w:left="1152" w:header="720" w:footer="720" w:gutter="0"/>
          <w:pgNumType w:fmt="upperLetter" w:start="2"/>
          <w:cols w:space="720"/>
          <w:docGrid w:linePitch="326"/>
        </w:sectPr>
      </w:pPr>
    </w:p>
    <w:p w:rsidR="00966AFB" w:rsidRDefault="00966AFB" w:rsidP="00966AFB"/>
    <w:p w:rsidR="00966AFB" w:rsidRPr="00F2162A" w:rsidRDefault="00966AFB" w:rsidP="00966AFB">
      <w:pPr>
        <w:rPr>
          <w:b/>
          <w:sz w:val="20"/>
        </w:rPr>
      </w:pPr>
      <w:r w:rsidRPr="00F2162A">
        <w:rPr>
          <w:b/>
          <w:sz w:val="20"/>
        </w:rPr>
        <w:t xml:space="preserve">Table </w:t>
      </w:r>
      <w:r>
        <w:rPr>
          <w:b/>
          <w:sz w:val="20"/>
        </w:rPr>
        <w:t>B1</w:t>
      </w:r>
      <w:r w:rsidRPr="00F2162A">
        <w:rPr>
          <w:b/>
          <w:sz w:val="20"/>
        </w:rPr>
        <w:t>: Matrix of Analytic Frames used to code SRG Budgets</w:t>
      </w:r>
      <w:r>
        <w:rPr>
          <w:b/>
          <w:sz w:val="20"/>
        </w:rPr>
        <w:t xml:space="preserve">. </w:t>
      </w:r>
    </w:p>
    <w:p w:rsidR="00966AFB" w:rsidRPr="00F2162A" w:rsidRDefault="00966AFB" w:rsidP="00966AFB">
      <w:pPr>
        <w:rPr>
          <w:b/>
          <w:sz w:val="20"/>
        </w:rPr>
      </w:pPr>
    </w:p>
    <w:tbl>
      <w:tblPr>
        <w:tblStyle w:val="TableGrid"/>
        <w:tblW w:w="14058" w:type="dxa"/>
        <w:tblLayout w:type="fixed"/>
        <w:tblLook w:val="04A0"/>
      </w:tblPr>
      <w:tblGrid>
        <w:gridCol w:w="1638"/>
        <w:gridCol w:w="900"/>
        <w:gridCol w:w="1350"/>
        <w:gridCol w:w="1170"/>
        <w:gridCol w:w="990"/>
        <w:gridCol w:w="1170"/>
        <w:gridCol w:w="1350"/>
        <w:gridCol w:w="1710"/>
        <w:gridCol w:w="1350"/>
        <w:gridCol w:w="1260"/>
        <w:gridCol w:w="1170"/>
      </w:tblGrid>
      <w:tr w:rsidR="00966AFB" w:rsidRPr="00F2162A" w:rsidTr="00971151">
        <w:tc>
          <w:tcPr>
            <w:tcW w:w="1638" w:type="dxa"/>
            <w:vMerge w:val="restart"/>
          </w:tcPr>
          <w:p w:rsidR="00966AFB" w:rsidRPr="00F2162A" w:rsidRDefault="00966AFB" w:rsidP="00971151">
            <w:pPr>
              <w:rPr>
                <w:sz w:val="20"/>
              </w:rPr>
            </w:pPr>
          </w:p>
        </w:tc>
        <w:tc>
          <w:tcPr>
            <w:tcW w:w="900" w:type="dxa"/>
            <w:vMerge w:val="restart"/>
            <w:shd w:val="clear" w:color="auto" w:fill="EAF1DD" w:themeFill="accent3" w:themeFillTint="33"/>
            <w:vAlign w:val="center"/>
          </w:tcPr>
          <w:p w:rsidR="00966AFB" w:rsidRPr="008142CC" w:rsidRDefault="00966AFB" w:rsidP="00971151">
            <w:pPr>
              <w:jc w:val="center"/>
              <w:rPr>
                <w:rFonts w:ascii="Times New Roman" w:hAnsi="Times New Roman" w:cs="Times New Roman"/>
                <w:sz w:val="20"/>
              </w:rPr>
            </w:pPr>
            <w:r w:rsidRPr="008142CC">
              <w:rPr>
                <w:rFonts w:ascii="Times New Roman" w:hAnsi="Times New Roman" w:cs="Times New Roman"/>
                <w:sz w:val="20"/>
              </w:rPr>
              <w:t>Direct Staffing</w:t>
            </w:r>
          </w:p>
        </w:tc>
        <w:tc>
          <w:tcPr>
            <w:tcW w:w="3510" w:type="dxa"/>
            <w:gridSpan w:val="3"/>
            <w:shd w:val="clear" w:color="auto" w:fill="DDD9C3" w:themeFill="background2" w:themeFillShade="E6"/>
            <w:vAlign w:val="center"/>
          </w:tcPr>
          <w:p w:rsidR="00966AFB" w:rsidRPr="008142CC" w:rsidRDefault="00966AFB" w:rsidP="00971151">
            <w:pPr>
              <w:jc w:val="center"/>
              <w:rPr>
                <w:rFonts w:ascii="Times New Roman" w:hAnsi="Times New Roman" w:cs="Times New Roman"/>
                <w:sz w:val="20"/>
              </w:rPr>
            </w:pPr>
            <w:r w:rsidRPr="008142CC">
              <w:rPr>
                <w:rFonts w:ascii="Times New Roman" w:hAnsi="Times New Roman" w:cs="Times New Roman"/>
                <w:sz w:val="20"/>
              </w:rPr>
              <w:t>Stipends</w:t>
            </w:r>
          </w:p>
        </w:tc>
        <w:tc>
          <w:tcPr>
            <w:tcW w:w="1170" w:type="dxa"/>
            <w:vMerge w:val="restart"/>
            <w:shd w:val="clear" w:color="auto" w:fill="DBE5F1" w:themeFill="accent1" w:themeFillTint="33"/>
            <w:vAlign w:val="center"/>
          </w:tcPr>
          <w:p w:rsidR="00966AFB" w:rsidRPr="008142CC" w:rsidRDefault="00966AFB" w:rsidP="00971151">
            <w:pPr>
              <w:jc w:val="center"/>
              <w:rPr>
                <w:rFonts w:ascii="Times New Roman" w:hAnsi="Times New Roman" w:cs="Times New Roman"/>
                <w:sz w:val="20"/>
              </w:rPr>
            </w:pPr>
            <w:r w:rsidRPr="008142CC">
              <w:rPr>
                <w:rFonts w:ascii="Times New Roman" w:hAnsi="Times New Roman" w:cs="Times New Roman"/>
                <w:sz w:val="20"/>
              </w:rPr>
              <w:t>Consultants</w:t>
            </w:r>
          </w:p>
        </w:tc>
        <w:tc>
          <w:tcPr>
            <w:tcW w:w="5670" w:type="dxa"/>
            <w:gridSpan w:val="4"/>
            <w:shd w:val="clear" w:color="auto" w:fill="F2F2F2" w:themeFill="background1" w:themeFillShade="F2"/>
            <w:vAlign w:val="center"/>
          </w:tcPr>
          <w:p w:rsidR="00966AFB" w:rsidRPr="008142CC" w:rsidRDefault="00966AFB" w:rsidP="00971151">
            <w:pPr>
              <w:jc w:val="center"/>
              <w:rPr>
                <w:rFonts w:ascii="Times New Roman" w:hAnsi="Times New Roman" w:cs="Times New Roman"/>
                <w:sz w:val="20"/>
              </w:rPr>
            </w:pPr>
            <w:r w:rsidRPr="008142CC">
              <w:rPr>
                <w:rFonts w:ascii="Times New Roman" w:hAnsi="Times New Roman" w:cs="Times New Roman"/>
                <w:sz w:val="20"/>
              </w:rPr>
              <w:t>Materials</w:t>
            </w:r>
          </w:p>
        </w:tc>
        <w:tc>
          <w:tcPr>
            <w:tcW w:w="1170" w:type="dxa"/>
            <w:vMerge w:val="restart"/>
            <w:shd w:val="clear" w:color="auto" w:fill="DAEEF3" w:themeFill="accent5" w:themeFillTint="33"/>
            <w:vAlign w:val="center"/>
          </w:tcPr>
          <w:p w:rsidR="00966AFB" w:rsidRPr="008142CC" w:rsidRDefault="00966AFB" w:rsidP="00971151">
            <w:pPr>
              <w:jc w:val="center"/>
              <w:rPr>
                <w:rFonts w:ascii="Times New Roman" w:hAnsi="Times New Roman" w:cs="Times New Roman"/>
                <w:sz w:val="20"/>
              </w:rPr>
            </w:pPr>
            <w:r w:rsidRPr="008142CC">
              <w:rPr>
                <w:rFonts w:ascii="Times New Roman" w:eastAsia="Times New Roman" w:hAnsi="Times New Roman" w:cs="Times New Roman"/>
                <w:color w:val="000000"/>
                <w:sz w:val="20"/>
              </w:rPr>
              <w:t>Other (Incentives, Travel, Misc)</w:t>
            </w:r>
          </w:p>
        </w:tc>
      </w:tr>
      <w:tr w:rsidR="00966AFB" w:rsidRPr="00F2162A" w:rsidTr="00971151">
        <w:tc>
          <w:tcPr>
            <w:tcW w:w="1638" w:type="dxa"/>
            <w:vMerge/>
          </w:tcPr>
          <w:p w:rsidR="00966AFB" w:rsidRPr="00F2162A" w:rsidRDefault="00966AFB" w:rsidP="00971151">
            <w:pPr>
              <w:rPr>
                <w:sz w:val="20"/>
              </w:rPr>
            </w:pPr>
          </w:p>
        </w:tc>
        <w:tc>
          <w:tcPr>
            <w:tcW w:w="900" w:type="dxa"/>
            <w:vMerge/>
            <w:shd w:val="clear" w:color="auto" w:fill="EAF1DD" w:themeFill="accent3" w:themeFillTint="33"/>
            <w:vAlign w:val="center"/>
          </w:tcPr>
          <w:p w:rsidR="00966AFB" w:rsidRPr="00F2162A" w:rsidRDefault="00966AFB" w:rsidP="00971151">
            <w:pPr>
              <w:jc w:val="center"/>
              <w:rPr>
                <w:sz w:val="20"/>
              </w:rPr>
            </w:pPr>
          </w:p>
        </w:tc>
        <w:tc>
          <w:tcPr>
            <w:tcW w:w="1350" w:type="dxa"/>
            <w:shd w:val="clear" w:color="auto" w:fill="DDD9C3" w:themeFill="background2" w:themeFillShade="E6"/>
            <w:vAlign w:val="center"/>
          </w:tcPr>
          <w:p w:rsidR="00966AFB" w:rsidRPr="008142CC" w:rsidRDefault="00966AFB" w:rsidP="00971151">
            <w:pPr>
              <w:jc w:val="center"/>
              <w:rPr>
                <w:rFonts w:ascii="Times New Roman" w:hAnsi="Times New Roman" w:cs="Times New Roman"/>
                <w:sz w:val="20"/>
              </w:rPr>
            </w:pPr>
            <w:r w:rsidRPr="008142CC">
              <w:rPr>
                <w:rFonts w:ascii="Times New Roman" w:hAnsi="Times New Roman" w:cs="Times New Roman"/>
                <w:sz w:val="20"/>
              </w:rPr>
              <w:t>Stipends for professional development</w:t>
            </w:r>
          </w:p>
        </w:tc>
        <w:tc>
          <w:tcPr>
            <w:tcW w:w="1170" w:type="dxa"/>
            <w:shd w:val="clear" w:color="auto" w:fill="DDD9C3" w:themeFill="background2" w:themeFillShade="E6"/>
            <w:vAlign w:val="center"/>
          </w:tcPr>
          <w:p w:rsidR="00966AFB" w:rsidRPr="008142CC" w:rsidRDefault="00966AFB" w:rsidP="00971151">
            <w:pPr>
              <w:jc w:val="center"/>
              <w:rPr>
                <w:rFonts w:ascii="Times New Roman" w:hAnsi="Times New Roman" w:cs="Times New Roman"/>
                <w:sz w:val="20"/>
              </w:rPr>
            </w:pPr>
            <w:r w:rsidRPr="008142CC">
              <w:rPr>
                <w:rFonts w:ascii="Times New Roman" w:hAnsi="Times New Roman" w:cs="Times New Roman"/>
                <w:sz w:val="20"/>
              </w:rPr>
              <w:t>Stipends for Instruction</w:t>
            </w:r>
          </w:p>
        </w:tc>
        <w:tc>
          <w:tcPr>
            <w:tcW w:w="990" w:type="dxa"/>
            <w:shd w:val="clear" w:color="auto" w:fill="DDD9C3" w:themeFill="background2" w:themeFillShade="E6"/>
            <w:vAlign w:val="center"/>
          </w:tcPr>
          <w:p w:rsidR="00966AFB" w:rsidRPr="008142CC" w:rsidRDefault="00966AFB" w:rsidP="00971151">
            <w:pPr>
              <w:jc w:val="center"/>
              <w:rPr>
                <w:rFonts w:ascii="Times New Roman" w:hAnsi="Times New Roman" w:cs="Times New Roman"/>
                <w:sz w:val="20"/>
              </w:rPr>
            </w:pPr>
            <w:r w:rsidRPr="008142CC">
              <w:rPr>
                <w:rFonts w:ascii="Times New Roman" w:hAnsi="Times New Roman" w:cs="Times New Roman"/>
                <w:sz w:val="20"/>
              </w:rPr>
              <w:t>Stipends Extended Day</w:t>
            </w:r>
          </w:p>
        </w:tc>
        <w:tc>
          <w:tcPr>
            <w:tcW w:w="1170" w:type="dxa"/>
            <w:vMerge/>
            <w:shd w:val="clear" w:color="auto" w:fill="DBE5F1" w:themeFill="accent1" w:themeFillTint="33"/>
            <w:vAlign w:val="center"/>
          </w:tcPr>
          <w:p w:rsidR="00966AFB" w:rsidRPr="008142CC" w:rsidRDefault="00966AFB" w:rsidP="00971151">
            <w:pPr>
              <w:jc w:val="center"/>
              <w:rPr>
                <w:rFonts w:ascii="Times New Roman" w:hAnsi="Times New Roman" w:cs="Times New Roman"/>
                <w:sz w:val="20"/>
              </w:rPr>
            </w:pPr>
          </w:p>
        </w:tc>
        <w:tc>
          <w:tcPr>
            <w:tcW w:w="1350" w:type="dxa"/>
            <w:shd w:val="clear" w:color="auto" w:fill="F2F2F2" w:themeFill="background1" w:themeFillShade="F2"/>
            <w:vAlign w:val="center"/>
          </w:tcPr>
          <w:p w:rsidR="00966AFB" w:rsidRPr="008142CC" w:rsidRDefault="00966AFB" w:rsidP="00971151">
            <w:pPr>
              <w:jc w:val="center"/>
              <w:rPr>
                <w:rFonts w:ascii="Times New Roman" w:eastAsia="Times New Roman" w:hAnsi="Times New Roman" w:cs="Times New Roman"/>
                <w:color w:val="000000"/>
                <w:sz w:val="20"/>
              </w:rPr>
            </w:pPr>
            <w:r w:rsidRPr="008142CC">
              <w:rPr>
                <w:rFonts w:ascii="Times New Roman" w:eastAsia="Times New Roman" w:hAnsi="Times New Roman" w:cs="Times New Roman"/>
                <w:color w:val="000000"/>
                <w:sz w:val="20"/>
              </w:rPr>
              <w:t>Textbooks and Materials: Generic</w:t>
            </w:r>
          </w:p>
        </w:tc>
        <w:tc>
          <w:tcPr>
            <w:tcW w:w="1710" w:type="dxa"/>
            <w:shd w:val="clear" w:color="auto" w:fill="F2F2F2" w:themeFill="background1" w:themeFillShade="F2"/>
            <w:vAlign w:val="center"/>
          </w:tcPr>
          <w:p w:rsidR="00966AFB" w:rsidRPr="008142CC" w:rsidRDefault="00966AFB" w:rsidP="00971151">
            <w:pPr>
              <w:jc w:val="center"/>
              <w:rPr>
                <w:rFonts w:ascii="Times New Roman" w:eastAsia="Times New Roman" w:hAnsi="Times New Roman" w:cs="Times New Roman"/>
                <w:color w:val="000000"/>
                <w:sz w:val="20"/>
              </w:rPr>
            </w:pPr>
            <w:r w:rsidRPr="008142CC">
              <w:rPr>
                <w:rFonts w:ascii="Times New Roman" w:eastAsia="Times New Roman" w:hAnsi="Times New Roman" w:cs="Times New Roman"/>
                <w:color w:val="000000"/>
                <w:sz w:val="20"/>
              </w:rPr>
              <w:t>Targeted: Textbooks and Materials: Targeted</w:t>
            </w:r>
          </w:p>
        </w:tc>
        <w:tc>
          <w:tcPr>
            <w:tcW w:w="1350" w:type="dxa"/>
            <w:shd w:val="clear" w:color="auto" w:fill="F2F2F2" w:themeFill="background1" w:themeFillShade="F2"/>
            <w:vAlign w:val="center"/>
          </w:tcPr>
          <w:p w:rsidR="00966AFB" w:rsidRPr="008142CC" w:rsidRDefault="00966AFB" w:rsidP="00971151">
            <w:pPr>
              <w:jc w:val="center"/>
              <w:rPr>
                <w:rFonts w:ascii="Times New Roman" w:eastAsia="Times New Roman" w:hAnsi="Times New Roman" w:cs="Times New Roman"/>
                <w:color w:val="000000"/>
                <w:sz w:val="20"/>
              </w:rPr>
            </w:pPr>
            <w:r w:rsidRPr="008142CC">
              <w:rPr>
                <w:rFonts w:ascii="Times New Roman" w:eastAsia="Times New Roman" w:hAnsi="Times New Roman" w:cs="Times New Roman"/>
                <w:color w:val="000000"/>
                <w:sz w:val="20"/>
              </w:rPr>
              <w:t>Instructional Technology including Software</w:t>
            </w:r>
          </w:p>
        </w:tc>
        <w:tc>
          <w:tcPr>
            <w:tcW w:w="1260" w:type="dxa"/>
            <w:shd w:val="clear" w:color="auto" w:fill="F2F2F2" w:themeFill="background1" w:themeFillShade="F2"/>
            <w:vAlign w:val="center"/>
          </w:tcPr>
          <w:p w:rsidR="00966AFB" w:rsidRPr="008142CC" w:rsidRDefault="00966AFB" w:rsidP="00971151">
            <w:pPr>
              <w:jc w:val="center"/>
              <w:rPr>
                <w:rFonts w:ascii="Times New Roman" w:eastAsia="Times New Roman" w:hAnsi="Times New Roman" w:cs="Times New Roman"/>
                <w:color w:val="000000"/>
                <w:sz w:val="20"/>
              </w:rPr>
            </w:pPr>
            <w:r w:rsidRPr="008142CC">
              <w:rPr>
                <w:rFonts w:ascii="Times New Roman" w:eastAsia="Times New Roman" w:hAnsi="Times New Roman" w:cs="Times New Roman"/>
                <w:color w:val="000000"/>
                <w:sz w:val="20"/>
              </w:rPr>
              <w:t>Non-Instructional</w:t>
            </w:r>
          </w:p>
        </w:tc>
        <w:tc>
          <w:tcPr>
            <w:tcW w:w="1170" w:type="dxa"/>
            <w:vMerge/>
            <w:shd w:val="clear" w:color="auto" w:fill="DAEEF3" w:themeFill="accent5" w:themeFillTint="33"/>
            <w:vAlign w:val="center"/>
          </w:tcPr>
          <w:p w:rsidR="00966AFB" w:rsidRPr="008142CC" w:rsidRDefault="00966AFB" w:rsidP="00971151">
            <w:pPr>
              <w:jc w:val="center"/>
              <w:rPr>
                <w:rFonts w:ascii="Times New Roman" w:eastAsia="Times New Roman" w:hAnsi="Times New Roman" w:cs="Times New Roman"/>
                <w:color w:val="000000"/>
                <w:sz w:val="20"/>
              </w:rPr>
            </w:pPr>
          </w:p>
        </w:tc>
      </w:tr>
      <w:tr w:rsidR="00966AFB" w:rsidRPr="00F2162A" w:rsidTr="00971151">
        <w:trPr>
          <w:trHeight w:val="701"/>
        </w:trPr>
        <w:tc>
          <w:tcPr>
            <w:tcW w:w="1638" w:type="dxa"/>
            <w:vAlign w:val="center"/>
          </w:tcPr>
          <w:p w:rsidR="00966AFB" w:rsidRPr="008142CC" w:rsidRDefault="00966AFB" w:rsidP="00971151">
            <w:pPr>
              <w:rPr>
                <w:rFonts w:ascii="Times New Roman" w:hAnsi="Times New Roman" w:cs="Times New Roman"/>
                <w:sz w:val="20"/>
              </w:rPr>
            </w:pPr>
            <w:r w:rsidRPr="008142CC">
              <w:rPr>
                <w:rFonts w:ascii="Times New Roman" w:hAnsi="Times New Roman" w:cs="Times New Roman"/>
                <w:sz w:val="20"/>
              </w:rPr>
              <w:t>Implementation and Oversight</w:t>
            </w:r>
          </w:p>
        </w:tc>
        <w:tc>
          <w:tcPr>
            <w:tcW w:w="90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r w:rsidRPr="00F2162A">
              <w:rPr>
                <w:sz w:val="20"/>
              </w:rPr>
              <w:t>X</w:t>
            </w:r>
          </w:p>
        </w:tc>
        <w:tc>
          <w:tcPr>
            <w:tcW w:w="1170" w:type="dxa"/>
            <w:vAlign w:val="center"/>
          </w:tcPr>
          <w:p w:rsidR="00966AFB" w:rsidRPr="00F2162A" w:rsidRDefault="00966AFB" w:rsidP="00971151">
            <w:pPr>
              <w:jc w:val="center"/>
              <w:rPr>
                <w:sz w:val="20"/>
              </w:rPr>
            </w:pPr>
          </w:p>
        </w:tc>
        <w:tc>
          <w:tcPr>
            <w:tcW w:w="99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p>
        </w:tc>
        <w:tc>
          <w:tcPr>
            <w:tcW w:w="1710" w:type="dxa"/>
            <w:vAlign w:val="center"/>
          </w:tcPr>
          <w:p w:rsidR="00966AFB" w:rsidRPr="00F2162A" w:rsidRDefault="00966AFB" w:rsidP="00971151">
            <w:pPr>
              <w:jc w:val="center"/>
              <w:rPr>
                <w:sz w:val="20"/>
              </w:rPr>
            </w:pPr>
          </w:p>
        </w:tc>
        <w:tc>
          <w:tcPr>
            <w:tcW w:w="1350" w:type="dxa"/>
            <w:vAlign w:val="center"/>
          </w:tcPr>
          <w:p w:rsidR="00966AFB" w:rsidRPr="00F2162A" w:rsidRDefault="00966AFB" w:rsidP="00971151">
            <w:pPr>
              <w:jc w:val="center"/>
              <w:rPr>
                <w:sz w:val="20"/>
              </w:rPr>
            </w:pPr>
          </w:p>
        </w:tc>
        <w:tc>
          <w:tcPr>
            <w:tcW w:w="126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p>
        </w:tc>
      </w:tr>
      <w:tr w:rsidR="00966AFB" w:rsidRPr="00F2162A" w:rsidTr="00971151">
        <w:trPr>
          <w:trHeight w:val="611"/>
        </w:trPr>
        <w:tc>
          <w:tcPr>
            <w:tcW w:w="1638" w:type="dxa"/>
            <w:vAlign w:val="center"/>
          </w:tcPr>
          <w:p w:rsidR="00966AFB" w:rsidRPr="008142CC" w:rsidRDefault="00966AFB" w:rsidP="00971151">
            <w:pPr>
              <w:rPr>
                <w:rFonts w:ascii="Times New Roman" w:hAnsi="Times New Roman" w:cs="Times New Roman"/>
                <w:sz w:val="20"/>
              </w:rPr>
            </w:pPr>
            <w:r w:rsidRPr="008142CC">
              <w:rPr>
                <w:rFonts w:ascii="Times New Roman" w:hAnsi="Times New Roman" w:cs="Times New Roman"/>
                <w:sz w:val="20"/>
              </w:rPr>
              <w:t>Redesign Team Planning</w:t>
            </w:r>
          </w:p>
        </w:tc>
        <w:tc>
          <w:tcPr>
            <w:tcW w:w="90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r w:rsidRPr="00F2162A">
              <w:rPr>
                <w:sz w:val="20"/>
              </w:rPr>
              <w:t>X</w:t>
            </w:r>
          </w:p>
        </w:tc>
        <w:tc>
          <w:tcPr>
            <w:tcW w:w="1170" w:type="dxa"/>
            <w:vAlign w:val="center"/>
          </w:tcPr>
          <w:p w:rsidR="00966AFB" w:rsidRPr="00F2162A" w:rsidRDefault="00966AFB" w:rsidP="00971151">
            <w:pPr>
              <w:jc w:val="center"/>
              <w:rPr>
                <w:sz w:val="20"/>
              </w:rPr>
            </w:pPr>
          </w:p>
        </w:tc>
        <w:tc>
          <w:tcPr>
            <w:tcW w:w="99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p>
        </w:tc>
        <w:tc>
          <w:tcPr>
            <w:tcW w:w="1710" w:type="dxa"/>
            <w:vAlign w:val="center"/>
          </w:tcPr>
          <w:p w:rsidR="00966AFB" w:rsidRPr="00F2162A" w:rsidRDefault="00966AFB" w:rsidP="00971151">
            <w:pPr>
              <w:jc w:val="center"/>
              <w:rPr>
                <w:sz w:val="20"/>
              </w:rPr>
            </w:pPr>
          </w:p>
        </w:tc>
        <w:tc>
          <w:tcPr>
            <w:tcW w:w="1350" w:type="dxa"/>
            <w:vAlign w:val="center"/>
          </w:tcPr>
          <w:p w:rsidR="00966AFB" w:rsidRPr="00F2162A" w:rsidRDefault="00966AFB" w:rsidP="00971151">
            <w:pPr>
              <w:jc w:val="center"/>
              <w:rPr>
                <w:sz w:val="20"/>
              </w:rPr>
            </w:pPr>
          </w:p>
        </w:tc>
        <w:tc>
          <w:tcPr>
            <w:tcW w:w="126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p>
        </w:tc>
      </w:tr>
      <w:tr w:rsidR="00966AFB" w:rsidRPr="00F2162A" w:rsidTr="00971151">
        <w:tc>
          <w:tcPr>
            <w:tcW w:w="1638" w:type="dxa"/>
            <w:vAlign w:val="center"/>
          </w:tcPr>
          <w:p w:rsidR="00966AFB" w:rsidRPr="008142CC" w:rsidRDefault="00966AFB" w:rsidP="00971151">
            <w:pPr>
              <w:rPr>
                <w:rFonts w:ascii="Times New Roman" w:hAnsi="Times New Roman" w:cs="Times New Roman"/>
                <w:sz w:val="20"/>
              </w:rPr>
            </w:pPr>
            <w:r w:rsidRPr="008142CC">
              <w:rPr>
                <w:rFonts w:ascii="Times New Roman" w:hAnsi="Times New Roman" w:cs="Times New Roman"/>
                <w:sz w:val="20"/>
              </w:rPr>
              <w:t>Direct Instructional Support to Students</w:t>
            </w:r>
          </w:p>
        </w:tc>
        <w:tc>
          <w:tcPr>
            <w:tcW w:w="90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r w:rsidRPr="00F2162A">
              <w:rPr>
                <w:sz w:val="20"/>
              </w:rPr>
              <w:t>X</w:t>
            </w:r>
          </w:p>
        </w:tc>
        <w:tc>
          <w:tcPr>
            <w:tcW w:w="99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p>
        </w:tc>
        <w:tc>
          <w:tcPr>
            <w:tcW w:w="1710" w:type="dxa"/>
            <w:vAlign w:val="center"/>
          </w:tcPr>
          <w:p w:rsidR="00966AFB" w:rsidRPr="00F2162A" w:rsidRDefault="00966AFB" w:rsidP="00971151">
            <w:pPr>
              <w:jc w:val="center"/>
              <w:rPr>
                <w:sz w:val="20"/>
              </w:rPr>
            </w:pPr>
          </w:p>
        </w:tc>
        <w:tc>
          <w:tcPr>
            <w:tcW w:w="1350" w:type="dxa"/>
            <w:vAlign w:val="center"/>
          </w:tcPr>
          <w:p w:rsidR="00966AFB" w:rsidRPr="00F2162A" w:rsidRDefault="00966AFB" w:rsidP="00971151">
            <w:pPr>
              <w:jc w:val="center"/>
              <w:rPr>
                <w:sz w:val="20"/>
              </w:rPr>
            </w:pPr>
          </w:p>
        </w:tc>
        <w:tc>
          <w:tcPr>
            <w:tcW w:w="126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p>
        </w:tc>
      </w:tr>
      <w:tr w:rsidR="00966AFB" w:rsidRPr="00F2162A" w:rsidTr="00971151">
        <w:tc>
          <w:tcPr>
            <w:tcW w:w="1638" w:type="dxa"/>
            <w:vAlign w:val="center"/>
          </w:tcPr>
          <w:p w:rsidR="00966AFB" w:rsidRPr="008142CC" w:rsidRDefault="00966AFB" w:rsidP="00971151">
            <w:pPr>
              <w:rPr>
                <w:rFonts w:ascii="Times New Roman" w:hAnsi="Times New Roman" w:cs="Times New Roman"/>
                <w:sz w:val="20"/>
              </w:rPr>
            </w:pPr>
            <w:r w:rsidRPr="008142CC">
              <w:rPr>
                <w:rFonts w:ascii="Times New Roman" w:hAnsi="Times New Roman" w:cs="Times New Roman"/>
                <w:sz w:val="20"/>
              </w:rPr>
              <w:t>Formal professional development</w:t>
            </w:r>
          </w:p>
        </w:tc>
        <w:tc>
          <w:tcPr>
            <w:tcW w:w="90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r w:rsidRPr="00F2162A">
              <w:rPr>
                <w:sz w:val="20"/>
              </w:rPr>
              <w:t>X</w:t>
            </w:r>
          </w:p>
        </w:tc>
        <w:tc>
          <w:tcPr>
            <w:tcW w:w="1170" w:type="dxa"/>
            <w:vAlign w:val="center"/>
          </w:tcPr>
          <w:p w:rsidR="00966AFB" w:rsidRPr="00F2162A" w:rsidRDefault="00966AFB" w:rsidP="00971151">
            <w:pPr>
              <w:jc w:val="center"/>
              <w:rPr>
                <w:sz w:val="20"/>
              </w:rPr>
            </w:pPr>
          </w:p>
        </w:tc>
        <w:tc>
          <w:tcPr>
            <w:tcW w:w="99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p>
        </w:tc>
        <w:tc>
          <w:tcPr>
            <w:tcW w:w="1710" w:type="dxa"/>
            <w:vAlign w:val="center"/>
          </w:tcPr>
          <w:p w:rsidR="00966AFB" w:rsidRPr="00F2162A" w:rsidRDefault="00966AFB" w:rsidP="00971151">
            <w:pPr>
              <w:jc w:val="center"/>
              <w:rPr>
                <w:sz w:val="20"/>
              </w:rPr>
            </w:pPr>
          </w:p>
        </w:tc>
        <w:tc>
          <w:tcPr>
            <w:tcW w:w="1350" w:type="dxa"/>
            <w:vAlign w:val="center"/>
          </w:tcPr>
          <w:p w:rsidR="00966AFB" w:rsidRPr="00F2162A" w:rsidRDefault="00966AFB" w:rsidP="00971151">
            <w:pPr>
              <w:jc w:val="center"/>
              <w:rPr>
                <w:sz w:val="20"/>
              </w:rPr>
            </w:pPr>
          </w:p>
        </w:tc>
        <w:tc>
          <w:tcPr>
            <w:tcW w:w="126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p>
        </w:tc>
      </w:tr>
      <w:tr w:rsidR="00966AFB" w:rsidRPr="00F2162A" w:rsidTr="00971151">
        <w:tc>
          <w:tcPr>
            <w:tcW w:w="1638" w:type="dxa"/>
            <w:vAlign w:val="center"/>
          </w:tcPr>
          <w:p w:rsidR="00966AFB" w:rsidRPr="008142CC" w:rsidRDefault="00966AFB" w:rsidP="00971151">
            <w:pPr>
              <w:rPr>
                <w:rFonts w:ascii="Times New Roman" w:hAnsi="Times New Roman" w:cs="Times New Roman"/>
                <w:sz w:val="20"/>
              </w:rPr>
            </w:pPr>
            <w:r w:rsidRPr="008142CC">
              <w:rPr>
                <w:rFonts w:ascii="Times New Roman" w:hAnsi="Times New Roman" w:cs="Times New Roman"/>
                <w:sz w:val="20"/>
              </w:rPr>
              <w:t>Job-embedded professional development</w:t>
            </w:r>
          </w:p>
        </w:tc>
        <w:tc>
          <w:tcPr>
            <w:tcW w:w="90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r w:rsidRPr="00F2162A">
              <w:rPr>
                <w:sz w:val="20"/>
              </w:rPr>
              <w:t>X</w:t>
            </w:r>
          </w:p>
        </w:tc>
        <w:tc>
          <w:tcPr>
            <w:tcW w:w="1170" w:type="dxa"/>
            <w:vAlign w:val="center"/>
          </w:tcPr>
          <w:p w:rsidR="00966AFB" w:rsidRPr="00F2162A" w:rsidRDefault="00966AFB" w:rsidP="00971151">
            <w:pPr>
              <w:jc w:val="center"/>
              <w:rPr>
                <w:sz w:val="20"/>
              </w:rPr>
            </w:pPr>
          </w:p>
        </w:tc>
        <w:tc>
          <w:tcPr>
            <w:tcW w:w="99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p>
        </w:tc>
        <w:tc>
          <w:tcPr>
            <w:tcW w:w="1710" w:type="dxa"/>
            <w:vAlign w:val="center"/>
          </w:tcPr>
          <w:p w:rsidR="00966AFB" w:rsidRPr="00F2162A" w:rsidRDefault="00966AFB" w:rsidP="00971151">
            <w:pPr>
              <w:jc w:val="center"/>
              <w:rPr>
                <w:sz w:val="20"/>
              </w:rPr>
            </w:pPr>
          </w:p>
        </w:tc>
        <w:tc>
          <w:tcPr>
            <w:tcW w:w="1350" w:type="dxa"/>
            <w:vAlign w:val="center"/>
          </w:tcPr>
          <w:p w:rsidR="00966AFB" w:rsidRPr="00F2162A" w:rsidRDefault="00966AFB" w:rsidP="00971151">
            <w:pPr>
              <w:jc w:val="center"/>
              <w:rPr>
                <w:sz w:val="20"/>
              </w:rPr>
            </w:pPr>
          </w:p>
        </w:tc>
        <w:tc>
          <w:tcPr>
            <w:tcW w:w="126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p>
        </w:tc>
      </w:tr>
      <w:tr w:rsidR="00966AFB" w:rsidRPr="00F2162A" w:rsidTr="00971151">
        <w:tc>
          <w:tcPr>
            <w:tcW w:w="1638" w:type="dxa"/>
            <w:vAlign w:val="center"/>
          </w:tcPr>
          <w:p w:rsidR="00966AFB" w:rsidRPr="008142CC" w:rsidRDefault="00966AFB" w:rsidP="00971151">
            <w:pPr>
              <w:rPr>
                <w:rFonts w:ascii="Times New Roman" w:hAnsi="Times New Roman" w:cs="Times New Roman"/>
                <w:sz w:val="20"/>
              </w:rPr>
            </w:pPr>
            <w:r w:rsidRPr="008142CC">
              <w:rPr>
                <w:rFonts w:ascii="Times New Roman" w:hAnsi="Times New Roman" w:cs="Times New Roman"/>
                <w:sz w:val="20"/>
              </w:rPr>
              <w:t>Data (primarily new assessments)</w:t>
            </w:r>
          </w:p>
        </w:tc>
        <w:tc>
          <w:tcPr>
            <w:tcW w:w="90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r w:rsidRPr="00F2162A">
              <w:rPr>
                <w:sz w:val="20"/>
              </w:rPr>
              <w:t>X</w:t>
            </w:r>
          </w:p>
        </w:tc>
        <w:tc>
          <w:tcPr>
            <w:tcW w:w="1170" w:type="dxa"/>
            <w:vAlign w:val="center"/>
          </w:tcPr>
          <w:p w:rsidR="00966AFB" w:rsidRPr="00F2162A" w:rsidRDefault="00966AFB" w:rsidP="00971151">
            <w:pPr>
              <w:jc w:val="center"/>
              <w:rPr>
                <w:sz w:val="20"/>
              </w:rPr>
            </w:pPr>
          </w:p>
        </w:tc>
        <w:tc>
          <w:tcPr>
            <w:tcW w:w="99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p>
        </w:tc>
        <w:tc>
          <w:tcPr>
            <w:tcW w:w="1710" w:type="dxa"/>
            <w:vAlign w:val="center"/>
          </w:tcPr>
          <w:p w:rsidR="00966AFB" w:rsidRPr="00F2162A" w:rsidRDefault="00966AFB" w:rsidP="00971151">
            <w:pPr>
              <w:jc w:val="center"/>
              <w:rPr>
                <w:sz w:val="20"/>
              </w:rPr>
            </w:pPr>
          </w:p>
        </w:tc>
        <w:tc>
          <w:tcPr>
            <w:tcW w:w="1350" w:type="dxa"/>
            <w:vAlign w:val="center"/>
          </w:tcPr>
          <w:p w:rsidR="00966AFB" w:rsidRPr="00F2162A" w:rsidRDefault="00966AFB" w:rsidP="00971151">
            <w:pPr>
              <w:jc w:val="center"/>
              <w:rPr>
                <w:sz w:val="20"/>
              </w:rPr>
            </w:pPr>
          </w:p>
        </w:tc>
        <w:tc>
          <w:tcPr>
            <w:tcW w:w="126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p>
        </w:tc>
      </w:tr>
      <w:tr w:rsidR="00966AFB" w:rsidRPr="00F2162A" w:rsidTr="00971151">
        <w:tc>
          <w:tcPr>
            <w:tcW w:w="1638" w:type="dxa"/>
            <w:vAlign w:val="center"/>
          </w:tcPr>
          <w:p w:rsidR="00966AFB" w:rsidRPr="008142CC" w:rsidRDefault="00966AFB" w:rsidP="00971151">
            <w:pPr>
              <w:rPr>
                <w:rFonts w:ascii="Times New Roman" w:hAnsi="Times New Roman" w:cs="Times New Roman"/>
                <w:sz w:val="20"/>
              </w:rPr>
            </w:pPr>
            <w:r w:rsidRPr="008142CC">
              <w:rPr>
                <w:rFonts w:ascii="Times New Roman" w:hAnsi="Times New Roman" w:cs="Times New Roman"/>
                <w:sz w:val="20"/>
              </w:rPr>
              <w:t>Materials, including technology</w:t>
            </w:r>
          </w:p>
        </w:tc>
        <w:tc>
          <w:tcPr>
            <w:tcW w:w="900" w:type="dxa"/>
            <w:vAlign w:val="center"/>
          </w:tcPr>
          <w:p w:rsidR="00966AFB" w:rsidRPr="00F2162A" w:rsidRDefault="00966AFB" w:rsidP="00971151">
            <w:pPr>
              <w:jc w:val="center"/>
              <w:rPr>
                <w:sz w:val="20"/>
              </w:rPr>
            </w:pPr>
          </w:p>
        </w:tc>
        <w:tc>
          <w:tcPr>
            <w:tcW w:w="135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p>
        </w:tc>
        <w:tc>
          <w:tcPr>
            <w:tcW w:w="99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p>
        </w:tc>
        <w:tc>
          <w:tcPr>
            <w:tcW w:w="1350" w:type="dxa"/>
            <w:vAlign w:val="center"/>
          </w:tcPr>
          <w:p w:rsidR="00966AFB" w:rsidRPr="00F2162A" w:rsidRDefault="00966AFB" w:rsidP="00971151">
            <w:pPr>
              <w:jc w:val="center"/>
              <w:rPr>
                <w:sz w:val="20"/>
              </w:rPr>
            </w:pPr>
            <w:r w:rsidRPr="00F2162A">
              <w:rPr>
                <w:sz w:val="20"/>
              </w:rPr>
              <w:t>X</w:t>
            </w:r>
          </w:p>
        </w:tc>
        <w:tc>
          <w:tcPr>
            <w:tcW w:w="171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r w:rsidRPr="00F2162A">
              <w:rPr>
                <w:sz w:val="20"/>
              </w:rPr>
              <w:t>X</w:t>
            </w:r>
          </w:p>
        </w:tc>
        <w:tc>
          <w:tcPr>
            <w:tcW w:w="1260" w:type="dxa"/>
            <w:vAlign w:val="center"/>
          </w:tcPr>
          <w:p w:rsidR="00966AFB" w:rsidRPr="00F2162A" w:rsidRDefault="00966AFB" w:rsidP="00971151">
            <w:pPr>
              <w:jc w:val="center"/>
              <w:rPr>
                <w:sz w:val="20"/>
              </w:rPr>
            </w:pPr>
            <w:r w:rsidRPr="00F2162A">
              <w:rPr>
                <w:sz w:val="20"/>
              </w:rPr>
              <w:t>X</w:t>
            </w:r>
          </w:p>
        </w:tc>
        <w:tc>
          <w:tcPr>
            <w:tcW w:w="1170" w:type="dxa"/>
            <w:vAlign w:val="center"/>
          </w:tcPr>
          <w:p w:rsidR="00966AFB" w:rsidRPr="00F2162A" w:rsidRDefault="00966AFB" w:rsidP="00971151">
            <w:pPr>
              <w:jc w:val="center"/>
              <w:rPr>
                <w:sz w:val="20"/>
              </w:rPr>
            </w:pPr>
          </w:p>
        </w:tc>
      </w:tr>
      <w:tr w:rsidR="00966AFB" w:rsidRPr="00F2162A" w:rsidTr="00971151">
        <w:tc>
          <w:tcPr>
            <w:tcW w:w="1638" w:type="dxa"/>
            <w:vAlign w:val="center"/>
          </w:tcPr>
          <w:p w:rsidR="00966AFB" w:rsidRPr="008142CC" w:rsidRDefault="00966AFB" w:rsidP="00971151">
            <w:pPr>
              <w:rPr>
                <w:rFonts w:ascii="Times New Roman" w:hAnsi="Times New Roman" w:cs="Times New Roman"/>
                <w:sz w:val="20"/>
              </w:rPr>
            </w:pPr>
            <w:r w:rsidRPr="008142CC">
              <w:rPr>
                <w:rFonts w:ascii="Times New Roman" w:hAnsi="Times New Roman" w:cs="Times New Roman"/>
                <w:sz w:val="20"/>
              </w:rPr>
              <w:t>Social-emotional programs and services</w:t>
            </w:r>
          </w:p>
        </w:tc>
        <w:tc>
          <w:tcPr>
            <w:tcW w:w="90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r w:rsidRPr="00F2162A">
              <w:rPr>
                <w:sz w:val="20"/>
              </w:rPr>
              <w:t>X</w:t>
            </w:r>
          </w:p>
        </w:tc>
        <w:tc>
          <w:tcPr>
            <w:tcW w:w="1170" w:type="dxa"/>
            <w:vAlign w:val="center"/>
          </w:tcPr>
          <w:p w:rsidR="00966AFB" w:rsidRPr="00F2162A" w:rsidRDefault="00966AFB" w:rsidP="00971151">
            <w:pPr>
              <w:jc w:val="center"/>
              <w:rPr>
                <w:sz w:val="20"/>
              </w:rPr>
            </w:pPr>
          </w:p>
        </w:tc>
        <w:tc>
          <w:tcPr>
            <w:tcW w:w="99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p>
        </w:tc>
        <w:tc>
          <w:tcPr>
            <w:tcW w:w="1710" w:type="dxa"/>
            <w:vAlign w:val="center"/>
          </w:tcPr>
          <w:p w:rsidR="00966AFB" w:rsidRPr="00F2162A" w:rsidRDefault="00966AFB" w:rsidP="00971151">
            <w:pPr>
              <w:jc w:val="center"/>
              <w:rPr>
                <w:sz w:val="20"/>
              </w:rPr>
            </w:pPr>
          </w:p>
        </w:tc>
        <w:tc>
          <w:tcPr>
            <w:tcW w:w="1350" w:type="dxa"/>
            <w:vAlign w:val="center"/>
          </w:tcPr>
          <w:p w:rsidR="00966AFB" w:rsidRPr="00F2162A" w:rsidRDefault="00966AFB" w:rsidP="00971151">
            <w:pPr>
              <w:jc w:val="center"/>
              <w:rPr>
                <w:sz w:val="20"/>
              </w:rPr>
            </w:pPr>
          </w:p>
        </w:tc>
        <w:tc>
          <w:tcPr>
            <w:tcW w:w="126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p>
        </w:tc>
      </w:tr>
      <w:tr w:rsidR="00966AFB" w:rsidRPr="00F2162A" w:rsidTr="00971151">
        <w:tc>
          <w:tcPr>
            <w:tcW w:w="1638" w:type="dxa"/>
            <w:vAlign w:val="center"/>
          </w:tcPr>
          <w:p w:rsidR="00966AFB" w:rsidRPr="008142CC" w:rsidRDefault="00966AFB" w:rsidP="00971151">
            <w:pPr>
              <w:rPr>
                <w:rFonts w:ascii="Times New Roman" w:hAnsi="Times New Roman" w:cs="Times New Roman"/>
                <w:sz w:val="20"/>
              </w:rPr>
            </w:pPr>
            <w:r w:rsidRPr="008142CC">
              <w:rPr>
                <w:rFonts w:ascii="Times New Roman" w:hAnsi="Times New Roman" w:cs="Times New Roman"/>
                <w:sz w:val="20"/>
              </w:rPr>
              <w:t>Parent and community engagement</w:t>
            </w:r>
          </w:p>
        </w:tc>
        <w:tc>
          <w:tcPr>
            <w:tcW w:w="90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r w:rsidRPr="00F2162A">
              <w:rPr>
                <w:sz w:val="20"/>
              </w:rPr>
              <w:t>X</w:t>
            </w:r>
          </w:p>
        </w:tc>
        <w:tc>
          <w:tcPr>
            <w:tcW w:w="1170" w:type="dxa"/>
            <w:vAlign w:val="center"/>
          </w:tcPr>
          <w:p w:rsidR="00966AFB" w:rsidRPr="00F2162A" w:rsidRDefault="00966AFB" w:rsidP="00971151">
            <w:pPr>
              <w:jc w:val="center"/>
              <w:rPr>
                <w:sz w:val="20"/>
              </w:rPr>
            </w:pPr>
          </w:p>
        </w:tc>
        <w:tc>
          <w:tcPr>
            <w:tcW w:w="99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r w:rsidRPr="00F2162A">
              <w:rPr>
                <w:sz w:val="20"/>
              </w:rPr>
              <w:t>X</w:t>
            </w:r>
          </w:p>
        </w:tc>
        <w:tc>
          <w:tcPr>
            <w:tcW w:w="1350" w:type="dxa"/>
            <w:vAlign w:val="center"/>
          </w:tcPr>
          <w:p w:rsidR="00966AFB" w:rsidRPr="00F2162A" w:rsidRDefault="00966AFB" w:rsidP="00971151">
            <w:pPr>
              <w:jc w:val="center"/>
              <w:rPr>
                <w:sz w:val="20"/>
              </w:rPr>
            </w:pPr>
          </w:p>
        </w:tc>
        <w:tc>
          <w:tcPr>
            <w:tcW w:w="1710" w:type="dxa"/>
            <w:vAlign w:val="center"/>
          </w:tcPr>
          <w:p w:rsidR="00966AFB" w:rsidRPr="00F2162A" w:rsidRDefault="00966AFB" w:rsidP="00971151">
            <w:pPr>
              <w:jc w:val="center"/>
              <w:rPr>
                <w:sz w:val="20"/>
              </w:rPr>
            </w:pPr>
          </w:p>
        </w:tc>
        <w:tc>
          <w:tcPr>
            <w:tcW w:w="1350" w:type="dxa"/>
            <w:vAlign w:val="center"/>
          </w:tcPr>
          <w:p w:rsidR="00966AFB" w:rsidRPr="00F2162A" w:rsidRDefault="00966AFB" w:rsidP="00971151">
            <w:pPr>
              <w:jc w:val="center"/>
              <w:rPr>
                <w:sz w:val="20"/>
              </w:rPr>
            </w:pPr>
          </w:p>
        </w:tc>
        <w:tc>
          <w:tcPr>
            <w:tcW w:w="126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p>
        </w:tc>
      </w:tr>
      <w:tr w:rsidR="00966AFB" w:rsidRPr="00F2162A" w:rsidTr="00971151">
        <w:trPr>
          <w:trHeight w:val="440"/>
        </w:trPr>
        <w:tc>
          <w:tcPr>
            <w:tcW w:w="1638" w:type="dxa"/>
            <w:vAlign w:val="center"/>
          </w:tcPr>
          <w:p w:rsidR="00966AFB" w:rsidRPr="008142CC" w:rsidRDefault="00966AFB" w:rsidP="00971151">
            <w:pPr>
              <w:rPr>
                <w:rFonts w:ascii="Times New Roman" w:hAnsi="Times New Roman" w:cs="Times New Roman"/>
                <w:sz w:val="20"/>
              </w:rPr>
            </w:pPr>
            <w:r w:rsidRPr="008142CC">
              <w:rPr>
                <w:rFonts w:ascii="Times New Roman" w:hAnsi="Times New Roman" w:cs="Times New Roman"/>
                <w:sz w:val="20"/>
              </w:rPr>
              <w:t>Other/Misc SRG</w:t>
            </w:r>
          </w:p>
        </w:tc>
        <w:tc>
          <w:tcPr>
            <w:tcW w:w="900" w:type="dxa"/>
            <w:vAlign w:val="center"/>
          </w:tcPr>
          <w:p w:rsidR="00966AFB" w:rsidRPr="00F2162A" w:rsidRDefault="00966AFB" w:rsidP="00971151">
            <w:pPr>
              <w:jc w:val="center"/>
              <w:rPr>
                <w:sz w:val="20"/>
              </w:rPr>
            </w:pPr>
          </w:p>
        </w:tc>
        <w:tc>
          <w:tcPr>
            <w:tcW w:w="135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p>
        </w:tc>
        <w:tc>
          <w:tcPr>
            <w:tcW w:w="99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p>
        </w:tc>
        <w:tc>
          <w:tcPr>
            <w:tcW w:w="1350" w:type="dxa"/>
            <w:vAlign w:val="center"/>
          </w:tcPr>
          <w:p w:rsidR="00966AFB" w:rsidRPr="00F2162A" w:rsidRDefault="00966AFB" w:rsidP="00971151">
            <w:pPr>
              <w:jc w:val="center"/>
              <w:rPr>
                <w:sz w:val="20"/>
              </w:rPr>
            </w:pPr>
          </w:p>
        </w:tc>
        <w:tc>
          <w:tcPr>
            <w:tcW w:w="1710" w:type="dxa"/>
            <w:vAlign w:val="center"/>
          </w:tcPr>
          <w:p w:rsidR="00966AFB" w:rsidRPr="00F2162A" w:rsidRDefault="00966AFB" w:rsidP="00971151">
            <w:pPr>
              <w:jc w:val="center"/>
              <w:rPr>
                <w:sz w:val="20"/>
              </w:rPr>
            </w:pPr>
          </w:p>
        </w:tc>
        <w:tc>
          <w:tcPr>
            <w:tcW w:w="1350" w:type="dxa"/>
            <w:vAlign w:val="center"/>
          </w:tcPr>
          <w:p w:rsidR="00966AFB" w:rsidRPr="00F2162A" w:rsidRDefault="00966AFB" w:rsidP="00971151">
            <w:pPr>
              <w:jc w:val="center"/>
              <w:rPr>
                <w:sz w:val="20"/>
              </w:rPr>
            </w:pPr>
          </w:p>
        </w:tc>
        <w:tc>
          <w:tcPr>
            <w:tcW w:w="1260" w:type="dxa"/>
            <w:vAlign w:val="center"/>
          </w:tcPr>
          <w:p w:rsidR="00966AFB" w:rsidRPr="00F2162A" w:rsidRDefault="00966AFB" w:rsidP="00971151">
            <w:pPr>
              <w:jc w:val="center"/>
              <w:rPr>
                <w:sz w:val="20"/>
              </w:rPr>
            </w:pPr>
          </w:p>
        </w:tc>
        <w:tc>
          <w:tcPr>
            <w:tcW w:w="1170" w:type="dxa"/>
            <w:vAlign w:val="center"/>
          </w:tcPr>
          <w:p w:rsidR="00966AFB" w:rsidRPr="00F2162A" w:rsidRDefault="00966AFB" w:rsidP="00971151">
            <w:pPr>
              <w:jc w:val="center"/>
              <w:rPr>
                <w:sz w:val="20"/>
              </w:rPr>
            </w:pPr>
            <w:r w:rsidRPr="00F2162A">
              <w:rPr>
                <w:sz w:val="20"/>
              </w:rPr>
              <w:t>X</w:t>
            </w:r>
          </w:p>
        </w:tc>
      </w:tr>
    </w:tbl>
    <w:p w:rsidR="00966AFB" w:rsidRPr="004727CF" w:rsidRDefault="00966AFB" w:rsidP="00966AFB">
      <w:pPr>
        <w:rPr>
          <w:sz w:val="20"/>
        </w:rPr>
      </w:pPr>
      <w:r w:rsidRPr="006558B5">
        <w:rPr>
          <w:sz w:val="20"/>
        </w:rPr>
        <w:t>An “X” represents areas in which budget items could be coded. For instance, a budget item could be coded as “Formal Professional Development” and Direct Staffing, Stipends, or Consultants.</w:t>
      </w:r>
      <w:r>
        <w:br w:type="page"/>
      </w:r>
    </w:p>
    <w:p w:rsidR="00A97869" w:rsidRDefault="00A97869" w:rsidP="00B1473D">
      <w:pPr>
        <w:pStyle w:val="ListParagraph"/>
        <w:numPr>
          <w:ilvl w:val="0"/>
          <w:numId w:val="12"/>
        </w:numPr>
        <w:spacing w:beforeLines="25" w:after="25" w:line="288" w:lineRule="auto"/>
        <w:contextualSpacing w:val="0"/>
        <w:sectPr w:rsidR="00A97869" w:rsidSect="00966AFB">
          <w:pgSz w:w="15840" w:h="12240" w:orient="landscape"/>
          <w:pgMar w:top="1152" w:right="1152" w:bottom="1152" w:left="1152" w:header="720" w:footer="720" w:gutter="0"/>
          <w:pgNumType w:fmt="upperLetter" w:start="2"/>
          <w:cols w:space="720"/>
          <w:docGrid w:linePitch="326"/>
        </w:sectPr>
      </w:pPr>
    </w:p>
    <w:p w:rsidR="00A97869" w:rsidRPr="00A97869" w:rsidRDefault="00AA5D5F" w:rsidP="00A97869">
      <w:pPr>
        <w:spacing w:after="120"/>
        <w:jc w:val="center"/>
        <w:rPr>
          <w:b/>
        </w:rPr>
      </w:pPr>
      <w:r>
        <w:rPr>
          <w:b/>
        </w:rPr>
        <w:lastRenderedPageBreak/>
        <w:t>Appendix C</w:t>
      </w:r>
    </w:p>
    <w:tbl>
      <w:tblPr>
        <w:tblW w:w="134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80"/>
        <w:gridCol w:w="1260"/>
        <w:gridCol w:w="90"/>
        <w:gridCol w:w="90"/>
        <w:gridCol w:w="1980"/>
        <w:gridCol w:w="90"/>
        <w:gridCol w:w="720"/>
        <w:gridCol w:w="1260"/>
        <w:gridCol w:w="90"/>
        <w:gridCol w:w="270"/>
        <w:gridCol w:w="900"/>
        <w:gridCol w:w="720"/>
        <w:gridCol w:w="900"/>
        <w:gridCol w:w="270"/>
        <w:gridCol w:w="900"/>
        <w:gridCol w:w="240"/>
        <w:gridCol w:w="660"/>
        <w:gridCol w:w="750"/>
        <w:gridCol w:w="240"/>
        <w:gridCol w:w="1170"/>
      </w:tblGrid>
      <w:tr w:rsidR="00A97869" w:rsidRPr="00851244" w:rsidTr="00A97869">
        <w:trPr>
          <w:trHeight w:val="639"/>
        </w:trPr>
        <w:tc>
          <w:tcPr>
            <w:tcW w:w="10350" w:type="dxa"/>
            <w:gridSpan w:val="16"/>
            <w:tcBorders>
              <w:top w:val="nil"/>
              <w:left w:val="nil"/>
              <w:bottom w:val="nil"/>
              <w:right w:val="nil"/>
            </w:tcBorders>
          </w:tcPr>
          <w:p w:rsidR="00A97869" w:rsidRPr="00CB7517" w:rsidRDefault="00AA5D5F" w:rsidP="00A97869">
            <w:pPr>
              <w:jc w:val="center"/>
              <w:rPr>
                <w:rFonts w:eastAsia="Times New Roman"/>
                <w:b/>
                <w:color w:val="000000"/>
                <w:sz w:val="22"/>
                <w:szCs w:val="22"/>
              </w:rPr>
            </w:pPr>
            <w:r>
              <w:rPr>
                <w:b/>
                <w:sz w:val="22"/>
                <w:szCs w:val="22"/>
              </w:rPr>
              <w:t>Table C</w:t>
            </w:r>
            <w:r w:rsidR="00C05939">
              <w:rPr>
                <w:b/>
                <w:sz w:val="22"/>
                <w:szCs w:val="22"/>
              </w:rPr>
              <w:t>1</w:t>
            </w:r>
            <w:r w:rsidR="00A97869" w:rsidRPr="00CB7517">
              <w:rPr>
                <w:b/>
                <w:sz w:val="22"/>
                <w:szCs w:val="22"/>
              </w:rPr>
              <w:t>.</w:t>
            </w:r>
            <w:r w:rsidR="00A97869" w:rsidRPr="00CB7517">
              <w:rPr>
                <w:rFonts w:eastAsia="Times New Roman"/>
                <w:color w:val="000000"/>
                <w:sz w:val="22"/>
                <w:szCs w:val="22"/>
              </w:rPr>
              <w:t xml:space="preserve"> </w:t>
            </w:r>
            <w:r w:rsidR="00A97869" w:rsidRPr="00CB7517">
              <w:rPr>
                <w:rFonts w:eastAsia="Times New Roman"/>
                <w:b/>
                <w:color w:val="000000"/>
                <w:sz w:val="22"/>
                <w:szCs w:val="22"/>
              </w:rPr>
              <w:t xml:space="preserve">Overview of L4 schools </w:t>
            </w:r>
            <w:r w:rsidR="00A97869" w:rsidRPr="00CB7517">
              <w:rPr>
                <w:rFonts w:eastAsia="Times New Roman"/>
                <w:b/>
                <w:color w:val="000000"/>
                <w:sz w:val="22"/>
                <w:szCs w:val="22"/>
                <w:u w:val="single"/>
              </w:rPr>
              <w:t>making gains (Achievement Gain Schools)</w:t>
            </w:r>
            <w:r w:rsidR="00A97869" w:rsidRPr="00CB7517">
              <w:rPr>
                <w:rFonts w:eastAsia="Times New Roman"/>
                <w:b/>
                <w:color w:val="000000"/>
                <w:sz w:val="22"/>
                <w:szCs w:val="22"/>
              </w:rPr>
              <w:t xml:space="preserve"> and those </w:t>
            </w:r>
            <w:r w:rsidR="00A97869" w:rsidRPr="00CB7517">
              <w:rPr>
                <w:rFonts w:eastAsia="Times New Roman"/>
                <w:b/>
                <w:color w:val="000000"/>
                <w:sz w:val="22"/>
                <w:szCs w:val="22"/>
                <w:u w:val="single"/>
              </w:rPr>
              <w:t>not making gains (Non-Gain Schools)</w:t>
            </w:r>
            <w:r w:rsidR="00A97869" w:rsidRPr="00CB7517">
              <w:rPr>
                <w:rFonts w:eastAsia="Times New Roman"/>
                <w:b/>
                <w:color w:val="000000"/>
                <w:sz w:val="22"/>
                <w:szCs w:val="22"/>
              </w:rPr>
              <w:t xml:space="preserve"> in the 2010-11 and 2011-12 school years; by % needed to reach MAG and two-year change in CPI Achievement Gap (e.g. Positive = Closing Achievement Gap) </w:t>
            </w:r>
          </w:p>
        </w:tc>
        <w:tc>
          <w:tcPr>
            <w:tcW w:w="3060" w:type="dxa"/>
            <w:gridSpan w:val="5"/>
            <w:tcBorders>
              <w:top w:val="single" w:sz="4" w:space="0" w:color="auto"/>
              <w:left w:val="nil"/>
              <w:bottom w:val="nil"/>
              <w:right w:val="nil"/>
            </w:tcBorders>
            <w:shd w:val="clear" w:color="auto" w:fill="auto"/>
            <w:vAlign w:val="center"/>
          </w:tcPr>
          <w:p w:rsidR="00A97869" w:rsidRPr="00CB7517" w:rsidRDefault="00A97869" w:rsidP="00A97869">
            <w:pPr>
              <w:jc w:val="center"/>
              <w:rPr>
                <w:rFonts w:eastAsia="Times New Roman"/>
                <w:color w:val="000000"/>
                <w:sz w:val="22"/>
                <w:szCs w:val="22"/>
              </w:rPr>
            </w:pPr>
            <w:r w:rsidRPr="00CB7517">
              <w:rPr>
                <w:rFonts w:eastAsia="Times New Roman"/>
                <w:color w:val="000000"/>
                <w:sz w:val="22"/>
                <w:szCs w:val="22"/>
              </w:rPr>
              <w:t xml:space="preserve">Actual Change in closing </w:t>
            </w:r>
            <w:r w:rsidRPr="00CB7517">
              <w:rPr>
                <w:rFonts w:eastAsia="Times New Roman"/>
                <w:color w:val="000000"/>
                <w:sz w:val="22"/>
                <w:szCs w:val="22"/>
                <w:u w:val="single"/>
              </w:rPr>
              <w:t>CPI Achievement Gap</w:t>
            </w:r>
            <w:r w:rsidRPr="00CB7517">
              <w:rPr>
                <w:rFonts w:eastAsia="Times New Roman"/>
                <w:color w:val="000000"/>
                <w:sz w:val="22"/>
                <w:szCs w:val="22"/>
              </w:rPr>
              <w:t xml:space="preserve"> between 2010 and 2012, math and ELA</w:t>
            </w:r>
          </w:p>
        </w:tc>
      </w:tr>
      <w:tr w:rsidR="00A97869" w:rsidRPr="003167BC" w:rsidTr="00A97869">
        <w:trPr>
          <w:trHeight w:val="560"/>
        </w:trPr>
        <w:tc>
          <w:tcPr>
            <w:tcW w:w="630" w:type="dxa"/>
            <w:tcBorders>
              <w:top w:val="nil"/>
              <w:left w:val="nil"/>
            </w:tcBorders>
          </w:tcPr>
          <w:p w:rsidR="00A97869" w:rsidRPr="0050414B" w:rsidRDefault="00A97869" w:rsidP="00A97869">
            <w:pPr>
              <w:jc w:val="center"/>
              <w:rPr>
                <w:rFonts w:eastAsia="Times New Roman"/>
                <w:color w:val="000000"/>
                <w:sz w:val="21"/>
                <w:szCs w:val="21"/>
              </w:rPr>
            </w:pPr>
          </w:p>
        </w:tc>
        <w:tc>
          <w:tcPr>
            <w:tcW w:w="1440" w:type="dxa"/>
            <w:gridSpan w:val="2"/>
            <w:tcBorders>
              <w:top w:val="single" w:sz="4" w:space="0" w:color="auto"/>
              <w:left w:val="nil"/>
              <w:bottom w:val="single" w:sz="4" w:space="0" w:color="auto"/>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District</w:t>
            </w:r>
          </w:p>
        </w:tc>
        <w:tc>
          <w:tcPr>
            <w:tcW w:w="2160" w:type="dxa"/>
            <w:gridSpan w:val="3"/>
            <w:tcBorders>
              <w:top w:val="single" w:sz="4" w:space="0" w:color="auto"/>
              <w:bottom w:val="single" w:sz="4" w:space="0" w:color="auto"/>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School</w:t>
            </w:r>
          </w:p>
        </w:tc>
        <w:tc>
          <w:tcPr>
            <w:tcW w:w="810" w:type="dxa"/>
            <w:gridSpan w:val="2"/>
            <w:tcBorders>
              <w:top w:val="single" w:sz="4" w:space="0" w:color="auto"/>
              <w:bottom w:val="single" w:sz="4" w:space="0" w:color="auto"/>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 LEP</w:t>
            </w:r>
          </w:p>
        </w:tc>
        <w:tc>
          <w:tcPr>
            <w:tcW w:w="1260" w:type="dxa"/>
            <w:tcBorders>
              <w:top w:val="single" w:sz="4" w:space="0" w:color="auto"/>
              <w:bottom w:val="single" w:sz="4" w:space="0" w:color="auto"/>
            </w:tcBorders>
            <w:shd w:val="clear" w:color="auto" w:fill="auto"/>
            <w:vAlign w:val="center"/>
            <w:hideMark/>
          </w:tcPr>
          <w:p w:rsidR="00A97869" w:rsidRPr="00262452" w:rsidRDefault="00A97869" w:rsidP="00A97869">
            <w:pPr>
              <w:jc w:val="center"/>
              <w:rPr>
                <w:rFonts w:eastAsia="Times New Roman"/>
                <w:bCs/>
                <w:color w:val="000000"/>
                <w:sz w:val="22"/>
                <w:szCs w:val="22"/>
              </w:rPr>
            </w:pPr>
            <w:r w:rsidRPr="00262452">
              <w:rPr>
                <w:rFonts w:eastAsia="Times New Roman"/>
                <w:bCs/>
                <w:color w:val="000000"/>
                <w:sz w:val="22"/>
                <w:szCs w:val="22"/>
              </w:rPr>
              <w:t>MAG % needed to reach target</w:t>
            </w:r>
          </w:p>
        </w:tc>
        <w:tc>
          <w:tcPr>
            <w:tcW w:w="1260" w:type="dxa"/>
            <w:gridSpan w:val="3"/>
            <w:tcBorders>
              <w:top w:val="single" w:sz="4" w:space="0" w:color="auto"/>
              <w:bottom w:val="single" w:sz="4" w:space="0" w:color="auto"/>
            </w:tcBorders>
            <w:shd w:val="clear" w:color="auto" w:fill="auto"/>
            <w:noWrap/>
            <w:vAlign w:val="center"/>
          </w:tcPr>
          <w:p w:rsidR="00A97869" w:rsidRPr="00262452" w:rsidRDefault="00A97869" w:rsidP="00A97869">
            <w:pPr>
              <w:jc w:val="center"/>
              <w:rPr>
                <w:rFonts w:eastAsia="Times New Roman"/>
                <w:color w:val="000000"/>
                <w:sz w:val="22"/>
                <w:szCs w:val="22"/>
              </w:rPr>
            </w:pPr>
            <w:r>
              <w:rPr>
                <w:rFonts w:eastAsia="Times New Roman"/>
                <w:color w:val="000000"/>
                <w:sz w:val="22"/>
                <w:szCs w:val="22"/>
              </w:rPr>
              <w:t>In Analysis</w:t>
            </w:r>
          </w:p>
        </w:tc>
        <w:tc>
          <w:tcPr>
            <w:tcW w:w="1890" w:type="dxa"/>
            <w:gridSpan w:val="3"/>
            <w:tcBorders>
              <w:top w:val="single" w:sz="4" w:space="0" w:color="auto"/>
              <w:bottom w:val="single" w:sz="4" w:space="0" w:color="auto"/>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Model</w:t>
            </w:r>
          </w:p>
        </w:tc>
        <w:tc>
          <w:tcPr>
            <w:tcW w:w="900" w:type="dxa"/>
            <w:tcBorders>
              <w:top w:val="single" w:sz="4" w:space="0" w:color="auto"/>
              <w:bottom w:val="single" w:sz="4" w:space="0" w:color="auto"/>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SIG Cohort</w:t>
            </w:r>
          </w:p>
        </w:tc>
        <w:tc>
          <w:tcPr>
            <w:tcW w:w="900" w:type="dxa"/>
            <w:gridSpan w:val="2"/>
            <w:tcBorders>
              <w:top w:val="single" w:sz="4" w:space="0" w:color="auto"/>
              <w:bottom w:val="single" w:sz="4" w:space="0" w:color="auto"/>
            </w:tcBorders>
            <w:shd w:val="clear" w:color="auto" w:fill="auto"/>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ELA</w:t>
            </w:r>
          </w:p>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Change in CPI</w:t>
            </w:r>
          </w:p>
        </w:tc>
        <w:tc>
          <w:tcPr>
            <w:tcW w:w="990" w:type="dxa"/>
            <w:gridSpan w:val="2"/>
            <w:tcBorders>
              <w:top w:val="single" w:sz="4" w:space="0" w:color="auto"/>
              <w:bottom w:val="single" w:sz="4" w:space="0" w:color="auto"/>
            </w:tcBorders>
            <w:shd w:val="clear" w:color="auto" w:fill="auto"/>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Math</w:t>
            </w:r>
          </w:p>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Change in CPI</w:t>
            </w:r>
          </w:p>
        </w:tc>
        <w:tc>
          <w:tcPr>
            <w:tcW w:w="1170" w:type="dxa"/>
            <w:tcBorders>
              <w:top w:val="single" w:sz="4" w:space="0" w:color="auto"/>
              <w:bottom w:val="single" w:sz="4" w:space="0" w:color="auto"/>
            </w:tcBorders>
            <w:shd w:val="clear" w:color="auto" w:fill="auto"/>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Combined 2 year Change</w:t>
            </w:r>
          </w:p>
        </w:tc>
      </w:tr>
      <w:tr w:rsidR="00A97869" w:rsidRPr="00851244" w:rsidTr="00A97869">
        <w:trPr>
          <w:trHeight w:val="297"/>
        </w:trPr>
        <w:tc>
          <w:tcPr>
            <w:tcW w:w="630" w:type="dxa"/>
            <w:vMerge w:val="restart"/>
            <w:tcBorders>
              <w:left w:val="nil"/>
            </w:tcBorders>
            <w:shd w:val="clear" w:color="auto" w:fill="auto"/>
            <w:textDirection w:val="btLr"/>
            <w:vAlign w:val="center"/>
          </w:tcPr>
          <w:p w:rsidR="00A97869" w:rsidRPr="00262452" w:rsidRDefault="00A97869" w:rsidP="00A97869">
            <w:pPr>
              <w:ind w:left="113" w:right="113"/>
              <w:jc w:val="center"/>
              <w:rPr>
                <w:rFonts w:eastAsia="Times New Roman"/>
                <w:b/>
                <w:sz w:val="22"/>
                <w:szCs w:val="22"/>
              </w:rPr>
            </w:pPr>
            <w:r w:rsidRPr="00262452">
              <w:rPr>
                <w:rFonts w:eastAsia="Times New Roman"/>
                <w:b/>
                <w:sz w:val="22"/>
                <w:szCs w:val="22"/>
              </w:rPr>
              <w:t xml:space="preserve">Schools making gains and closing </w:t>
            </w:r>
          </w:p>
          <w:p w:rsidR="00A97869" w:rsidRPr="00262452" w:rsidRDefault="00A97869" w:rsidP="00A97869">
            <w:pPr>
              <w:ind w:left="113" w:right="113"/>
              <w:jc w:val="center"/>
              <w:rPr>
                <w:rFonts w:eastAsia="Times New Roman"/>
                <w:b/>
                <w:sz w:val="22"/>
                <w:szCs w:val="22"/>
              </w:rPr>
            </w:pPr>
            <w:r w:rsidRPr="00262452">
              <w:rPr>
                <w:rFonts w:eastAsia="Times New Roman"/>
                <w:b/>
                <w:sz w:val="22"/>
                <w:szCs w:val="22"/>
              </w:rPr>
              <w:t xml:space="preserve"> Achievement Gaps</w:t>
            </w:r>
          </w:p>
        </w:tc>
        <w:tc>
          <w:tcPr>
            <w:tcW w:w="1440" w:type="dxa"/>
            <w:gridSpan w:val="2"/>
            <w:tcBorders>
              <w:left w:val="nil"/>
              <w:bottom w:val="nil"/>
            </w:tcBorders>
            <w:shd w:val="clear" w:color="auto" w:fill="auto"/>
            <w:noWrap/>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Springfield</w:t>
            </w:r>
          </w:p>
        </w:tc>
        <w:tc>
          <w:tcPr>
            <w:tcW w:w="2160" w:type="dxa"/>
            <w:gridSpan w:val="3"/>
            <w:tcBorders>
              <w:bottom w:val="nil"/>
            </w:tcBorders>
            <w:shd w:val="clear" w:color="auto" w:fill="auto"/>
            <w:vAlign w:val="center"/>
            <w:hideMark/>
          </w:tcPr>
          <w:p w:rsidR="00A97869" w:rsidRPr="00262452" w:rsidRDefault="00A97869" w:rsidP="00A97869">
            <w:pPr>
              <w:rPr>
                <w:rFonts w:eastAsia="Times New Roman"/>
                <w:color w:val="000000"/>
                <w:sz w:val="22"/>
                <w:szCs w:val="22"/>
              </w:rPr>
            </w:pPr>
            <w:proofErr w:type="spellStart"/>
            <w:r w:rsidRPr="00262452">
              <w:rPr>
                <w:rFonts w:eastAsia="Times New Roman"/>
                <w:color w:val="000000"/>
                <w:sz w:val="22"/>
                <w:szCs w:val="22"/>
              </w:rPr>
              <w:t>Zanetti</w:t>
            </w:r>
            <w:proofErr w:type="spellEnd"/>
            <w:r w:rsidRPr="00262452">
              <w:rPr>
                <w:rFonts w:eastAsia="Times New Roman"/>
                <w:color w:val="000000"/>
                <w:sz w:val="22"/>
                <w:szCs w:val="22"/>
              </w:rPr>
              <w:t xml:space="preserve"> K-8</w:t>
            </w:r>
          </w:p>
        </w:tc>
        <w:tc>
          <w:tcPr>
            <w:tcW w:w="810" w:type="dxa"/>
            <w:gridSpan w:val="2"/>
            <w:tcBorders>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5.5</w:t>
            </w:r>
          </w:p>
        </w:tc>
        <w:tc>
          <w:tcPr>
            <w:tcW w:w="1260" w:type="dxa"/>
            <w:tcBorders>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0%</w:t>
            </w:r>
          </w:p>
        </w:tc>
        <w:tc>
          <w:tcPr>
            <w:tcW w:w="1260" w:type="dxa"/>
            <w:gridSpan w:val="3"/>
            <w:tcBorders>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Transformation</w:t>
            </w:r>
          </w:p>
        </w:tc>
        <w:tc>
          <w:tcPr>
            <w:tcW w:w="900" w:type="dxa"/>
            <w:tcBorders>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w:t>
            </w:r>
          </w:p>
        </w:tc>
        <w:tc>
          <w:tcPr>
            <w:tcW w:w="900" w:type="dxa"/>
            <w:gridSpan w:val="2"/>
            <w:tcBorders>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11.7</w:t>
            </w:r>
          </w:p>
        </w:tc>
        <w:tc>
          <w:tcPr>
            <w:tcW w:w="990" w:type="dxa"/>
            <w:gridSpan w:val="2"/>
            <w:tcBorders>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21.3</w:t>
            </w:r>
          </w:p>
        </w:tc>
        <w:tc>
          <w:tcPr>
            <w:tcW w:w="1170" w:type="dxa"/>
            <w:tcBorders>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33.0</w:t>
            </w:r>
          </w:p>
        </w:tc>
      </w:tr>
      <w:tr w:rsidR="00A97869" w:rsidRPr="00851244" w:rsidTr="00A97869">
        <w:trPr>
          <w:trHeight w:val="297"/>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Springfield</w:t>
            </w:r>
          </w:p>
        </w:tc>
        <w:tc>
          <w:tcPr>
            <w:tcW w:w="2160" w:type="dxa"/>
            <w:gridSpan w:val="3"/>
            <w:tcBorders>
              <w:top w:val="nil"/>
              <w:bottom w:val="nil"/>
            </w:tcBorders>
            <w:shd w:val="clear" w:color="auto" w:fill="auto"/>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Homer Street ES</w:t>
            </w:r>
          </w:p>
        </w:tc>
        <w:tc>
          <w:tcPr>
            <w:tcW w:w="810" w:type="dxa"/>
            <w:gridSpan w:val="2"/>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17.5</w:t>
            </w:r>
          </w:p>
        </w:tc>
        <w:tc>
          <w:tcPr>
            <w:tcW w:w="1260" w:type="dxa"/>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0%</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Turnaround</w:t>
            </w:r>
          </w:p>
        </w:tc>
        <w:tc>
          <w:tcPr>
            <w:tcW w:w="900" w:type="dxa"/>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w:t>
            </w:r>
          </w:p>
        </w:tc>
        <w:tc>
          <w:tcPr>
            <w:tcW w:w="90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20.2</w:t>
            </w:r>
          </w:p>
        </w:tc>
        <w:tc>
          <w:tcPr>
            <w:tcW w:w="99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30.4</w:t>
            </w:r>
          </w:p>
        </w:tc>
        <w:tc>
          <w:tcPr>
            <w:tcW w:w="1170" w:type="dxa"/>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50.6</w:t>
            </w:r>
          </w:p>
        </w:tc>
      </w:tr>
      <w:tr w:rsidR="00A97869" w:rsidRPr="00851244" w:rsidTr="00A97869">
        <w:trPr>
          <w:trHeight w:val="297"/>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Boston</w:t>
            </w:r>
          </w:p>
        </w:tc>
        <w:tc>
          <w:tcPr>
            <w:tcW w:w="2160" w:type="dxa"/>
            <w:gridSpan w:val="3"/>
            <w:tcBorders>
              <w:top w:val="nil"/>
              <w:bottom w:val="nil"/>
            </w:tcBorders>
            <w:shd w:val="clear" w:color="auto" w:fill="auto"/>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Trotter ES</w:t>
            </w:r>
          </w:p>
        </w:tc>
        <w:tc>
          <w:tcPr>
            <w:tcW w:w="810" w:type="dxa"/>
            <w:gridSpan w:val="2"/>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6.6</w:t>
            </w:r>
          </w:p>
        </w:tc>
        <w:tc>
          <w:tcPr>
            <w:tcW w:w="1260" w:type="dxa"/>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0%</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Turnaround</w:t>
            </w:r>
          </w:p>
        </w:tc>
        <w:tc>
          <w:tcPr>
            <w:tcW w:w="900" w:type="dxa"/>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1</w:t>
            </w:r>
          </w:p>
        </w:tc>
        <w:tc>
          <w:tcPr>
            <w:tcW w:w="90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6.7</w:t>
            </w:r>
          </w:p>
        </w:tc>
        <w:tc>
          <w:tcPr>
            <w:tcW w:w="99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12.0</w:t>
            </w:r>
          </w:p>
        </w:tc>
        <w:tc>
          <w:tcPr>
            <w:tcW w:w="1170" w:type="dxa"/>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18.7</w:t>
            </w:r>
          </w:p>
        </w:tc>
      </w:tr>
      <w:tr w:rsidR="00A97869" w:rsidRPr="00851244" w:rsidTr="00A97869">
        <w:trPr>
          <w:trHeight w:val="297"/>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Boston</w:t>
            </w:r>
          </w:p>
        </w:tc>
        <w:tc>
          <w:tcPr>
            <w:tcW w:w="2160" w:type="dxa"/>
            <w:gridSpan w:val="3"/>
            <w:tcBorders>
              <w:top w:val="nil"/>
              <w:bottom w:val="nil"/>
            </w:tcBorders>
            <w:shd w:val="clear" w:color="auto" w:fill="auto"/>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Harbor MS</w:t>
            </w:r>
          </w:p>
        </w:tc>
        <w:tc>
          <w:tcPr>
            <w:tcW w:w="810" w:type="dxa"/>
            <w:gridSpan w:val="2"/>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9.4</w:t>
            </w:r>
          </w:p>
        </w:tc>
        <w:tc>
          <w:tcPr>
            <w:tcW w:w="1260" w:type="dxa"/>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1%</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No</w:t>
            </w:r>
          </w:p>
        </w:tc>
        <w:tc>
          <w:tcPr>
            <w:tcW w:w="1890" w:type="dxa"/>
            <w:gridSpan w:val="3"/>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Turnaround</w:t>
            </w:r>
          </w:p>
        </w:tc>
        <w:tc>
          <w:tcPr>
            <w:tcW w:w="900" w:type="dxa"/>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1</w:t>
            </w:r>
          </w:p>
        </w:tc>
        <w:tc>
          <w:tcPr>
            <w:tcW w:w="90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8.5</w:t>
            </w:r>
          </w:p>
        </w:tc>
        <w:tc>
          <w:tcPr>
            <w:tcW w:w="99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7</w:t>
            </w:r>
            <w:r>
              <w:rPr>
                <w:rFonts w:eastAsia="Times New Roman"/>
                <w:color w:val="000000"/>
                <w:sz w:val="22"/>
                <w:szCs w:val="22"/>
              </w:rPr>
              <w:t>.0</w:t>
            </w:r>
          </w:p>
        </w:tc>
        <w:tc>
          <w:tcPr>
            <w:tcW w:w="1170" w:type="dxa"/>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15.5</w:t>
            </w:r>
          </w:p>
        </w:tc>
      </w:tr>
      <w:tr w:rsidR="00A97869" w:rsidRPr="00851244" w:rsidTr="00A97869">
        <w:trPr>
          <w:trHeight w:val="297"/>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Boston</w:t>
            </w:r>
          </w:p>
        </w:tc>
        <w:tc>
          <w:tcPr>
            <w:tcW w:w="2160" w:type="dxa"/>
            <w:gridSpan w:val="3"/>
            <w:tcBorders>
              <w:top w:val="nil"/>
              <w:bottom w:val="nil"/>
            </w:tcBorders>
            <w:shd w:val="clear" w:color="auto" w:fill="auto"/>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Orchard Gardens K-8</w:t>
            </w:r>
          </w:p>
        </w:tc>
        <w:tc>
          <w:tcPr>
            <w:tcW w:w="810" w:type="dxa"/>
            <w:gridSpan w:val="2"/>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43.3</w:t>
            </w:r>
          </w:p>
        </w:tc>
        <w:tc>
          <w:tcPr>
            <w:tcW w:w="1260" w:type="dxa"/>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Turnaround</w:t>
            </w:r>
          </w:p>
        </w:tc>
        <w:tc>
          <w:tcPr>
            <w:tcW w:w="900" w:type="dxa"/>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1</w:t>
            </w:r>
          </w:p>
        </w:tc>
        <w:tc>
          <w:tcPr>
            <w:tcW w:w="90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9.1</w:t>
            </w:r>
          </w:p>
        </w:tc>
        <w:tc>
          <w:tcPr>
            <w:tcW w:w="99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19.3</w:t>
            </w:r>
          </w:p>
        </w:tc>
        <w:tc>
          <w:tcPr>
            <w:tcW w:w="1170" w:type="dxa"/>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28.4</w:t>
            </w:r>
          </w:p>
        </w:tc>
      </w:tr>
      <w:tr w:rsidR="00A97869" w:rsidRPr="00851244" w:rsidTr="00A97869">
        <w:trPr>
          <w:trHeight w:val="297"/>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Boston</w:t>
            </w:r>
          </w:p>
        </w:tc>
        <w:tc>
          <w:tcPr>
            <w:tcW w:w="2160" w:type="dxa"/>
            <w:gridSpan w:val="3"/>
            <w:tcBorders>
              <w:top w:val="nil"/>
              <w:bottom w:val="nil"/>
            </w:tcBorders>
            <w:shd w:val="clear" w:color="auto" w:fill="auto"/>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Blackstone ES</w:t>
            </w:r>
          </w:p>
        </w:tc>
        <w:tc>
          <w:tcPr>
            <w:tcW w:w="810" w:type="dxa"/>
            <w:gridSpan w:val="2"/>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58.8</w:t>
            </w:r>
          </w:p>
        </w:tc>
        <w:tc>
          <w:tcPr>
            <w:tcW w:w="1260" w:type="dxa"/>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3%</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Turnaround</w:t>
            </w:r>
          </w:p>
        </w:tc>
        <w:tc>
          <w:tcPr>
            <w:tcW w:w="900" w:type="dxa"/>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1</w:t>
            </w:r>
          </w:p>
        </w:tc>
        <w:tc>
          <w:tcPr>
            <w:tcW w:w="90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9.1</w:t>
            </w:r>
          </w:p>
        </w:tc>
        <w:tc>
          <w:tcPr>
            <w:tcW w:w="99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20.1</w:t>
            </w:r>
          </w:p>
        </w:tc>
        <w:tc>
          <w:tcPr>
            <w:tcW w:w="1170" w:type="dxa"/>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29.2</w:t>
            </w:r>
          </w:p>
        </w:tc>
      </w:tr>
      <w:tr w:rsidR="00A97869" w:rsidRPr="00851244" w:rsidTr="00A97869">
        <w:trPr>
          <w:trHeight w:val="297"/>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Lowell</w:t>
            </w:r>
          </w:p>
        </w:tc>
        <w:tc>
          <w:tcPr>
            <w:tcW w:w="2160" w:type="dxa"/>
            <w:gridSpan w:val="3"/>
            <w:tcBorders>
              <w:top w:val="nil"/>
              <w:bottom w:val="nil"/>
            </w:tcBorders>
            <w:shd w:val="clear" w:color="auto" w:fill="auto"/>
            <w:vAlign w:val="center"/>
            <w:hideMark/>
          </w:tcPr>
          <w:p w:rsidR="00A97869" w:rsidRPr="00262452" w:rsidRDefault="00A97869" w:rsidP="00A97869">
            <w:pPr>
              <w:rPr>
                <w:rFonts w:eastAsia="Times New Roman"/>
                <w:color w:val="000000"/>
                <w:sz w:val="22"/>
                <w:szCs w:val="22"/>
              </w:rPr>
            </w:pPr>
            <w:proofErr w:type="spellStart"/>
            <w:r w:rsidRPr="00262452">
              <w:rPr>
                <w:rFonts w:eastAsia="Times New Roman"/>
                <w:color w:val="000000"/>
                <w:sz w:val="22"/>
                <w:szCs w:val="22"/>
              </w:rPr>
              <w:t>Murkland</w:t>
            </w:r>
            <w:proofErr w:type="spellEnd"/>
            <w:r w:rsidRPr="00262452">
              <w:rPr>
                <w:rFonts w:eastAsia="Times New Roman"/>
                <w:color w:val="000000"/>
                <w:sz w:val="22"/>
                <w:szCs w:val="22"/>
              </w:rPr>
              <w:t xml:space="preserve"> ES</w:t>
            </w:r>
          </w:p>
        </w:tc>
        <w:tc>
          <w:tcPr>
            <w:tcW w:w="810" w:type="dxa"/>
            <w:gridSpan w:val="2"/>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39.4</w:t>
            </w:r>
          </w:p>
        </w:tc>
        <w:tc>
          <w:tcPr>
            <w:tcW w:w="1260" w:type="dxa"/>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4%</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Transformation</w:t>
            </w:r>
          </w:p>
        </w:tc>
        <w:tc>
          <w:tcPr>
            <w:tcW w:w="900" w:type="dxa"/>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w:t>
            </w:r>
          </w:p>
        </w:tc>
        <w:tc>
          <w:tcPr>
            <w:tcW w:w="90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11</w:t>
            </w:r>
          </w:p>
        </w:tc>
        <w:tc>
          <w:tcPr>
            <w:tcW w:w="99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14.6</w:t>
            </w:r>
          </w:p>
        </w:tc>
        <w:tc>
          <w:tcPr>
            <w:tcW w:w="1170" w:type="dxa"/>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25.6</w:t>
            </w:r>
          </w:p>
        </w:tc>
      </w:tr>
      <w:tr w:rsidR="00A97869" w:rsidRPr="00851244" w:rsidTr="00A97869">
        <w:trPr>
          <w:trHeight w:val="297"/>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Springfield</w:t>
            </w:r>
          </w:p>
        </w:tc>
        <w:tc>
          <w:tcPr>
            <w:tcW w:w="2160" w:type="dxa"/>
            <w:gridSpan w:val="3"/>
            <w:tcBorders>
              <w:top w:val="nil"/>
              <w:bottom w:val="nil"/>
            </w:tcBorders>
            <w:shd w:val="clear" w:color="auto" w:fill="auto"/>
            <w:vAlign w:val="center"/>
            <w:hideMark/>
          </w:tcPr>
          <w:p w:rsidR="00A97869" w:rsidRPr="00262452" w:rsidRDefault="00A97869" w:rsidP="00A97869">
            <w:pPr>
              <w:rPr>
                <w:rFonts w:eastAsia="Times New Roman"/>
                <w:color w:val="000000"/>
                <w:sz w:val="22"/>
                <w:szCs w:val="22"/>
              </w:rPr>
            </w:pPr>
            <w:proofErr w:type="spellStart"/>
            <w:r w:rsidRPr="00262452">
              <w:rPr>
                <w:rFonts w:eastAsia="Times New Roman"/>
                <w:color w:val="000000"/>
                <w:sz w:val="22"/>
                <w:szCs w:val="22"/>
              </w:rPr>
              <w:t>Gerena</w:t>
            </w:r>
            <w:proofErr w:type="spellEnd"/>
            <w:r w:rsidRPr="00262452">
              <w:rPr>
                <w:rFonts w:eastAsia="Times New Roman"/>
                <w:color w:val="000000"/>
                <w:sz w:val="22"/>
                <w:szCs w:val="22"/>
              </w:rPr>
              <w:t xml:space="preserve"> ES</w:t>
            </w:r>
          </w:p>
        </w:tc>
        <w:tc>
          <w:tcPr>
            <w:tcW w:w="810" w:type="dxa"/>
            <w:gridSpan w:val="2"/>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21.8</w:t>
            </w:r>
          </w:p>
        </w:tc>
        <w:tc>
          <w:tcPr>
            <w:tcW w:w="1260" w:type="dxa"/>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4%</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Transformation</w:t>
            </w:r>
          </w:p>
        </w:tc>
        <w:tc>
          <w:tcPr>
            <w:tcW w:w="900" w:type="dxa"/>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w:t>
            </w:r>
          </w:p>
        </w:tc>
        <w:tc>
          <w:tcPr>
            <w:tcW w:w="90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12.8</w:t>
            </w:r>
          </w:p>
        </w:tc>
        <w:tc>
          <w:tcPr>
            <w:tcW w:w="99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18.9</w:t>
            </w:r>
          </w:p>
        </w:tc>
        <w:tc>
          <w:tcPr>
            <w:tcW w:w="1170" w:type="dxa"/>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31.7</w:t>
            </w:r>
          </w:p>
        </w:tc>
      </w:tr>
      <w:tr w:rsidR="00A97869" w:rsidRPr="00851244" w:rsidTr="00A97869">
        <w:trPr>
          <w:trHeight w:val="297"/>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Lynn</w:t>
            </w:r>
          </w:p>
        </w:tc>
        <w:tc>
          <w:tcPr>
            <w:tcW w:w="2160" w:type="dxa"/>
            <w:gridSpan w:val="3"/>
            <w:tcBorders>
              <w:top w:val="nil"/>
              <w:bottom w:val="nil"/>
            </w:tcBorders>
            <w:shd w:val="clear" w:color="auto" w:fill="auto"/>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Harrington ES</w:t>
            </w:r>
          </w:p>
        </w:tc>
        <w:tc>
          <w:tcPr>
            <w:tcW w:w="810" w:type="dxa"/>
            <w:gridSpan w:val="2"/>
            <w:tcBorders>
              <w:top w:val="nil"/>
              <w:bottom w:val="nil"/>
            </w:tcBorders>
            <w:shd w:val="clear" w:color="auto" w:fill="auto"/>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43.2</w:t>
            </w:r>
          </w:p>
        </w:tc>
        <w:tc>
          <w:tcPr>
            <w:tcW w:w="1260" w:type="dxa"/>
            <w:tcBorders>
              <w:top w:val="nil"/>
              <w:bottom w:val="nil"/>
            </w:tcBorders>
            <w:shd w:val="clear" w:color="auto" w:fill="auto"/>
            <w:vAlign w:val="center"/>
          </w:tcPr>
          <w:p w:rsidR="00A97869" w:rsidRPr="00262452" w:rsidRDefault="00A97869" w:rsidP="00A97869">
            <w:pPr>
              <w:jc w:val="center"/>
              <w:rPr>
                <w:rFonts w:eastAsia="Times New Roman"/>
                <w:color w:val="000000"/>
                <w:sz w:val="22"/>
                <w:szCs w:val="22"/>
              </w:rPr>
            </w:pPr>
            <w:r>
              <w:rPr>
                <w:rFonts w:eastAsia="Times New Roman"/>
                <w:color w:val="000000"/>
                <w:sz w:val="22"/>
                <w:szCs w:val="22"/>
              </w:rPr>
              <w:t>4</w:t>
            </w:r>
            <w:r w:rsidRPr="00262452">
              <w:rPr>
                <w:rFonts w:eastAsia="Times New Roman"/>
                <w:color w:val="000000"/>
                <w:sz w:val="22"/>
                <w:szCs w:val="22"/>
              </w:rPr>
              <w:t>%</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No</w:t>
            </w:r>
          </w:p>
        </w:tc>
        <w:tc>
          <w:tcPr>
            <w:tcW w:w="189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Transformation</w:t>
            </w:r>
          </w:p>
        </w:tc>
        <w:tc>
          <w:tcPr>
            <w:tcW w:w="90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w:t>
            </w:r>
          </w:p>
        </w:tc>
        <w:tc>
          <w:tcPr>
            <w:tcW w:w="90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8</w:t>
            </w:r>
            <w:r>
              <w:rPr>
                <w:rFonts w:eastAsia="Times New Roman"/>
                <w:color w:val="000000"/>
                <w:sz w:val="22"/>
                <w:szCs w:val="22"/>
              </w:rPr>
              <w:t>.0</w:t>
            </w:r>
          </w:p>
        </w:tc>
        <w:tc>
          <w:tcPr>
            <w:tcW w:w="99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10.8</w:t>
            </w:r>
          </w:p>
        </w:tc>
        <w:tc>
          <w:tcPr>
            <w:tcW w:w="1170" w:type="dxa"/>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18.8</w:t>
            </w:r>
          </w:p>
        </w:tc>
      </w:tr>
      <w:tr w:rsidR="00A97869" w:rsidRPr="00851244" w:rsidTr="00A97869">
        <w:trPr>
          <w:trHeight w:val="297"/>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Springfield</w:t>
            </w:r>
          </w:p>
        </w:tc>
        <w:tc>
          <w:tcPr>
            <w:tcW w:w="2160" w:type="dxa"/>
            <w:gridSpan w:val="3"/>
            <w:tcBorders>
              <w:top w:val="nil"/>
              <w:bottom w:val="nil"/>
            </w:tcBorders>
            <w:shd w:val="clear" w:color="auto" w:fill="auto"/>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Brookings ES</w:t>
            </w:r>
          </w:p>
        </w:tc>
        <w:tc>
          <w:tcPr>
            <w:tcW w:w="810" w:type="dxa"/>
            <w:gridSpan w:val="2"/>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19.2</w:t>
            </w:r>
          </w:p>
        </w:tc>
        <w:tc>
          <w:tcPr>
            <w:tcW w:w="1260" w:type="dxa"/>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6%</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Turnaround</w:t>
            </w:r>
          </w:p>
        </w:tc>
        <w:tc>
          <w:tcPr>
            <w:tcW w:w="900" w:type="dxa"/>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w:t>
            </w:r>
          </w:p>
        </w:tc>
        <w:tc>
          <w:tcPr>
            <w:tcW w:w="90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9</w:t>
            </w:r>
            <w:r>
              <w:rPr>
                <w:rFonts w:eastAsia="Times New Roman"/>
                <w:color w:val="000000"/>
                <w:sz w:val="22"/>
                <w:szCs w:val="22"/>
              </w:rPr>
              <w:t>.0</w:t>
            </w:r>
          </w:p>
        </w:tc>
        <w:tc>
          <w:tcPr>
            <w:tcW w:w="99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16.4</w:t>
            </w:r>
          </w:p>
        </w:tc>
        <w:tc>
          <w:tcPr>
            <w:tcW w:w="1170" w:type="dxa"/>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25.4</w:t>
            </w:r>
          </w:p>
        </w:tc>
      </w:tr>
      <w:tr w:rsidR="00A97869" w:rsidRPr="00851244" w:rsidTr="00A97869">
        <w:trPr>
          <w:trHeight w:val="297"/>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Lynn</w:t>
            </w:r>
          </w:p>
        </w:tc>
        <w:tc>
          <w:tcPr>
            <w:tcW w:w="2160" w:type="dxa"/>
            <w:gridSpan w:val="3"/>
            <w:tcBorders>
              <w:top w:val="nil"/>
              <w:bottom w:val="nil"/>
            </w:tcBorders>
            <w:shd w:val="clear" w:color="auto" w:fill="auto"/>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Connery ES</w:t>
            </w:r>
          </w:p>
        </w:tc>
        <w:tc>
          <w:tcPr>
            <w:tcW w:w="810" w:type="dxa"/>
            <w:gridSpan w:val="2"/>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47.3</w:t>
            </w:r>
          </w:p>
        </w:tc>
        <w:tc>
          <w:tcPr>
            <w:tcW w:w="1260" w:type="dxa"/>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14%</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Transformation</w:t>
            </w:r>
          </w:p>
        </w:tc>
        <w:tc>
          <w:tcPr>
            <w:tcW w:w="900" w:type="dxa"/>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3</w:t>
            </w:r>
          </w:p>
        </w:tc>
        <w:tc>
          <w:tcPr>
            <w:tcW w:w="90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8.5</w:t>
            </w:r>
          </w:p>
        </w:tc>
        <w:tc>
          <w:tcPr>
            <w:tcW w:w="99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11</w:t>
            </w:r>
            <w:r>
              <w:rPr>
                <w:rFonts w:eastAsia="Times New Roman"/>
                <w:color w:val="000000"/>
                <w:sz w:val="22"/>
                <w:szCs w:val="22"/>
              </w:rPr>
              <w:t>.0</w:t>
            </w:r>
          </w:p>
        </w:tc>
        <w:tc>
          <w:tcPr>
            <w:tcW w:w="1170" w:type="dxa"/>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19.5</w:t>
            </w:r>
          </w:p>
        </w:tc>
      </w:tr>
      <w:tr w:rsidR="00A97869" w:rsidRPr="00851244" w:rsidTr="00A97869">
        <w:trPr>
          <w:trHeight w:val="297"/>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Worcester</w:t>
            </w:r>
          </w:p>
        </w:tc>
        <w:tc>
          <w:tcPr>
            <w:tcW w:w="2160" w:type="dxa"/>
            <w:gridSpan w:val="3"/>
            <w:tcBorders>
              <w:top w:val="nil"/>
              <w:bottom w:val="nil"/>
            </w:tcBorders>
            <w:shd w:val="clear" w:color="auto" w:fill="auto"/>
            <w:vAlign w:val="center"/>
            <w:hideMark/>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Union Hill ES</w:t>
            </w:r>
          </w:p>
        </w:tc>
        <w:tc>
          <w:tcPr>
            <w:tcW w:w="810" w:type="dxa"/>
            <w:gridSpan w:val="2"/>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43</w:t>
            </w:r>
          </w:p>
        </w:tc>
        <w:tc>
          <w:tcPr>
            <w:tcW w:w="1260" w:type="dxa"/>
            <w:tcBorders>
              <w:top w:val="nil"/>
              <w:bottom w:val="nil"/>
            </w:tcBorders>
            <w:shd w:val="clear" w:color="auto" w:fill="auto"/>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20%</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Transformation</w:t>
            </w:r>
          </w:p>
        </w:tc>
        <w:tc>
          <w:tcPr>
            <w:tcW w:w="900" w:type="dxa"/>
            <w:tcBorders>
              <w:top w:val="nil"/>
              <w:bottom w:val="nil"/>
            </w:tcBorders>
            <w:shd w:val="clear" w:color="auto" w:fill="auto"/>
            <w:noWrap/>
            <w:vAlign w:val="center"/>
            <w:hideMark/>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w:t>
            </w:r>
          </w:p>
        </w:tc>
        <w:tc>
          <w:tcPr>
            <w:tcW w:w="90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11.6</w:t>
            </w:r>
          </w:p>
        </w:tc>
        <w:tc>
          <w:tcPr>
            <w:tcW w:w="990" w:type="dxa"/>
            <w:gridSpan w:val="2"/>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9.1</w:t>
            </w:r>
          </w:p>
        </w:tc>
        <w:tc>
          <w:tcPr>
            <w:tcW w:w="1170" w:type="dxa"/>
            <w:tcBorders>
              <w:top w:val="nil"/>
              <w:bottom w:val="nil"/>
            </w:tcBorders>
            <w:shd w:val="clear" w:color="auto" w:fill="auto"/>
            <w:noWrap/>
            <w:vAlign w:val="center"/>
            <w:hideMark/>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20.7</w:t>
            </w:r>
          </w:p>
        </w:tc>
      </w:tr>
      <w:tr w:rsidR="00A97869" w:rsidRPr="00851244" w:rsidTr="00A97869">
        <w:trPr>
          <w:trHeight w:val="297"/>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Boston</w:t>
            </w:r>
          </w:p>
        </w:tc>
        <w:tc>
          <w:tcPr>
            <w:tcW w:w="2160" w:type="dxa"/>
            <w:gridSpan w:val="3"/>
            <w:tcBorders>
              <w:top w:val="nil"/>
              <w:bottom w:val="nil"/>
            </w:tcBorders>
            <w:shd w:val="clear" w:color="auto" w:fill="auto"/>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J.F. Kennedy ES</w:t>
            </w:r>
          </w:p>
        </w:tc>
        <w:tc>
          <w:tcPr>
            <w:tcW w:w="810" w:type="dxa"/>
            <w:gridSpan w:val="2"/>
            <w:tcBorders>
              <w:top w:val="nil"/>
              <w:bottom w:val="nil"/>
            </w:tcBorders>
            <w:shd w:val="clear" w:color="auto" w:fill="auto"/>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57.0</w:t>
            </w:r>
          </w:p>
        </w:tc>
        <w:tc>
          <w:tcPr>
            <w:tcW w:w="126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26%</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No</w:t>
            </w:r>
          </w:p>
        </w:tc>
        <w:tc>
          <w:tcPr>
            <w:tcW w:w="189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Pr>
                <w:rFonts w:eastAsia="Times New Roman"/>
                <w:color w:val="000000"/>
                <w:sz w:val="21"/>
                <w:szCs w:val="21"/>
              </w:rPr>
              <w:t>Transformation</w:t>
            </w:r>
          </w:p>
        </w:tc>
        <w:tc>
          <w:tcPr>
            <w:tcW w:w="90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1</w:t>
            </w:r>
          </w:p>
        </w:tc>
        <w:tc>
          <w:tcPr>
            <w:tcW w:w="90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0.6</w:t>
            </w:r>
          </w:p>
        </w:tc>
        <w:tc>
          <w:tcPr>
            <w:tcW w:w="99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10.7</w:t>
            </w:r>
          </w:p>
        </w:tc>
        <w:tc>
          <w:tcPr>
            <w:tcW w:w="1170" w:type="dxa"/>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11.3</w:t>
            </w:r>
          </w:p>
        </w:tc>
      </w:tr>
      <w:tr w:rsidR="00A97869" w:rsidRPr="00851244" w:rsidTr="00A97869">
        <w:trPr>
          <w:trHeight w:val="297"/>
        </w:trPr>
        <w:tc>
          <w:tcPr>
            <w:tcW w:w="630" w:type="dxa"/>
            <w:vMerge/>
            <w:tcBorders>
              <w:left w:val="nil"/>
              <w:bottom w:val="single" w:sz="4" w:space="0" w:color="auto"/>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single" w:sz="4" w:space="0" w:color="auto"/>
            </w:tcBorders>
            <w:shd w:val="clear" w:color="auto" w:fill="auto"/>
            <w:noWrap/>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Boston</w:t>
            </w:r>
          </w:p>
        </w:tc>
        <w:tc>
          <w:tcPr>
            <w:tcW w:w="2160" w:type="dxa"/>
            <w:gridSpan w:val="3"/>
            <w:tcBorders>
              <w:top w:val="nil"/>
              <w:bottom w:val="single" w:sz="4" w:space="0" w:color="auto"/>
            </w:tcBorders>
            <w:shd w:val="clear" w:color="auto" w:fill="auto"/>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Burke HS</w:t>
            </w:r>
          </w:p>
        </w:tc>
        <w:tc>
          <w:tcPr>
            <w:tcW w:w="810" w:type="dxa"/>
            <w:gridSpan w:val="2"/>
            <w:tcBorders>
              <w:top w:val="nil"/>
              <w:bottom w:val="single" w:sz="4" w:space="0" w:color="auto"/>
            </w:tcBorders>
            <w:shd w:val="clear" w:color="auto" w:fill="auto"/>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26.8</w:t>
            </w:r>
          </w:p>
        </w:tc>
        <w:tc>
          <w:tcPr>
            <w:tcW w:w="1260" w:type="dxa"/>
            <w:tcBorders>
              <w:top w:val="nil"/>
              <w:bottom w:val="single" w:sz="4" w:space="0" w:color="auto"/>
            </w:tcBorders>
            <w:shd w:val="clear" w:color="auto" w:fill="auto"/>
            <w:noWrap/>
            <w:vAlign w:val="center"/>
          </w:tcPr>
          <w:p w:rsidR="00A97869" w:rsidRPr="00262452" w:rsidRDefault="00A97869" w:rsidP="00A97869">
            <w:pPr>
              <w:jc w:val="center"/>
              <w:rPr>
                <w:rFonts w:eastAsia="Times New Roman"/>
                <w:color w:val="000000"/>
                <w:sz w:val="22"/>
                <w:szCs w:val="22"/>
              </w:rPr>
            </w:pPr>
            <w:r>
              <w:rPr>
                <w:rFonts w:eastAsia="Times New Roman"/>
                <w:color w:val="000000"/>
                <w:sz w:val="22"/>
                <w:szCs w:val="22"/>
              </w:rPr>
              <w:t>26</w:t>
            </w:r>
            <w:r w:rsidRPr="00262452">
              <w:rPr>
                <w:rFonts w:eastAsia="Times New Roman"/>
                <w:color w:val="000000"/>
                <w:sz w:val="22"/>
                <w:szCs w:val="22"/>
              </w:rPr>
              <w:t>%</w:t>
            </w:r>
          </w:p>
        </w:tc>
        <w:tc>
          <w:tcPr>
            <w:tcW w:w="1260" w:type="dxa"/>
            <w:gridSpan w:val="3"/>
            <w:tcBorders>
              <w:top w:val="nil"/>
              <w:bottom w:val="single" w:sz="4" w:space="0" w:color="auto"/>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single" w:sz="4" w:space="0" w:color="auto"/>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Turnaround</w:t>
            </w:r>
          </w:p>
        </w:tc>
        <w:tc>
          <w:tcPr>
            <w:tcW w:w="900" w:type="dxa"/>
            <w:tcBorders>
              <w:top w:val="nil"/>
              <w:bottom w:val="single" w:sz="4" w:space="0" w:color="auto"/>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w:t>
            </w:r>
          </w:p>
        </w:tc>
        <w:tc>
          <w:tcPr>
            <w:tcW w:w="900" w:type="dxa"/>
            <w:gridSpan w:val="2"/>
            <w:tcBorders>
              <w:top w:val="nil"/>
              <w:bottom w:val="single" w:sz="4" w:space="0" w:color="auto"/>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15.3</w:t>
            </w:r>
          </w:p>
        </w:tc>
        <w:tc>
          <w:tcPr>
            <w:tcW w:w="990" w:type="dxa"/>
            <w:gridSpan w:val="2"/>
            <w:tcBorders>
              <w:top w:val="nil"/>
              <w:bottom w:val="single" w:sz="4" w:space="0" w:color="auto"/>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15.3</w:t>
            </w:r>
          </w:p>
        </w:tc>
        <w:tc>
          <w:tcPr>
            <w:tcW w:w="1170" w:type="dxa"/>
            <w:tcBorders>
              <w:top w:val="nil"/>
              <w:bottom w:val="single" w:sz="4" w:space="0" w:color="auto"/>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30.6</w:t>
            </w:r>
          </w:p>
        </w:tc>
      </w:tr>
      <w:tr w:rsidR="00A97869" w:rsidRPr="00851244" w:rsidTr="00A97869">
        <w:trPr>
          <w:trHeight w:val="152"/>
        </w:trPr>
        <w:tc>
          <w:tcPr>
            <w:tcW w:w="13410" w:type="dxa"/>
            <w:gridSpan w:val="21"/>
            <w:tcBorders>
              <w:left w:val="nil"/>
              <w:right w:val="single" w:sz="4" w:space="0" w:color="auto"/>
            </w:tcBorders>
            <w:vAlign w:val="center"/>
          </w:tcPr>
          <w:p w:rsidR="00A97869" w:rsidRPr="00406515" w:rsidRDefault="00A97869" w:rsidP="00A97869">
            <w:pPr>
              <w:jc w:val="center"/>
              <w:rPr>
                <w:rFonts w:eastAsia="Times New Roman"/>
                <w:color w:val="000000"/>
                <w:sz w:val="22"/>
                <w:szCs w:val="22"/>
              </w:rPr>
            </w:pPr>
          </w:p>
        </w:tc>
      </w:tr>
      <w:tr w:rsidR="00A97869" w:rsidRPr="00851244" w:rsidTr="00A97869">
        <w:trPr>
          <w:trHeight w:val="303"/>
        </w:trPr>
        <w:tc>
          <w:tcPr>
            <w:tcW w:w="630" w:type="dxa"/>
            <w:vMerge w:val="restart"/>
            <w:tcBorders>
              <w:left w:val="nil"/>
            </w:tcBorders>
            <w:shd w:val="clear" w:color="auto" w:fill="auto"/>
            <w:textDirection w:val="btLr"/>
            <w:vAlign w:val="center"/>
          </w:tcPr>
          <w:p w:rsidR="00A97869" w:rsidRPr="00262452" w:rsidRDefault="00A97869" w:rsidP="00A97869">
            <w:pPr>
              <w:ind w:left="113" w:right="113"/>
              <w:jc w:val="center"/>
              <w:rPr>
                <w:rFonts w:eastAsia="Times New Roman"/>
                <w:b/>
                <w:sz w:val="22"/>
                <w:szCs w:val="22"/>
              </w:rPr>
            </w:pPr>
            <w:r w:rsidRPr="00262452">
              <w:rPr>
                <w:rFonts w:eastAsia="Times New Roman"/>
                <w:b/>
                <w:sz w:val="22"/>
                <w:szCs w:val="22"/>
              </w:rPr>
              <w:t>Schools not having success in closing Achievement Gaps</w:t>
            </w:r>
          </w:p>
          <w:p w:rsidR="00A97869" w:rsidRPr="00262452" w:rsidRDefault="00A97869" w:rsidP="00A97869">
            <w:pPr>
              <w:ind w:left="113" w:right="113"/>
              <w:jc w:val="center"/>
              <w:rPr>
                <w:rFonts w:eastAsia="Times New Roman"/>
                <w:b/>
                <w:sz w:val="22"/>
                <w:szCs w:val="22"/>
              </w:rPr>
            </w:pPr>
          </w:p>
        </w:tc>
        <w:tc>
          <w:tcPr>
            <w:tcW w:w="1440" w:type="dxa"/>
            <w:gridSpan w:val="2"/>
            <w:tcBorders>
              <w:left w:val="nil"/>
              <w:bottom w:val="nil"/>
            </w:tcBorders>
            <w:shd w:val="clear" w:color="auto" w:fill="auto"/>
            <w:noWrap/>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Lawrence</w:t>
            </w:r>
          </w:p>
        </w:tc>
        <w:tc>
          <w:tcPr>
            <w:tcW w:w="2160" w:type="dxa"/>
            <w:gridSpan w:val="3"/>
            <w:tcBorders>
              <w:bottom w:val="nil"/>
            </w:tcBorders>
            <w:shd w:val="clear" w:color="auto" w:fill="auto"/>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SLEM MS</w:t>
            </w:r>
          </w:p>
        </w:tc>
        <w:tc>
          <w:tcPr>
            <w:tcW w:w="810" w:type="dxa"/>
            <w:gridSpan w:val="2"/>
            <w:tcBorders>
              <w:bottom w:val="nil"/>
            </w:tcBorders>
            <w:shd w:val="clear" w:color="auto" w:fill="auto"/>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12</w:t>
            </w:r>
          </w:p>
        </w:tc>
        <w:tc>
          <w:tcPr>
            <w:tcW w:w="1260" w:type="dxa"/>
            <w:tcBorders>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Pr>
                <w:rFonts w:eastAsia="Times New Roman"/>
                <w:color w:val="000000"/>
                <w:sz w:val="22"/>
                <w:szCs w:val="22"/>
              </w:rPr>
              <w:t>60</w:t>
            </w:r>
            <w:r w:rsidRPr="00262452">
              <w:rPr>
                <w:rFonts w:eastAsia="Times New Roman"/>
                <w:color w:val="000000"/>
                <w:sz w:val="22"/>
                <w:szCs w:val="22"/>
              </w:rPr>
              <w:t>%</w:t>
            </w:r>
          </w:p>
        </w:tc>
        <w:tc>
          <w:tcPr>
            <w:tcW w:w="1260" w:type="dxa"/>
            <w:gridSpan w:val="3"/>
            <w:tcBorders>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Transformation</w:t>
            </w:r>
          </w:p>
        </w:tc>
        <w:tc>
          <w:tcPr>
            <w:tcW w:w="900" w:type="dxa"/>
            <w:tcBorders>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3</w:t>
            </w:r>
          </w:p>
        </w:tc>
        <w:tc>
          <w:tcPr>
            <w:tcW w:w="900" w:type="dxa"/>
            <w:gridSpan w:val="2"/>
            <w:tcBorders>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1.2</w:t>
            </w:r>
          </w:p>
        </w:tc>
        <w:tc>
          <w:tcPr>
            <w:tcW w:w="990" w:type="dxa"/>
            <w:gridSpan w:val="2"/>
            <w:tcBorders>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5</w:t>
            </w:r>
            <w:r>
              <w:rPr>
                <w:rFonts w:eastAsia="Times New Roman"/>
                <w:color w:val="000000"/>
                <w:sz w:val="22"/>
                <w:szCs w:val="22"/>
              </w:rPr>
              <w:t>.0</w:t>
            </w:r>
          </w:p>
        </w:tc>
        <w:tc>
          <w:tcPr>
            <w:tcW w:w="1170" w:type="dxa"/>
            <w:tcBorders>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6.2</w:t>
            </w:r>
          </w:p>
        </w:tc>
      </w:tr>
      <w:tr w:rsidR="00A97869" w:rsidRPr="00851244" w:rsidTr="00A97869">
        <w:trPr>
          <w:trHeight w:val="303"/>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Boston</w:t>
            </w:r>
          </w:p>
        </w:tc>
        <w:tc>
          <w:tcPr>
            <w:tcW w:w="2160" w:type="dxa"/>
            <w:gridSpan w:val="3"/>
            <w:tcBorders>
              <w:top w:val="nil"/>
              <w:bottom w:val="nil"/>
            </w:tcBorders>
            <w:shd w:val="clear" w:color="auto" w:fill="auto"/>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English HS</w:t>
            </w:r>
          </w:p>
        </w:tc>
        <w:tc>
          <w:tcPr>
            <w:tcW w:w="810" w:type="dxa"/>
            <w:gridSpan w:val="2"/>
            <w:tcBorders>
              <w:top w:val="nil"/>
              <w:bottom w:val="nil"/>
            </w:tcBorders>
            <w:shd w:val="clear" w:color="auto" w:fill="auto"/>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38.7</w:t>
            </w:r>
          </w:p>
        </w:tc>
        <w:tc>
          <w:tcPr>
            <w:tcW w:w="126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Pr>
                <w:rFonts w:eastAsia="Times New Roman"/>
                <w:color w:val="000000"/>
                <w:sz w:val="22"/>
                <w:szCs w:val="22"/>
              </w:rPr>
              <w:t>67</w:t>
            </w:r>
            <w:r w:rsidRPr="00262452">
              <w:rPr>
                <w:rFonts w:eastAsia="Times New Roman"/>
                <w:color w:val="000000"/>
                <w:sz w:val="22"/>
                <w:szCs w:val="22"/>
              </w:rPr>
              <w:t>%</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Transformation</w:t>
            </w:r>
          </w:p>
        </w:tc>
        <w:tc>
          <w:tcPr>
            <w:tcW w:w="90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1</w:t>
            </w:r>
          </w:p>
        </w:tc>
        <w:tc>
          <w:tcPr>
            <w:tcW w:w="90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4.2</w:t>
            </w:r>
          </w:p>
        </w:tc>
        <w:tc>
          <w:tcPr>
            <w:tcW w:w="99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-3.8</w:t>
            </w:r>
          </w:p>
        </w:tc>
        <w:tc>
          <w:tcPr>
            <w:tcW w:w="1170" w:type="dxa"/>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Pr>
                <w:rFonts w:eastAsia="Times New Roman"/>
                <w:color w:val="000000"/>
                <w:sz w:val="22"/>
                <w:szCs w:val="22"/>
              </w:rPr>
              <w:t xml:space="preserve"> </w:t>
            </w:r>
            <w:r w:rsidRPr="00406515">
              <w:rPr>
                <w:rFonts w:eastAsia="Times New Roman"/>
                <w:color w:val="000000"/>
                <w:sz w:val="22"/>
                <w:szCs w:val="22"/>
              </w:rPr>
              <w:t>0.4</w:t>
            </w:r>
          </w:p>
        </w:tc>
      </w:tr>
      <w:tr w:rsidR="00A97869" w:rsidRPr="00851244" w:rsidTr="00A97869">
        <w:trPr>
          <w:trHeight w:val="303"/>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Boston</w:t>
            </w:r>
          </w:p>
        </w:tc>
        <w:tc>
          <w:tcPr>
            <w:tcW w:w="2160" w:type="dxa"/>
            <w:gridSpan w:val="3"/>
            <w:tcBorders>
              <w:top w:val="nil"/>
              <w:bottom w:val="nil"/>
            </w:tcBorders>
            <w:shd w:val="clear" w:color="auto" w:fill="auto"/>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E. Greenwood ES</w:t>
            </w:r>
          </w:p>
        </w:tc>
        <w:tc>
          <w:tcPr>
            <w:tcW w:w="810" w:type="dxa"/>
            <w:gridSpan w:val="2"/>
            <w:tcBorders>
              <w:top w:val="nil"/>
              <w:bottom w:val="nil"/>
            </w:tcBorders>
            <w:shd w:val="clear" w:color="auto" w:fill="auto"/>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25.4</w:t>
            </w:r>
          </w:p>
        </w:tc>
        <w:tc>
          <w:tcPr>
            <w:tcW w:w="126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74%</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Transformation</w:t>
            </w:r>
          </w:p>
        </w:tc>
        <w:tc>
          <w:tcPr>
            <w:tcW w:w="90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1</w:t>
            </w:r>
          </w:p>
        </w:tc>
        <w:tc>
          <w:tcPr>
            <w:tcW w:w="90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1.8</w:t>
            </w:r>
          </w:p>
        </w:tc>
        <w:tc>
          <w:tcPr>
            <w:tcW w:w="99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-4.1</w:t>
            </w:r>
          </w:p>
        </w:tc>
        <w:tc>
          <w:tcPr>
            <w:tcW w:w="1170" w:type="dxa"/>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-2.3</w:t>
            </w:r>
          </w:p>
        </w:tc>
      </w:tr>
      <w:tr w:rsidR="00A97869" w:rsidRPr="00851244" w:rsidTr="00A97869">
        <w:trPr>
          <w:trHeight w:val="303"/>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Springfield</w:t>
            </w:r>
          </w:p>
        </w:tc>
        <w:tc>
          <w:tcPr>
            <w:tcW w:w="2160" w:type="dxa"/>
            <w:gridSpan w:val="3"/>
            <w:tcBorders>
              <w:top w:val="nil"/>
              <w:bottom w:val="nil"/>
            </w:tcBorders>
            <w:shd w:val="clear" w:color="auto" w:fill="auto"/>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HS Of Commerce</w:t>
            </w:r>
          </w:p>
        </w:tc>
        <w:tc>
          <w:tcPr>
            <w:tcW w:w="810" w:type="dxa"/>
            <w:gridSpan w:val="2"/>
            <w:tcBorders>
              <w:top w:val="nil"/>
              <w:bottom w:val="nil"/>
            </w:tcBorders>
            <w:shd w:val="clear" w:color="auto" w:fill="auto"/>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20.5</w:t>
            </w:r>
          </w:p>
        </w:tc>
        <w:tc>
          <w:tcPr>
            <w:tcW w:w="126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Pr>
                <w:rFonts w:eastAsia="Times New Roman"/>
                <w:color w:val="000000"/>
                <w:sz w:val="22"/>
                <w:szCs w:val="22"/>
              </w:rPr>
              <w:t>74</w:t>
            </w:r>
            <w:r w:rsidRPr="00262452">
              <w:rPr>
                <w:rFonts w:eastAsia="Times New Roman"/>
                <w:color w:val="000000"/>
                <w:sz w:val="22"/>
                <w:szCs w:val="22"/>
              </w:rPr>
              <w:t>%</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Turnaround</w:t>
            </w:r>
          </w:p>
        </w:tc>
        <w:tc>
          <w:tcPr>
            <w:tcW w:w="90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3</w:t>
            </w:r>
          </w:p>
        </w:tc>
        <w:tc>
          <w:tcPr>
            <w:tcW w:w="90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6.7</w:t>
            </w:r>
          </w:p>
        </w:tc>
        <w:tc>
          <w:tcPr>
            <w:tcW w:w="99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-7.9</w:t>
            </w:r>
          </w:p>
        </w:tc>
        <w:tc>
          <w:tcPr>
            <w:tcW w:w="1170" w:type="dxa"/>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-1.2</w:t>
            </w:r>
          </w:p>
        </w:tc>
      </w:tr>
      <w:tr w:rsidR="00A97869" w:rsidRPr="00851244" w:rsidTr="00A97869">
        <w:trPr>
          <w:trHeight w:val="303"/>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Springfield</w:t>
            </w:r>
          </w:p>
        </w:tc>
        <w:tc>
          <w:tcPr>
            <w:tcW w:w="2160" w:type="dxa"/>
            <w:gridSpan w:val="3"/>
            <w:tcBorders>
              <w:top w:val="nil"/>
              <w:bottom w:val="nil"/>
            </w:tcBorders>
            <w:shd w:val="clear" w:color="auto" w:fill="auto"/>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Chestnut Street MS</w:t>
            </w:r>
          </w:p>
        </w:tc>
        <w:tc>
          <w:tcPr>
            <w:tcW w:w="810" w:type="dxa"/>
            <w:gridSpan w:val="2"/>
            <w:tcBorders>
              <w:top w:val="nil"/>
              <w:bottom w:val="nil"/>
            </w:tcBorders>
            <w:shd w:val="clear" w:color="auto" w:fill="auto"/>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24.3</w:t>
            </w:r>
          </w:p>
        </w:tc>
        <w:tc>
          <w:tcPr>
            <w:tcW w:w="126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82%</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Transformation</w:t>
            </w:r>
          </w:p>
        </w:tc>
        <w:tc>
          <w:tcPr>
            <w:tcW w:w="90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w:t>
            </w:r>
          </w:p>
        </w:tc>
        <w:tc>
          <w:tcPr>
            <w:tcW w:w="90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-3.7</w:t>
            </w:r>
          </w:p>
        </w:tc>
        <w:tc>
          <w:tcPr>
            <w:tcW w:w="99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-2.7</w:t>
            </w:r>
          </w:p>
        </w:tc>
        <w:tc>
          <w:tcPr>
            <w:tcW w:w="1170" w:type="dxa"/>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-6.4</w:t>
            </w:r>
          </w:p>
        </w:tc>
      </w:tr>
      <w:tr w:rsidR="00A97869" w:rsidRPr="00851244" w:rsidTr="00A97869">
        <w:trPr>
          <w:trHeight w:val="303"/>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New Bedford</w:t>
            </w:r>
          </w:p>
        </w:tc>
        <w:tc>
          <w:tcPr>
            <w:tcW w:w="2160" w:type="dxa"/>
            <w:gridSpan w:val="3"/>
            <w:tcBorders>
              <w:top w:val="nil"/>
              <w:bottom w:val="nil"/>
            </w:tcBorders>
            <w:shd w:val="clear" w:color="auto" w:fill="auto"/>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Parker ES</w:t>
            </w:r>
          </w:p>
        </w:tc>
        <w:tc>
          <w:tcPr>
            <w:tcW w:w="810" w:type="dxa"/>
            <w:gridSpan w:val="2"/>
            <w:tcBorders>
              <w:top w:val="nil"/>
              <w:bottom w:val="nil"/>
            </w:tcBorders>
            <w:shd w:val="clear" w:color="auto" w:fill="auto"/>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0</w:t>
            </w:r>
          </w:p>
        </w:tc>
        <w:tc>
          <w:tcPr>
            <w:tcW w:w="126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85%</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N/A</w:t>
            </w:r>
          </w:p>
        </w:tc>
        <w:tc>
          <w:tcPr>
            <w:tcW w:w="90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N/A</w:t>
            </w:r>
          </w:p>
        </w:tc>
        <w:tc>
          <w:tcPr>
            <w:tcW w:w="90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w:t>
            </w:r>
            <w:r>
              <w:rPr>
                <w:rFonts w:eastAsia="Times New Roman"/>
                <w:color w:val="000000"/>
                <w:sz w:val="22"/>
                <w:szCs w:val="22"/>
              </w:rPr>
              <w:t>.0</w:t>
            </w:r>
          </w:p>
        </w:tc>
        <w:tc>
          <w:tcPr>
            <w:tcW w:w="99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w:t>
            </w:r>
            <w:r>
              <w:rPr>
                <w:rFonts w:eastAsia="Times New Roman"/>
                <w:color w:val="000000"/>
                <w:sz w:val="22"/>
                <w:szCs w:val="22"/>
              </w:rPr>
              <w:t>.0</w:t>
            </w:r>
          </w:p>
        </w:tc>
        <w:tc>
          <w:tcPr>
            <w:tcW w:w="1170" w:type="dxa"/>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Pr>
                <w:rFonts w:eastAsia="Times New Roman"/>
                <w:color w:val="000000"/>
                <w:sz w:val="22"/>
                <w:szCs w:val="22"/>
              </w:rPr>
              <w:t xml:space="preserve"> </w:t>
            </w:r>
            <w:r w:rsidRPr="00406515">
              <w:rPr>
                <w:rFonts w:eastAsia="Times New Roman"/>
                <w:color w:val="000000"/>
                <w:sz w:val="22"/>
                <w:szCs w:val="22"/>
              </w:rPr>
              <w:t>0</w:t>
            </w:r>
            <w:r>
              <w:rPr>
                <w:rFonts w:eastAsia="Times New Roman"/>
                <w:color w:val="000000"/>
                <w:sz w:val="22"/>
                <w:szCs w:val="22"/>
              </w:rPr>
              <w:t>.0</w:t>
            </w:r>
          </w:p>
        </w:tc>
      </w:tr>
      <w:tr w:rsidR="00A97869" w:rsidRPr="00851244" w:rsidTr="00A97869">
        <w:trPr>
          <w:trHeight w:val="303"/>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Lawrence</w:t>
            </w:r>
          </w:p>
        </w:tc>
        <w:tc>
          <w:tcPr>
            <w:tcW w:w="2160" w:type="dxa"/>
            <w:gridSpan w:val="3"/>
            <w:tcBorders>
              <w:top w:val="nil"/>
              <w:bottom w:val="nil"/>
            </w:tcBorders>
            <w:shd w:val="clear" w:color="auto" w:fill="auto"/>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Arlington ES</w:t>
            </w:r>
          </w:p>
        </w:tc>
        <w:tc>
          <w:tcPr>
            <w:tcW w:w="810" w:type="dxa"/>
            <w:gridSpan w:val="2"/>
            <w:tcBorders>
              <w:top w:val="nil"/>
              <w:bottom w:val="nil"/>
            </w:tcBorders>
            <w:shd w:val="clear" w:color="auto" w:fill="auto"/>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49.2</w:t>
            </w:r>
          </w:p>
        </w:tc>
        <w:tc>
          <w:tcPr>
            <w:tcW w:w="126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97%</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Transformation</w:t>
            </w:r>
          </w:p>
        </w:tc>
        <w:tc>
          <w:tcPr>
            <w:tcW w:w="90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w:t>
            </w:r>
          </w:p>
        </w:tc>
        <w:tc>
          <w:tcPr>
            <w:tcW w:w="90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-5.3</w:t>
            </w:r>
          </w:p>
        </w:tc>
        <w:tc>
          <w:tcPr>
            <w:tcW w:w="99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-3</w:t>
            </w:r>
            <w:r>
              <w:rPr>
                <w:rFonts w:eastAsia="Times New Roman"/>
                <w:color w:val="000000"/>
                <w:sz w:val="22"/>
                <w:szCs w:val="22"/>
              </w:rPr>
              <w:t>.0</w:t>
            </w:r>
          </w:p>
        </w:tc>
        <w:tc>
          <w:tcPr>
            <w:tcW w:w="1170" w:type="dxa"/>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-8.3</w:t>
            </w:r>
          </w:p>
        </w:tc>
      </w:tr>
      <w:tr w:rsidR="00A97869" w:rsidRPr="00851244" w:rsidTr="00A97869">
        <w:trPr>
          <w:trHeight w:val="303"/>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bottom w:val="nil"/>
            </w:tcBorders>
            <w:shd w:val="clear" w:color="auto" w:fill="auto"/>
            <w:noWrap/>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Fall River</w:t>
            </w:r>
          </w:p>
        </w:tc>
        <w:tc>
          <w:tcPr>
            <w:tcW w:w="2160" w:type="dxa"/>
            <w:gridSpan w:val="3"/>
            <w:tcBorders>
              <w:top w:val="nil"/>
              <w:bottom w:val="nil"/>
            </w:tcBorders>
            <w:shd w:val="clear" w:color="auto" w:fill="auto"/>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Lord MS</w:t>
            </w:r>
          </w:p>
        </w:tc>
        <w:tc>
          <w:tcPr>
            <w:tcW w:w="810" w:type="dxa"/>
            <w:gridSpan w:val="2"/>
            <w:tcBorders>
              <w:top w:val="nil"/>
              <w:bottom w:val="nil"/>
            </w:tcBorders>
            <w:shd w:val="clear" w:color="auto" w:fill="auto"/>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0</w:t>
            </w:r>
          </w:p>
        </w:tc>
        <w:tc>
          <w:tcPr>
            <w:tcW w:w="126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105%</w:t>
            </w:r>
          </w:p>
        </w:tc>
        <w:tc>
          <w:tcPr>
            <w:tcW w:w="126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N/A</w:t>
            </w:r>
          </w:p>
        </w:tc>
        <w:tc>
          <w:tcPr>
            <w:tcW w:w="900" w:type="dxa"/>
            <w:tcBorders>
              <w:top w:val="nil"/>
              <w:bottom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N/A</w:t>
            </w:r>
          </w:p>
        </w:tc>
        <w:tc>
          <w:tcPr>
            <w:tcW w:w="90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-5.4</w:t>
            </w:r>
          </w:p>
        </w:tc>
        <w:tc>
          <w:tcPr>
            <w:tcW w:w="990" w:type="dxa"/>
            <w:gridSpan w:val="2"/>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-6.3</w:t>
            </w:r>
          </w:p>
        </w:tc>
        <w:tc>
          <w:tcPr>
            <w:tcW w:w="1170" w:type="dxa"/>
            <w:tcBorders>
              <w:top w:val="nil"/>
              <w:bottom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-11.7</w:t>
            </w:r>
          </w:p>
        </w:tc>
      </w:tr>
      <w:tr w:rsidR="00A97869" w:rsidRPr="00851244" w:rsidTr="00A97869">
        <w:trPr>
          <w:trHeight w:val="449"/>
        </w:trPr>
        <w:tc>
          <w:tcPr>
            <w:tcW w:w="630" w:type="dxa"/>
            <w:vMerge/>
            <w:tcBorders>
              <w:left w:val="nil"/>
            </w:tcBorders>
            <w:shd w:val="clear" w:color="auto" w:fill="auto"/>
          </w:tcPr>
          <w:p w:rsidR="00A97869" w:rsidRPr="00262452" w:rsidRDefault="00A97869" w:rsidP="00A97869">
            <w:pPr>
              <w:rPr>
                <w:rFonts w:eastAsia="Times New Roman"/>
                <w:sz w:val="22"/>
                <w:szCs w:val="22"/>
              </w:rPr>
            </w:pPr>
          </w:p>
        </w:tc>
        <w:tc>
          <w:tcPr>
            <w:tcW w:w="1440" w:type="dxa"/>
            <w:gridSpan w:val="2"/>
            <w:tcBorders>
              <w:top w:val="nil"/>
              <w:left w:val="nil"/>
            </w:tcBorders>
            <w:shd w:val="clear" w:color="auto" w:fill="auto"/>
            <w:noWrap/>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Springfield</w:t>
            </w:r>
          </w:p>
        </w:tc>
        <w:tc>
          <w:tcPr>
            <w:tcW w:w="2160" w:type="dxa"/>
            <w:gridSpan w:val="3"/>
            <w:tcBorders>
              <w:top w:val="nil"/>
            </w:tcBorders>
            <w:shd w:val="clear" w:color="auto" w:fill="auto"/>
            <w:vAlign w:val="center"/>
          </w:tcPr>
          <w:p w:rsidR="00A97869" w:rsidRPr="00262452" w:rsidRDefault="00A97869" w:rsidP="00A97869">
            <w:pPr>
              <w:rPr>
                <w:rFonts w:eastAsia="Times New Roman"/>
                <w:color w:val="000000"/>
                <w:sz w:val="22"/>
                <w:szCs w:val="22"/>
              </w:rPr>
            </w:pPr>
            <w:r w:rsidRPr="00262452">
              <w:rPr>
                <w:rFonts w:eastAsia="Times New Roman"/>
                <w:color w:val="000000"/>
                <w:sz w:val="22"/>
                <w:szCs w:val="22"/>
              </w:rPr>
              <w:t>Kennedy MS</w:t>
            </w:r>
          </w:p>
        </w:tc>
        <w:tc>
          <w:tcPr>
            <w:tcW w:w="810" w:type="dxa"/>
            <w:gridSpan w:val="2"/>
            <w:tcBorders>
              <w:top w:val="nil"/>
            </w:tcBorders>
            <w:shd w:val="clear" w:color="auto" w:fill="auto"/>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1.4</w:t>
            </w:r>
          </w:p>
        </w:tc>
        <w:tc>
          <w:tcPr>
            <w:tcW w:w="1260" w:type="dxa"/>
            <w:tcBorders>
              <w:top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106%</w:t>
            </w:r>
          </w:p>
        </w:tc>
        <w:tc>
          <w:tcPr>
            <w:tcW w:w="1260" w:type="dxa"/>
            <w:gridSpan w:val="3"/>
            <w:tcBorders>
              <w:top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Yes</w:t>
            </w:r>
          </w:p>
        </w:tc>
        <w:tc>
          <w:tcPr>
            <w:tcW w:w="1890" w:type="dxa"/>
            <w:gridSpan w:val="3"/>
            <w:tcBorders>
              <w:top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Turnaround</w:t>
            </w:r>
          </w:p>
        </w:tc>
        <w:tc>
          <w:tcPr>
            <w:tcW w:w="900" w:type="dxa"/>
            <w:tcBorders>
              <w:top w:val="nil"/>
            </w:tcBorders>
            <w:shd w:val="clear" w:color="auto" w:fill="auto"/>
            <w:noWrap/>
            <w:vAlign w:val="center"/>
          </w:tcPr>
          <w:p w:rsidR="00A97869" w:rsidRPr="00262452" w:rsidRDefault="00A97869" w:rsidP="00A97869">
            <w:pPr>
              <w:jc w:val="center"/>
              <w:rPr>
                <w:rFonts w:eastAsia="Times New Roman"/>
                <w:color w:val="000000"/>
                <w:sz w:val="22"/>
                <w:szCs w:val="22"/>
              </w:rPr>
            </w:pPr>
            <w:r w:rsidRPr="00262452">
              <w:rPr>
                <w:rFonts w:eastAsia="Times New Roman"/>
                <w:color w:val="000000"/>
                <w:sz w:val="22"/>
                <w:szCs w:val="22"/>
              </w:rPr>
              <w:t>2</w:t>
            </w:r>
          </w:p>
        </w:tc>
        <w:tc>
          <w:tcPr>
            <w:tcW w:w="900" w:type="dxa"/>
            <w:gridSpan w:val="2"/>
            <w:tcBorders>
              <w:top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-8.4</w:t>
            </w:r>
          </w:p>
        </w:tc>
        <w:tc>
          <w:tcPr>
            <w:tcW w:w="990" w:type="dxa"/>
            <w:gridSpan w:val="2"/>
            <w:tcBorders>
              <w:top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-1.8</w:t>
            </w:r>
          </w:p>
        </w:tc>
        <w:tc>
          <w:tcPr>
            <w:tcW w:w="1170" w:type="dxa"/>
            <w:tcBorders>
              <w:top w:val="nil"/>
            </w:tcBorders>
            <w:shd w:val="clear" w:color="auto" w:fill="auto"/>
            <w:noWrap/>
            <w:vAlign w:val="center"/>
          </w:tcPr>
          <w:p w:rsidR="00A97869" w:rsidRPr="00406515" w:rsidRDefault="00A97869" w:rsidP="00A97869">
            <w:pPr>
              <w:jc w:val="center"/>
              <w:rPr>
                <w:rFonts w:eastAsia="Times New Roman"/>
                <w:color w:val="000000"/>
                <w:sz w:val="22"/>
                <w:szCs w:val="22"/>
              </w:rPr>
            </w:pPr>
            <w:r w:rsidRPr="00406515">
              <w:rPr>
                <w:rFonts w:eastAsia="Times New Roman"/>
                <w:color w:val="000000"/>
                <w:sz w:val="22"/>
                <w:szCs w:val="22"/>
              </w:rPr>
              <w:t>-10.2</w:t>
            </w:r>
          </w:p>
        </w:tc>
      </w:tr>
      <w:tr w:rsidR="00C05939" w:rsidRPr="00851244" w:rsidTr="007E7203">
        <w:trPr>
          <w:trHeight w:val="639"/>
        </w:trPr>
        <w:tc>
          <w:tcPr>
            <w:tcW w:w="9180" w:type="dxa"/>
            <w:gridSpan w:val="14"/>
            <w:tcBorders>
              <w:top w:val="nil"/>
              <w:left w:val="nil"/>
              <w:bottom w:val="nil"/>
              <w:right w:val="nil"/>
            </w:tcBorders>
          </w:tcPr>
          <w:p w:rsidR="00C05939" w:rsidRPr="00C42605" w:rsidRDefault="00AA5D5F" w:rsidP="007E7203">
            <w:pPr>
              <w:jc w:val="center"/>
              <w:rPr>
                <w:rFonts w:eastAsia="Times New Roman"/>
                <w:b/>
                <w:color w:val="000000"/>
                <w:sz w:val="20"/>
              </w:rPr>
            </w:pPr>
            <w:r>
              <w:rPr>
                <w:b/>
                <w:sz w:val="22"/>
                <w:szCs w:val="22"/>
              </w:rPr>
              <w:lastRenderedPageBreak/>
              <w:t>Table C</w:t>
            </w:r>
            <w:r w:rsidR="00C05939">
              <w:rPr>
                <w:b/>
                <w:sz w:val="22"/>
                <w:szCs w:val="22"/>
              </w:rPr>
              <w:t>2.</w:t>
            </w:r>
            <w:r w:rsidR="00C05939">
              <w:rPr>
                <w:rFonts w:eastAsia="Times New Roman"/>
                <w:color w:val="000000"/>
                <w:sz w:val="20"/>
              </w:rPr>
              <w:t xml:space="preserve"> </w:t>
            </w:r>
            <w:r w:rsidR="00C05939" w:rsidRPr="002F64CE">
              <w:rPr>
                <w:rFonts w:eastAsia="Times New Roman"/>
                <w:b/>
                <w:color w:val="000000"/>
                <w:sz w:val="20"/>
              </w:rPr>
              <w:t xml:space="preserve">Overview of L4 schools </w:t>
            </w:r>
            <w:r w:rsidR="00C05939" w:rsidRPr="00C42605">
              <w:rPr>
                <w:rFonts w:eastAsia="Times New Roman"/>
                <w:b/>
                <w:color w:val="000000"/>
                <w:sz w:val="20"/>
                <w:u w:val="single"/>
              </w:rPr>
              <w:t>making gains</w:t>
            </w:r>
            <w:r w:rsidR="00C05939">
              <w:rPr>
                <w:rFonts w:eastAsia="Times New Roman"/>
                <w:b/>
                <w:color w:val="000000"/>
                <w:sz w:val="20"/>
                <w:u w:val="single"/>
              </w:rPr>
              <w:t xml:space="preserve"> and closing achievement gaps</w:t>
            </w:r>
            <w:r w:rsidR="00C05939">
              <w:rPr>
                <w:rFonts w:eastAsia="Times New Roman"/>
                <w:b/>
                <w:color w:val="000000"/>
                <w:sz w:val="20"/>
              </w:rPr>
              <w:t xml:space="preserve"> and those </w:t>
            </w:r>
            <w:r w:rsidR="00C05939" w:rsidRPr="00C42605">
              <w:rPr>
                <w:rFonts w:eastAsia="Times New Roman"/>
                <w:b/>
                <w:color w:val="000000"/>
                <w:sz w:val="20"/>
                <w:u w:val="single"/>
              </w:rPr>
              <w:t xml:space="preserve">not making gains </w:t>
            </w:r>
            <w:r w:rsidR="00C05939">
              <w:rPr>
                <w:rFonts w:eastAsia="Times New Roman"/>
                <w:b/>
                <w:color w:val="000000"/>
                <w:sz w:val="20"/>
              </w:rPr>
              <w:t>in the 2010-11 and 2011-12 school years</w:t>
            </w:r>
            <w:r w:rsidR="00C05939" w:rsidRPr="002F64CE">
              <w:rPr>
                <w:rFonts w:eastAsia="Times New Roman"/>
                <w:b/>
                <w:color w:val="000000"/>
                <w:sz w:val="20"/>
              </w:rPr>
              <w:t xml:space="preserve">; by </w:t>
            </w:r>
            <w:r w:rsidR="00C05939">
              <w:rPr>
                <w:rFonts w:eastAsia="Times New Roman"/>
                <w:b/>
                <w:color w:val="000000"/>
                <w:sz w:val="20"/>
              </w:rPr>
              <w:t xml:space="preserve">Federal </w:t>
            </w:r>
            <w:r w:rsidR="00C05939" w:rsidRPr="002F64CE">
              <w:rPr>
                <w:rFonts w:eastAsia="Times New Roman"/>
                <w:b/>
                <w:color w:val="000000"/>
                <w:sz w:val="20"/>
              </w:rPr>
              <w:t>Model, SIG Cohort, and Teacher Turnover Rate</w:t>
            </w:r>
          </w:p>
        </w:tc>
        <w:tc>
          <w:tcPr>
            <w:tcW w:w="4230" w:type="dxa"/>
            <w:gridSpan w:val="7"/>
            <w:tcBorders>
              <w:top w:val="single" w:sz="4" w:space="0" w:color="auto"/>
              <w:left w:val="nil"/>
              <w:bottom w:val="nil"/>
              <w:right w:val="nil"/>
            </w:tcBorders>
            <w:shd w:val="clear" w:color="auto" w:fill="auto"/>
            <w:vAlign w:val="center"/>
          </w:tcPr>
          <w:p w:rsidR="00C05939" w:rsidRPr="002F64CE" w:rsidRDefault="00C05939" w:rsidP="007E7203">
            <w:pPr>
              <w:jc w:val="center"/>
              <w:rPr>
                <w:rFonts w:eastAsia="Times New Roman"/>
                <w:color w:val="000000"/>
                <w:sz w:val="20"/>
              </w:rPr>
            </w:pPr>
            <w:r w:rsidRPr="002F64CE">
              <w:rPr>
                <w:rFonts w:eastAsia="Times New Roman"/>
                <w:color w:val="000000"/>
                <w:sz w:val="20"/>
              </w:rPr>
              <w:t>Teacher Turnover Rate</w:t>
            </w:r>
          </w:p>
        </w:tc>
      </w:tr>
      <w:tr w:rsidR="00C05939" w:rsidRPr="003167BC" w:rsidTr="007E7203">
        <w:trPr>
          <w:trHeight w:val="560"/>
        </w:trPr>
        <w:tc>
          <w:tcPr>
            <w:tcW w:w="810" w:type="dxa"/>
            <w:gridSpan w:val="2"/>
            <w:tcBorders>
              <w:top w:val="nil"/>
              <w:left w:val="nil"/>
            </w:tcBorders>
          </w:tcPr>
          <w:p w:rsidR="00C05939" w:rsidRPr="0050414B" w:rsidRDefault="00C05939" w:rsidP="007E7203">
            <w:pPr>
              <w:jc w:val="center"/>
              <w:rPr>
                <w:rFonts w:eastAsia="Times New Roman"/>
                <w:color w:val="000000"/>
                <w:sz w:val="21"/>
                <w:szCs w:val="21"/>
              </w:rPr>
            </w:pPr>
          </w:p>
        </w:tc>
        <w:tc>
          <w:tcPr>
            <w:tcW w:w="1440" w:type="dxa"/>
            <w:gridSpan w:val="3"/>
            <w:tcBorders>
              <w:top w:val="single" w:sz="4" w:space="0" w:color="auto"/>
              <w:left w:val="nil"/>
              <w:bottom w:val="single" w:sz="4" w:space="0" w:color="auto"/>
            </w:tcBorders>
            <w:shd w:val="clear" w:color="auto" w:fill="auto"/>
            <w:noWrap/>
            <w:vAlign w:val="center"/>
            <w:hideMark/>
          </w:tcPr>
          <w:p w:rsidR="00C05939" w:rsidRPr="003167BC" w:rsidRDefault="00C05939" w:rsidP="007E7203">
            <w:pPr>
              <w:jc w:val="center"/>
              <w:rPr>
                <w:rFonts w:eastAsia="Times New Roman"/>
                <w:color w:val="000000"/>
                <w:sz w:val="20"/>
              </w:rPr>
            </w:pPr>
            <w:r w:rsidRPr="003167BC">
              <w:rPr>
                <w:rFonts w:eastAsia="Times New Roman"/>
                <w:color w:val="000000"/>
                <w:sz w:val="20"/>
              </w:rPr>
              <w:t>District</w:t>
            </w:r>
          </w:p>
        </w:tc>
        <w:tc>
          <w:tcPr>
            <w:tcW w:w="2070" w:type="dxa"/>
            <w:gridSpan w:val="2"/>
            <w:tcBorders>
              <w:top w:val="single" w:sz="4" w:space="0" w:color="auto"/>
              <w:bottom w:val="single" w:sz="4" w:space="0" w:color="auto"/>
            </w:tcBorders>
            <w:shd w:val="clear" w:color="auto" w:fill="auto"/>
            <w:vAlign w:val="center"/>
            <w:hideMark/>
          </w:tcPr>
          <w:p w:rsidR="00C05939" w:rsidRPr="003167BC" w:rsidRDefault="00C05939" w:rsidP="007E7203">
            <w:pPr>
              <w:jc w:val="center"/>
              <w:rPr>
                <w:rFonts w:eastAsia="Times New Roman"/>
                <w:color w:val="000000"/>
                <w:sz w:val="20"/>
              </w:rPr>
            </w:pPr>
            <w:r w:rsidRPr="003167BC">
              <w:rPr>
                <w:rFonts w:eastAsia="Times New Roman"/>
                <w:color w:val="000000"/>
                <w:sz w:val="20"/>
              </w:rPr>
              <w:t>School</w:t>
            </w:r>
          </w:p>
        </w:tc>
        <w:tc>
          <w:tcPr>
            <w:tcW w:w="720" w:type="dxa"/>
            <w:tcBorders>
              <w:top w:val="single" w:sz="4" w:space="0" w:color="auto"/>
              <w:bottom w:val="single" w:sz="4" w:space="0" w:color="auto"/>
            </w:tcBorders>
            <w:shd w:val="clear" w:color="auto" w:fill="auto"/>
            <w:vAlign w:val="center"/>
            <w:hideMark/>
          </w:tcPr>
          <w:p w:rsidR="00C05939" w:rsidRPr="003167BC" w:rsidRDefault="00C05939" w:rsidP="007E7203">
            <w:pPr>
              <w:jc w:val="center"/>
              <w:rPr>
                <w:rFonts w:eastAsia="Times New Roman"/>
                <w:color w:val="000000"/>
                <w:sz w:val="20"/>
              </w:rPr>
            </w:pPr>
            <w:r w:rsidRPr="003167BC">
              <w:rPr>
                <w:rFonts w:eastAsia="Times New Roman"/>
                <w:color w:val="000000"/>
                <w:sz w:val="20"/>
              </w:rPr>
              <w:t>% LEP</w:t>
            </w:r>
          </w:p>
        </w:tc>
        <w:tc>
          <w:tcPr>
            <w:tcW w:w="1350" w:type="dxa"/>
            <w:gridSpan w:val="2"/>
            <w:tcBorders>
              <w:top w:val="single" w:sz="4" w:space="0" w:color="auto"/>
              <w:bottom w:val="single" w:sz="4" w:space="0" w:color="auto"/>
            </w:tcBorders>
            <w:shd w:val="clear" w:color="auto" w:fill="auto"/>
            <w:vAlign w:val="center"/>
            <w:hideMark/>
          </w:tcPr>
          <w:p w:rsidR="00C05939" w:rsidRPr="003167BC" w:rsidRDefault="00C05939" w:rsidP="007E7203">
            <w:pPr>
              <w:jc w:val="center"/>
              <w:rPr>
                <w:rFonts w:eastAsia="Times New Roman"/>
                <w:bCs/>
                <w:color w:val="000000"/>
                <w:sz w:val="20"/>
              </w:rPr>
            </w:pPr>
            <w:r w:rsidRPr="003167BC">
              <w:rPr>
                <w:rFonts w:eastAsia="Times New Roman"/>
                <w:bCs/>
                <w:color w:val="000000"/>
                <w:sz w:val="20"/>
              </w:rPr>
              <w:t>MAG % needed to reach target</w:t>
            </w:r>
          </w:p>
        </w:tc>
        <w:tc>
          <w:tcPr>
            <w:tcW w:w="270" w:type="dxa"/>
            <w:tcBorders>
              <w:top w:val="single" w:sz="4" w:space="0" w:color="auto"/>
              <w:bottom w:val="single" w:sz="4" w:space="0" w:color="auto"/>
            </w:tcBorders>
            <w:shd w:val="clear" w:color="auto" w:fill="auto"/>
            <w:noWrap/>
            <w:vAlign w:val="center"/>
            <w:hideMark/>
          </w:tcPr>
          <w:p w:rsidR="00C05939" w:rsidRPr="003167BC" w:rsidRDefault="00C05939" w:rsidP="007E7203">
            <w:pPr>
              <w:jc w:val="center"/>
              <w:rPr>
                <w:rFonts w:eastAsia="Times New Roman"/>
                <w:color w:val="000000"/>
                <w:sz w:val="20"/>
              </w:rPr>
            </w:pPr>
            <w:r>
              <w:rPr>
                <w:rFonts w:eastAsia="Times New Roman"/>
                <w:color w:val="000000"/>
                <w:sz w:val="20"/>
              </w:rPr>
              <w:t xml:space="preserve"> </w:t>
            </w:r>
          </w:p>
        </w:tc>
        <w:tc>
          <w:tcPr>
            <w:tcW w:w="1620" w:type="dxa"/>
            <w:gridSpan w:val="2"/>
            <w:tcBorders>
              <w:top w:val="single" w:sz="4" w:space="0" w:color="auto"/>
              <w:bottom w:val="single" w:sz="4" w:space="0" w:color="auto"/>
            </w:tcBorders>
            <w:shd w:val="clear" w:color="auto" w:fill="auto"/>
            <w:vAlign w:val="center"/>
            <w:hideMark/>
          </w:tcPr>
          <w:p w:rsidR="00C05939" w:rsidRPr="003167BC" w:rsidRDefault="00C05939" w:rsidP="007E7203">
            <w:pPr>
              <w:jc w:val="center"/>
              <w:rPr>
                <w:rFonts w:eastAsia="Times New Roman"/>
                <w:color w:val="000000"/>
                <w:sz w:val="20"/>
              </w:rPr>
            </w:pPr>
            <w:r w:rsidRPr="003167BC">
              <w:rPr>
                <w:rFonts w:eastAsia="Times New Roman"/>
                <w:color w:val="000000"/>
                <w:sz w:val="20"/>
              </w:rPr>
              <w:t>Model</w:t>
            </w:r>
          </w:p>
        </w:tc>
        <w:tc>
          <w:tcPr>
            <w:tcW w:w="900" w:type="dxa"/>
            <w:tcBorders>
              <w:top w:val="single" w:sz="4" w:space="0" w:color="auto"/>
              <w:bottom w:val="single" w:sz="4" w:space="0" w:color="auto"/>
            </w:tcBorders>
            <w:shd w:val="clear" w:color="auto" w:fill="auto"/>
            <w:vAlign w:val="center"/>
            <w:hideMark/>
          </w:tcPr>
          <w:p w:rsidR="00C05939" w:rsidRPr="003167BC" w:rsidRDefault="00C05939" w:rsidP="007E7203">
            <w:pPr>
              <w:jc w:val="center"/>
              <w:rPr>
                <w:rFonts w:eastAsia="Times New Roman"/>
                <w:color w:val="000000"/>
                <w:sz w:val="20"/>
              </w:rPr>
            </w:pPr>
            <w:r w:rsidRPr="003167BC">
              <w:rPr>
                <w:rFonts w:eastAsia="Times New Roman"/>
                <w:color w:val="000000"/>
                <w:sz w:val="20"/>
              </w:rPr>
              <w:t>SIG Cohort</w:t>
            </w:r>
          </w:p>
        </w:tc>
        <w:tc>
          <w:tcPr>
            <w:tcW w:w="1410" w:type="dxa"/>
            <w:gridSpan w:val="3"/>
            <w:tcBorders>
              <w:top w:val="single" w:sz="4" w:space="0" w:color="auto"/>
              <w:bottom w:val="single" w:sz="4" w:space="0" w:color="auto"/>
            </w:tcBorders>
            <w:shd w:val="clear" w:color="auto" w:fill="auto"/>
            <w:vAlign w:val="center"/>
            <w:hideMark/>
          </w:tcPr>
          <w:p w:rsidR="00C05939" w:rsidRPr="003167BC" w:rsidRDefault="00C05939" w:rsidP="007E7203">
            <w:pPr>
              <w:jc w:val="center"/>
              <w:rPr>
                <w:rFonts w:eastAsia="Times New Roman"/>
                <w:color w:val="000000"/>
                <w:sz w:val="20"/>
              </w:rPr>
            </w:pPr>
            <w:r w:rsidRPr="003167BC">
              <w:rPr>
                <w:rFonts w:eastAsia="Times New Roman"/>
                <w:color w:val="000000"/>
                <w:sz w:val="20"/>
              </w:rPr>
              <w:t>2009-10</w:t>
            </w:r>
          </w:p>
        </w:tc>
        <w:tc>
          <w:tcPr>
            <w:tcW w:w="1410" w:type="dxa"/>
            <w:gridSpan w:val="2"/>
            <w:tcBorders>
              <w:top w:val="single" w:sz="4" w:space="0" w:color="auto"/>
              <w:bottom w:val="single" w:sz="4" w:space="0" w:color="auto"/>
            </w:tcBorders>
            <w:shd w:val="clear" w:color="auto" w:fill="auto"/>
            <w:vAlign w:val="center"/>
            <w:hideMark/>
          </w:tcPr>
          <w:p w:rsidR="00C05939" w:rsidRPr="003167BC" w:rsidRDefault="00C05939" w:rsidP="007E7203">
            <w:pPr>
              <w:jc w:val="center"/>
              <w:rPr>
                <w:rFonts w:eastAsia="Times New Roman"/>
                <w:color w:val="000000"/>
                <w:sz w:val="20"/>
              </w:rPr>
            </w:pPr>
            <w:r w:rsidRPr="003167BC">
              <w:rPr>
                <w:rFonts w:eastAsia="Times New Roman"/>
                <w:color w:val="000000"/>
                <w:sz w:val="20"/>
              </w:rPr>
              <w:t>2010-11</w:t>
            </w:r>
          </w:p>
        </w:tc>
        <w:tc>
          <w:tcPr>
            <w:tcW w:w="1410" w:type="dxa"/>
            <w:gridSpan w:val="2"/>
            <w:tcBorders>
              <w:top w:val="single" w:sz="4" w:space="0" w:color="auto"/>
              <w:bottom w:val="single" w:sz="4" w:space="0" w:color="auto"/>
            </w:tcBorders>
            <w:shd w:val="clear" w:color="auto" w:fill="auto"/>
            <w:vAlign w:val="center"/>
            <w:hideMark/>
          </w:tcPr>
          <w:p w:rsidR="00C05939" w:rsidRPr="003167BC" w:rsidRDefault="00C05939" w:rsidP="007E7203">
            <w:pPr>
              <w:jc w:val="center"/>
              <w:rPr>
                <w:rFonts w:eastAsia="Times New Roman"/>
                <w:color w:val="000000"/>
                <w:sz w:val="20"/>
              </w:rPr>
            </w:pPr>
            <w:r w:rsidRPr="003167BC">
              <w:rPr>
                <w:rFonts w:eastAsia="Times New Roman"/>
                <w:color w:val="000000"/>
                <w:sz w:val="20"/>
              </w:rPr>
              <w:t>2011-12</w:t>
            </w:r>
          </w:p>
        </w:tc>
      </w:tr>
      <w:tr w:rsidR="00C05939" w:rsidRPr="00851244" w:rsidTr="007E7203">
        <w:trPr>
          <w:trHeight w:val="318"/>
        </w:trPr>
        <w:tc>
          <w:tcPr>
            <w:tcW w:w="810" w:type="dxa"/>
            <w:gridSpan w:val="2"/>
            <w:vMerge w:val="restart"/>
            <w:tcBorders>
              <w:left w:val="nil"/>
            </w:tcBorders>
            <w:shd w:val="clear" w:color="auto" w:fill="auto"/>
            <w:textDirection w:val="btLr"/>
            <w:vAlign w:val="center"/>
          </w:tcPr>
          <w:p w:rsidR="00C05939" w:rsidRPr="00262452" w:rsidRDefault="00C05939" w:rsidP="007E7203">
            <w:pPr>
              <w:ind w:left="113" w:right="113"/>
              <w:jc w:val="center"/>
              <w:rPr>
                <w:rFonts w:eastAsia="Times New Roman"/>
                <w:b/>
                <w:sz w:val="22"/>
                <w:szCs w:val="22"/>
              </w:rPr>
            </w:pPr>
            <w:r>
              <w:rPr>
                <w:rFonts w:eastAsia="Times New Roman"/>
                <w:b/>
                <w:sz w:val="22"/>
                <w:szCs w:val="22"/>
              </w:rPr>
              <w:t>S</w:t>
            </w:r>
            <w:r w:rsidRPr="00262452">
              <w:rPr>
                <w:rFonts w:eastAsia="Times New Roman"/>
                <w:b/>
                <w:sz w:val="22"/>
                <w:szCs w:val="22"/>
              </w:rPr>
              <w:t xml:space="preserve">chools making gains and closing </w:t>
            </w:r>
          </w:p>
          <w:p w:rsidR="00C05939" w:rsidRPr="0050414B" w:rsidRDefault="00C05939" w:rsidP="007E7203">
            <w:pPr>
              <w:ind w:left="113" w:right="113"/>
              <w:jc w:val="center"/>
              <w:rPr>
                <w:rFonts w:eastAsia="Times New Roman"/>
                <w:sz w:val="21"/>
                <w:szCs w:val="21"/>
              </w:rPr>
            </w:pPr>
            <w:r w:rsidRPr="00262452">
              <w:rPr>
                <w:rFonts w:eastAsia="Times New Roman"/>
                <w:b/>
                <w:sz w:val="22"/>
                <w:szCs w:val="22"/>
              </w:rPr>
              <w:t xml:space="preserve"> Achievement Gaps</w:t>
            </w:r>
          </w:p>
        </w:tc>
        <w:tc>
          <w:tcPr>
            <w:tcW w:w="1440" w:type="dxa"/>
            <w:gridSpan w:val="3"/>
            <w:tcBorders>
              <w:left w:val="nil"/>
              <w:bottom w:val="nil"/>
            </w:tcBorders>
            <w:shd w:val="clear" w:color="auto" w:fill="auto"/>
            <w:noWrap/>
            <w:vAlign w:val="bottom"/>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Springfield</w:t>
            </w:r>
          </w:p>
        </w:tc>
        <w:tc>
          <w:tcPr>
            <w:tcW w:w="2070" w:type="dxa"/>
            <w:gridSpan w:val="2"/>
            <w:tcBorders>
              <w:bottom w:val="nil"/>
            </w:tcBorders>
            <w:shd w:val="clear" w:color="auto" w:fill="auto"/>
            <w:vAlign w:val="center"/>
            <w:hideMark/>
          </w:tcPr>
          <w:p w:rsidR="00C05939" w:rsidRPr="0050414B" w:rsidRDefault="00C05939" w:rsidP="007E7203">
            <w:pPr>
              <w:rPr>
                <w:rFonts w:eastAsia="Times New Roman"/>
                <w:color w:val="000000"/>
                <w:sz w:val="21"/>
                <w:szCs w:val="21"/>
              </w:rPr>
            </w:pPr>
            <w:proofErr w:type="spellStart"/>
            <w:r w:rsidRPr="0050414B">
              <w:rPr>
                <w:rFonts w:eastAsia="Times New Roman"/>
                <w:color w:val="000000"/>
                <w:sz w:val="21"/>
                <w:szCs w:val="21"/>
              </w:rPr>
              <w:t>Zanetti</w:t>
            </w:r>
            <w:proofErr w:type="spellEnd"/>
            <w:r w:rsidRPr="0050414B">
              <w:rPr>
                <w:rFonts w:eastAsia="Times New Roman"/>
                <w:color w:val="000000"/>
                <w:sz w:val="21"/>
                <w:szCs w:val="21"/>
              </w:rPr>
              <w:t xml:space="preserve"> K-8</w:t>
            </w:r>
          </w:p>
        </w:tc>
        <w:tc>
          <w:tcPr>
            <w:tcW w:w="720" w:type="dxa"/>
            <w:tcBorders>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5.5</w:t>
            </w:r>
          </w:p>
        </w:tc>
        <w:tc>
          <w:tcPr>
            <w:tcW w:w="1350" w:type="dxa"/>
            <w:gridSpan w:val="2"/>
            <w:tcBorders>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0%</w:t>
            </w:r>
          </w:p>
        </w:tc>
        <w:tc>
          <w:tcPr>
            <w:tcW w:w="270" w:type="dxa"/>
            <w:tcBorders>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Transformation</w:t>
            </w:r>
          </w:p>
        </w:tc>
        <w:tc>
          <w:tcPr>
            <w:tcW w:w="900" w:type="dxa"/>
            <w:tcBorders>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w:t>
            </w:r>
          </w:p>
        </w:tc>
        <w:tc>
          <w:tcPr>
            <w:tcW w:w="1410" w:type="dxa"/>
            <w:gridSpan w:val="3"/>
            <w:tcBorders>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18%</w:t>
            </w:r>
          </w:p>
        </w:tc>
        <w:tc>
          <w:tcPr>
            <w:tcW w:w="1410" w:type="dxa"/>
            <w:gridSpan w:val="2"/>
            <w:tcBorders>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38%</w:t>
            </w:r>
          </w:p>
        </w:tc>
        <w:tc>
          <w:tcPr>
            <w:tcW w:w="1410" w:type="dxa"/>
            <w:gridSpan w:val="2"/>
            <w:tcBorders>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12%</w:t>
            </w:r>
          </w:p>
        </w:tc>
      </w:tr>
      <w:tr w:rsidR="00C05939" w:rsidRPr="00851244" w:rsidTr="007E7203">
        <w:trPr>
          <w:trHeight w:val="31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440" w:type="dxa"/>
            <w:gridSpan w:val="3"/>
            <w:tcBorders>
              <w:top w:val="nil"/>
              <w:left w:val="nil"/>
              <w:bottom w:val="nil"/>
            </w:tcBorders>
            <w:shd w:val="clear" w:color="auto" w:fill="auto"/>
            <w:noWrap/>
            <w:vAlign w:val="bottom"/>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Springfield</w:t>
            </w:r>
          </w:p>
        </w:tc>
        <w:tc>
          <w:tcPr>
            <w:tcW w:w="2070" w:type="dxa"/>
            <w:gridSpan w:val="2"/>
            <w:tcBorders>
              <w:top w:val="nil"/>
              <w:bottom w:val="nil"/>
            </w:tcBorders>
            <w:shd w:val="clear" w:color="auto" w:fill="auto"/>
            <w:vAlign w:val="center"/>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Homer Street ES</w:t>
            </w:r>
          </w:p>
        </w:tc>
        <w:tc>
          <w:tcPr>
            <w:tcW w:w="72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17.5</w:t>
            </w:r>
          </w:p>
        </w:tc>
        <w:tc>
          <w:tcPr>
            <w:tcW w:w="1350" w:type="dxa"/>
            <w:gridSpan w:val="2"/>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0%</w:t>
            </w:r>
          </w:p>
        </w:tc>
        <w:tc>
          <w:tcPr>
            <w:tcW w:w="27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Turnaround</w:t>
            </w:r>
          </w:p>
        </w:tc>
        <w:tc>
          <w:tcPr>
            <w:tcW w:w="90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w:t>
            </w:r>
          </w:p>
        </w:tc>
        <w:tc>
          <w:tcPr>
            <w:tcW w:w="1410" w:type="dxa"/>
            <w:gridSpan w:val="3"/>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11%</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68%</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38%</w:t>
            </w:r>
          </w:p>
        </w:tc>
      </w:tr>
      <w:tr w:rsidR="00C05939" w:rsidRPr="00851244" w:rsidTr="007E7203">
        <w:trPr>
          <w:trHeight w:val="31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440" w:type="dxa"/>
            <w:gridSpan w:val="3"/>
            <w:tcBorders>
              <w:top w:val="nil"/>
              <w:left w:val="nil"/>
              <w:bottom w:val="nil"/>
            </w:tcBorders>
            <w:shd w:val="clear" w:color="auto" w:fill="auto"/>
            <w:noWrap/>
            <w:vAlign w:val="bottom"/>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Boston</w:t>
            </w:r>
          </w:p>
        </w:tc>
        <w:tc>
          <w:tcPr>
            <w:tcW w:w="2070" w:type="dxa"/>
            <w:gridSpan w:val="2"/>
            <w:tcBorders>
              <w:top w:val="nil"/>
              <w:bottom w:val="nil"/>
            </w:tcBorders>
            <w:shd w:val="clear" w:color="auto" w:fill="auto"/>
            <w:vAlign w:val="center"/>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Trotter ES</w:t>
            </w:r>
          </w:p>
        </w:tc>
        <w:tc>
          <w:tcPr>
            <w:tcW w:w="720" w:type="dxa"/>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6.6</w:t>
            </w:r>
          </w:p>
        </w:tc>
        <w:tc>
          <w:tcPr>
            <w:tcW w:w="1350" w:type="dxa"/>
            <w:gridSpan w:val="2"/>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0%</w:t>
            </w:r>
          </w:p>
        </w:tc>
        <w:tc>
          <w:tcPr>
            <w:tcW w:w="27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Turnaround</w:t>
            </w:r>
          </w:p>
        </w:tc>
        <w:tc>
          <w:tcPr>
            <w:tcW w:w="90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w:t>
            </w:r>
          </w:p>
        </w:tc>
        <w:tc>
          <w:tcPr>
            <w:tcW w:w="1410" w:type="dxa"/>
            <w:gridSpan w:val="3"/>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34%</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64%</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19%</w:t>
            </w:r>
          </w:p>
        </w:tc>
      </w:tr>
      <w:tr w:rsidR="00C05939" w:rsidRPr="00851244" w:rsidTr="007E7203">
        <w:trPr>
          <w:trHeight w:val="31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440" w:type="dxa"/>
            <w:gridSpan w:val="3"/>
            <w:tcBorders>
              <w:top w:val="nil"/>
              <w:left w:val="nil"/>
              <w:bottom w:val="nil"/>
            </w:tcBorders>
            <w:shd w:val="clear" w:color="auto" w:fill="auto"/>
            <w:noWrap/>
            <w:vAlign w:val="bottom"/>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Boston</w:t>
            </w:r>
          </w:p>
        </w:tc>
        <w:tc>
          <w:tcPr>
            <w:tcW w:w="2070" w:type="dxa"/>
            <w:gridSpan w:val="2"/>
            <w:tcBorders>
              <w:top w:val="nil"/>
              <w:bottom w:val="nil"/>
            </w:tcBorders>
            <w:shd w:val="clear" w:color="auto" w:fill="auto"/>
            <w:vAlign w:val="center"/>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Harbor MS</w:t>
            </w:r>
          </w:p>
        </w:tc>
        <w:tc>
          <w:tcPr>
            <w:tcW w:w="720" w:type="dxa"/>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9.4</w:t>
            </w:r>
          </w:p>
        </w:tc>
        <w:tc>
          <w:tcPr>
            <w:tcW w:w="1350" w:type="dxa"/>
            <w:gridSpan w:val="2"/>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w:t>
            </w:r>
          </w:p>
        </w:tc>
        <w:tc>
          <w:tcPr>
            <w:tcW w:w="27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Turnaround</w:t>
            </w:r>
          </w:p>
        </w:tc>
        <w:tc>
          <w:tcPr>
            <w:tcW w:w="90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w:t>
            </w:r>
          </w:p>
        </w:tc>
        <w:tc>
          <w:tcPr>
            <w:tcW w:w="1410" w:type="dxa"/>
            <w:gridSpan w:val="3"/>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39%</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48%</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32%</w:t>
            </w:r>
          </w:p>
        </w:tc>
      </w:tr>
      <w:tr w:rsidR="00C05939" w:rsidRPr="00851244" w:rsidTr="007E7203">
        <w:trPr>
          <w:trHeight w:val="31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440" w:type="dxa"/>
            <w:gridSpan w:val="3"/>
            <w:tcBorders>
              <w:top w:val="nil"/>
              <w:left w:val="nil"/>
              <w:bottom w:val="nil"/>
            </w:tcBorders>
            <w:shd w:val="clear" w:color="auto" w:fill="auto"/>
            <w:noWrap/>
            <w:vAlign w:val="bottom"/>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Boston</w:t>
            </w:r>
          </w:p>
        </w:tc>
        <w:tc>
          <w:tcPr>
            <w:tcW w:w="2070" w:type="dxa"/>
            <w:gridSpan w:val="2"/>
            <w:tcBorders>
              <w:top w:val="nil"/>
              <w:bottom w:val="nil"/>
            </w:tcBorders>
            <w:shd w:val="clear" w:color="auto" w:fill="auto"/>
            <w:vAlign w:val="center"/>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Orchard Gardens K-8</w:t>
            </w:r>
          </w:p>
        </w:tc>
        <w:tc>
          <w:tcPr>
            <w:tcW w:w="720" w:type="dxa"/>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43.3</w:t>
            </w:r>
          </w:p>
        </w:tc>
        <w:tc>
          <w:tcPr>
            <w:tcW w:w="1350" w:type="dxa"/>
            <w:gridSpan w:val="2"/>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w:t>
            </w:r>
          </w:p>
        </w:tc>
        <w:tc>
          <w:tcPr>
            <w:tcW w:w="27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Turnaround</w:t>
            </w:r>
          </w:p>
        </w:tc>
        <w:tc>
          <w:tcPr>
            <w:tcW w:w="90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w:t>
            </w:r>
          </w:p>
        </w:tc>
        <w:tc>
          <w:tcPr>
            <w:tcW w:w="1410" w:type="dxa"/>
            <w:gridSpan w:val="3"/>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39%</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78%</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13%</w:t>
            </w:r>
          </w:p>
        </w:tc>
      </w:tr>
      <w:tr w:rsidR="00C05939" w:rsidRPr="00851244" w:rsidTr="007E7203">
        <w:trPr>
          <w:trHeight w:val="31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440" w:type="dxa"/>
            <w:gridSpan w:val="3"/>
            <w:tcBorders>
              <w:top w:val="nil"/>
              <w:left w:val="nil"/>
              <w:bottom w:val="nil"/>
            </w:tcBorders>
            <w:shd w:val="clear" w:color="auto" w:fill="auto"/>
            <w:noWrap/>
            <w:vAlign w:val="bottom"/>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Boston</w:t>
            </w:r>
          </w:p>
        </w:tc>
        <w:tc>
          <w:tcPr>
            <w:tcW w:w="2070" w:type="dxa"/>
            <w:gridSpan w:val="2"/>
            <w:tcBorders>
              <w:top w:val="nil"/>
              <w:bottom w:val="nil"/>
            </w:tcBorders>
            <w:shd w:val="clear" w:color="auto" w:fill="auto"/>
            <w:vAlign w:val="center"/>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Blackstone ES</w:t>
            </w:r>
          </w:p>
        </w:tc>
        <w:tc>
          <w:tcPr>
            <w:tcW w:w="720" w:type="dxa"/>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58.8</w:t>
            </w:r>
          </w:p>
        </w:tc>
        <w:tc>
          <w:tcPr>
            <w:tcW w:w="1350" w:type="dxa"/>
            <w:gridSpan w:val="2"/>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3%</w:t>
            </w:r>
          </w:p>
        </w:tc>
        <w:tc>
          <w:tcPr>
            <w:tcW w:w="27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Turnaround</w:t>
            </w:r>
          </w:p>
        </w:tc>
        <w:tc>
          <w:tcPr>
            <w:tcW w:w="90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w:t>
            </w:r>
          </w:p>
        </w:tc>
        <w:tc>
          <w:tcPr>
            <w:tcW w:w="1410" w:type="dxa"/>
            <w:gridSpan w:val="3"/>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12%</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82%</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17%</w:t>
            </w:r>
          </w:p>
        </w:tc>
      </w:tr>
      <w:tr w:rsidR="00C05939" w:rsidRPr="00851244" w:rsidTr="007E7203">
        <w:trPr>
          <w:trHeight w:val="31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440" w:type="dxa"/>
            <w:gridSpan w:val="3"/>
            <w:tcBorders>
              <w:top w:val="nil"/>
              <w:left w:val="nil"/>
              <w:bottom w:val="nil"/>
            </w:tcBorders>
            <w:shd w:val="clear" w:color="auto" w:fill="auto"/>
            <w:noWrap/>
            <w:vAlign w:val="bottom"/>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Lowell</w:t>
            </w:r>
          </w:p>
        </w:tc>
        <w:tc>
          <w:tcPr>
            <w:tcW w:w="2070" w:type="dxa"/>
            <w:gridSpan w:val="2"/>
            <w:tcBorders>
              <w:top w:val="nil"/>
              <w:bottom w:val="nil"/>
            </w:tcBorders>
            <w:shd w:val="clear" w:color="auto" w:fill="auto"/>
            <w:vAlign w:val="center"/>
            <w:hideMark/>
          </w:tcPr>
          <w:p w:rsidR="00C05939" w:rsidRPr="0050414B" w:rsidRDefault="00C05939" w:rsidP="007E7203">
            <w:pPr>
              <w:rPr>
                <w:rFonts w:eastAsia="Times New Roman"/>
                <w:color w:val="000000"/>
                <w:sz w:val="21"/>
                <w:szCs w:val="21"/>
              </w:rPr>
            </w:pPr>
            <w:proofErr w:type="spellStart"/>
            <w:r w:rsidRPr="0050414B">
              <w:rPr>
                <w:rFonts w:eastAsia="Times New Roman"/>
                <w:color w:val="000000"/>
                <w:sz w:val="21"/>
                <w:szCs w:val="21"/>
              </w:rPr>
              <w:t>Murkland</w:t>
            </w:r>
            <w:proofErr w:type="spellEnd"/>
            <w:r w:rsidRPr="0050414B">
              <w:rPr>
                <w:rFonts w:eastAsia="Times New Roman"/>
                <w:color w:val="000000"/>
                <w:sz w:val="21"/>
                <w:szCs w:val="21"/>
              </w:rPr>
              <w:t xml:space="preserve"> ES</w:t>
            </w:r>
          </w:p>
        </w:tc>
        <w:tc>
          <w:tcPr>
            <w:tcW w:w="720" w:type="dxa"/>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39.4</w:t>
            </w:r>
          </w:p>
        </w:tc>
        <w:tc>
          <w:tcPr>
            <w:tcW w:w="1350" w:type="dxa"/>
            <w:gridSpan w:val="2"/>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4%</w:t>
            </w:r>
          </w:p>
        </w:tc>
        <w:tc>
          <w:tcPr>
            <w:tcW w:w="27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Transformation</w:t>
            </w:r>
          </w:p>
        </w:tc>
        <w:tc>
          <w:tcPr>
            <w:tcW w:w="90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w:t>
            </w:r>
          </w:p>
        </w:tc>
        <w:tc>
          <w:tcPr>
            <w:tcW w:w="1410" w:type="dxa"/>
            <w:gridSpan w:val="3"/>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18%</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19%</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25%</w:t>
            </w:r>
          </w:p>
        </w:tc>
      </w:tr>
      <w:tr w:rsidR="00C05939" w:rsidRPr="00851244" w:rsidTr="007E7203">
        <w:trPr>
          <w:trHeight w:val="31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440" w:type="dxa"/>
            <w:gridSpan w:val="3"/>
            <w:tcBorders>
              <w:top w:val="nil"/>
              <w:left w:val="nil"/>
              <w:bottom w:val="nil"/>
            </w:tcBorders>
            <w:shd w:val="clear" w:color="auto" w:fill="auto"/>
            <w:noWrap/>
            <w:vAlign w:val="bottom"/>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Springfield</w:t>
            </w:r>
          </w:p>
        </w:tc>
        <w:tc>
          <w:tcPr>
            <w:tcW w:w="2070" w:type="dxa"/>
            <w:gridSpan w:val="2"/>
            <w:tcBorders>
              <w:top w:val="nil"/>
              <w:bottom w:val="nil"/>
            </w:tcBorders>
            <w:shd w:val="clear" w:color="auto" w:fill="auto"/>
            <w:vAlign w:val="center"/>
            <w:hideMark/>
          </w:tcPr>
          <w:p w:rsidR="00C05939" w:rsidRPr="0050414B" w:rsidRDefault="00C05939" w:rsidP="007E7203">
            <w:pPr>
              <w:rPr>
                <w:rFonts w:eastAsia="Times New Roman"/>
                <w:color w:val="000000"/>
                <w:sz w:val="21"/>
                <w:szCs w:val="21"/>
              </w:rPr>
            </w:pPr>
            <w:proofErr w:type="spellStart"/>
            <w:r w:rsidRPr="0050414B">
              <w:rPr>
                <w:rFonts w:eastAsia="Times New Roman"/>
                <w:color w:val="000000"/>
                <w:sz w:val="21"/>
                <w:szCs w:val="21"/>
              </w:rPr>
              <w:t>Gerena</w:t>
            </w:r>
            <w:proofErr w:type="spellEnd"/>
            <w:r w:rsidRPr="0050414B">
              <w:rPr>
                <w:rFonts w:eastAsia="Times New Roman"/>
                <w:color w:val="000000"/>
                <w:sz w:val="21"/>
                <w:szCs w:val="21"/>
              </w:rPr>
              <w:t xml:space="preserve"> ES</w:t>
            </w:r>
          </w:p>
        </w:tc>
        <w:tc>
          <w:tcPr>
            <w:tcW w:w="720" w:type="dxa"/>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21.8</w:t>
            </w:r>
          </w:p>
        </w:tc>
        <w:tc>
          <w:tcPr>
            <w:tcW w:w="1350" w:type="dxa"/>
            <w:gridSpan w:val="2"/>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4%</w:t>
            </w:r>
          </w:p>
        </w:tc>
        <w:tc>
          <w:tcPr>
            <w:tcW w:w="27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Transformation</w:t>
            </w:r>
          </w:p>
        </w:tc>
        <w:tc>
          <w:tcPr>
            <w:tcW w:w="90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w:t>
            </w:r>
          </w:p>
        </w:tc>
        <w:tc>
          <w:tcPr>
            <w:tcW w:w="1410" w:type="dxa"/>
            <w:gridSpan w:val="3"/>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22%</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41%</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22%</w:t>
            </w:r>
          </w:p>
        </w:tc>
      </w:tr>
      <w:tr w:rsidR="00C05939" w:rsidRPr="00851244" w:rsidTr="007E7203">
        <w:trPr>
          <w:trHeight w:val="31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440" w:type="dxa"/>
            <w:gridSpan w:val="3"/>
            <w:tcBorders>
              <w:top w:val="nil"/>
              <w:left w:val="nil"/>
              <w:bottom w:val="nil"/>
            </w:tcBorders>
            <w:shd w:val="clear" w:color="auto" w:fill="auto"/>
            <w:noWrap/>
            <w:vAlign w:val="bottom"/>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Lynn</w:t>
            </w:r>
          </w:p>
        </w:tc>
        <w:tc>
          <w:tcPr>
            <w:tcW w:w="2070" w:type="dxa"/>
            <w:gridSpan w:val="2"/>
            <w:tcBorders>
              <w:top w:val="nil"/>
              <w:bottom w:val="nil"/>
            </w:tcBorders>
            <w:shd w:val="clear" w:color="auto" w:fill="auto"/>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Harrington ES</w:t>
            </w:r>
          </w:p>
        </w:tc>
        <w:tc>
          <w:tcPr>
            <w:tcW w:w="720" w:type="dxa"/>
            <w:tcBorders>
              <w:top w:val="nil"/>
              <w:bottom w:val="nil"/>
            </w:tcBorders>
            <w:shd w:val="clear" w:color="auto" w:fill="auto"/>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43.2</w:t>
            </w:r>
          </w:p>
        </w:tc>
        <w:tc>
          <w:tcPr>
            <w:tcW w:w="1350" w:type="dxa"/>
            <w:gridSpan w:val="2"/>
            <w:tcBorders>
              <w:top w:val="nil"/>
              <w:bottom w:val="nil"/>
            </w:tcBorders>
            <w:shd w:val="clear" w:color="auto" w:fill="auto"/>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4%</w:t>
            </w:r>
          </w:p>
        </w:tc>
        <w:tc>
          <w:tcPr>
            <w:tcW w:w="270" w:type="dxa"/>
            <w:tcBorders>
              <w:top w:val="nil"/>
              <w:bottom w:val="nil"/>
            </w:tcBorders>
            <w:shd w:val="clear" w:color="auto" w:fill="auto"/>
            <w:noWrap/>
            <w:vAlign w:val="center"/>
          </w:tcPr>
          <w:p w:rsidR="00C05939" w:rsidRDefault="00C05939" w:rsidP="007E7203">
            <w:pPr>
              <w:jc w:val="center"/>
              <w:rPr>
                <w:rFonts w:eastAsia="Times New Roman"/>
                <w:color w:val="000000"/>
                <w:sz w:val="21"/>
                <w:szCs w:val="21"/>
              </w:rPr>
            </w:pPr>
          </w:p>
        </w:tc>
        <w:tc>
          <w:tcPr>
            <w:tcW w:w="162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Transformation</w:t>
            </w:r>
          </w:p>
        </w:tc>
        <w:tc>
          <w:tcPr>
            <w:tcW w:w="90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w:t>
            </w:r>
          </w:p>
        </w:tc>
        <w:tc>
          <w:tcPr>
            <w:tcW w:w="1410" w:type="dxa"/>
            <w:gridSpan w:val="3"/>
            <w:tcBorders>
              <w:top w:val="nil"/>
              <w:bottom w:val="nil"/>
            </w:tcBorders>
            <w:shd w:val="clear" w:color="auto" w:fill="auto"/>
            <w:noWrap/>
            <w:vAlign w:val="center"/>
          </w:tcPr>
          <w:p w:rsidR="00C05939" w:rsidRDefault="00C05939" w:rsidP="007E7203">
            <w:pPr>
              <w:jc w:val="center"/>
              <w:rPr>
                <w:rFonts w:eastAsia="Times New Roman"/>
                <w:color w:val="000000"/>
                <w:sz w:val="21"/>
                <w:szCs w:val="21"/>
              </w:rPr>
            </w:pPr>
            <w:r w:rsidRPr="0050414B">
              <w:rPr>
                <w:rFonts w:eastAsia="Times New Roman"/>
                <w:color w:val="000000"/>
                <w:sz w:val="21"/>
                <w:szCs w:val="21"/>
              </w:rPr>
              <w:t>30%</w:t>
            </w:r>
          </w:p>
        </w:tc>
        <w:tc>
          <w:tcPr>
            <w:tcW w:w="1410" w:type="dxa"/>
            <w:gridSpan w:val="2"/>
            <w:tcBorders>
              <w:top w:val="nil"/>
              <w:bottom w:val="nil"/>
            </w:tcBorders>
            <w:shd w:val="clear" w:color="auto" w:fill="auto"/>
            <w:noWrap/>
            <w:vAlign w:val="center"/>
          </w:tcPr>
          <w:p w:rsidR="00C05939" w:rsidRDefault="00C05939" w:rsidP="007E7203">
            <w:pPr>
              <w:jc w:val="center"/>
              <w:rPr>
                <w:rFonts w:eastAsia="Times New Roman"/>
                <w:color w:val="000000"/>
                <w:sz w:val="21"/>
                <w:szCs w:val="21"/>
              </w:rPr>
            </w:pPr>
            <w:r w:rsidRPr="0050414B">
              <w:rPr>
                <w:rFonts w:eastAsia="Times New Roman"/>
                <w:color w:val="000000"/>
                <w:sz w:val="21"/>
                <w:szCs w:val="21"/>
              </w:rPr>
              <w:t>34%</w:t>
            </w:r>
          </w:p>
        </w:tc>
        <w:tc>
          <w:tcPr>
            <w:tcW w:w="1410" w:type="dxa"/>
            <w:gridSpan w:val="2"/>
            <w:tcBorders>
              <w:top w:val="nil"/>
              <w:bottom w:val="nil"/>
            </w:tcBorders>
            <w:shd w:val="clear" w:color="auto" w:fill="auto"/>
            <w:noWrap/>
            <w:vAlign w:val="center"/>
          </w:tcPr>
          <w:p w:rsidR="00C05939" w:rsidRDefault="00C05939" w:rsidP="007E7203">
            <w:pPr>
              <w:jc w:val="center"/>
              <w:rPr>
                <w:rFonts w:eastAsia="Times New Roman"/>
                <w:color w:val="000000"/>
                <w:sz w:val="21"/>
                <w:szCs w:val="21"/>
              </w:rPr>
            </w:pPr>
            <w:r w:rsidRPr="0050414B">
              <w:rPr>
                <w:rFonts w:eastAsia="Times New Roman"/>
                <w:color w:val="000000"/>
                <w:sz w:val="21"/>
                <w:szCs w:val="21"/>
              </w:rPr>
              <w:t>15%</w:t>
            </w:r>
          </w:p>
        </w:tc>
      </w:tr>
      <w:tr w:rsidR="00C05939" w:rsidRPr="00851244" w:rsidTr="007E7203">
        <w:trPr>
          <w:trHeight w:val="31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440" w:type="dxa"/>
            <w:gridSpan w:val="3"/>
            <w:tcBorders>
              <w:top w:val="nil"/>
              <w:left w:val="nil"/>
              <w:bottom w:val="nil"/>
            </w:tcBorders>
            <w:shd w:val="clear" w:color="auto" w:fill="auto"/>
            <w:noWrap/>
            <w:vAlign w:val="bottom"/>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Springfield</w:t>
            </w:r>
          </w:p>
        </w:tc>
        <w:tc>
          <w:tcPr>
            <w:tcW w:w="2070" w:type="dxa"/>
            <w:gridSpan w:val="2"/>
            <w:tcBorders>
              <w:top w:val="nil"/>
              <w:bottom w:val="nil"/>
            </w:tcBorders>
            <w:shd w:val="clear" w:color="auto" w:fill="auto"/>
            <w:vAlign w:val="center"/>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Brookings ES</w:t>
            </w:r>
          </w:p>
        </w:tc>
        <w:tc>
          <w:tcPr>
            <w:tcW w:w="720" w:type="dxa"/>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19.2</w:t>
            </w:r>
          </w:p>
        </w:tc>
        <w:tc>
          <w:tcPr>
            <w:tcW w:w="1350" w:type="dxa"/>
            <w:gridSpan w:val="2"/>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6%</w:t>
            </w:r>
          </w:p>
        </w:tc>
        <w:tc>
          <w:tcPr>
            <w:tcW w:w="27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Turnaround</w:t>
            </w:r>
          </w:p>
        </w:tc>
        <w:tc>
          <w:tcPr>
            <w:tcW w:w="90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w:t>
            </w:r>
          </w:p>
        </w:tc>
        <w:tc>
          <w:tcPr>
            <w:tcW w:w="1410" w:type="dxa"/>
            <w:gridSpan w:val="3"/>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33%</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31%</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38%</w:t>
            </w:r>
          </w:p>
        </w:tc>
      </w:tr>
      <w:tr w:rsidR="00C05939" w:rsidRPr="00851244" w:rsidTr="007E7203">
        <w:trPr>
          <w:trHeight w:val="31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440" w:type="dxa"/>
            <w:gridSpan w:val="3"/>
            <w:tcBorders>
              <w:top w:val="nil"/>
              <w:left w:val="nil"/>
              <w:bottom w:val="nil"/>
            </w:tcBorders>
            <w:shd w:val="clear" w:color="auto" w:fill="auto"/>
            <w:noWrap/>
            <w:vAlign w:val="bottom"/>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Lynn</w:t>
            </w:r>
          </w:p>
        </w:tc>
        <w:tc>
          <w:tcPr>
            <w:tcW w:w="2070" w:type="dxa"/>
            <w:gridSpan w:val="2"/>
            <w:tcBorders>
              <w:top w:val="nil"/>
              <w:bottom w:val="nil"/>
            </w:tcBorders>
            <w:shd w:val="clear" w:color="auto" w:fill="auto"/>
            <w:vAlign w:val="center"/>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Connery ES</w:t>
            </w:r>
          </w:p>
        </w:tc>
        <w:tc>
          <w:tcPr>
            <w:tcW w:w="720" w:type="dxa"/>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47.3</w:t>
            </w:r>
          </w:p>
        </w:tc>
        <w:tc>
          <w:tcPr>
            <w:tcW w:w="1350" w:type="dxa"/>
            <w:gridSpan w:val="2"/>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14%</w:t>
            </w:r>
          </w:p>
        </w:tc>
        <w:tc>
          <w:tcPr>
            <w:tcW w:w="27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Transformation</w:t>
            </w:r>
          </w:p>
        </w:tc>
        <w:tc>
          <w:tcPr>
            <w:tcW w:w="90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3</w:t>
            </w:r>
          </w:p>
        </w:tc>
        <w:tc>
          <w:tcPr>
            <w:tcW w:w="1410" w:type="dxa"/>
            <w:gridSpan w:val="3"/>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37%</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73%</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31%</w:t>
            </w:r>
          </w:p>
        </w:tc>
      </w:tr>
      <w:tr w:rsidR="00C05939" w:rsidRPr="00851244" w:rsidTr="007E7203">
        <w:trPr>
          <w:trHeight w:val="31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440" w:type="dxa"/>
            <w:gridSpan w:val="3"/>
            <w:tcBorders>
              <w:top w:val="nil"/>
              <w:left w:val="nil"/>
              <w:bottom w:val="nil"/>
            </w:tcBorders>
            <w:shd w:val="clear" w:color="auto" w:fill="auto"/>
            <w:noWrap/>
            <w:vAlign w:val="bottom"/>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Worcester</w:t>
            </w:r>
          </w:p>
        </w:tc>
        <w:tc>
          <w:tcPr>
            <w:tcW w:w="2070" w:type="dxa"/>
            <w:gridSpan w:val="2"/>
            <w:tcBorders>
              <w:top w:val="nil"/>
              <w:bottom w:val="nil"/>
            </w:tcBorders>
            <w:shd w:val="clear" w:color="auto" w:fill="auto"/>
            <w:vAlign w:val="center"/>
            <w:hideMark/>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Union Hill ES</w:t>
            </w:r>
          </w:p>
        </w:tc>
        <w:tc>
          <w:tcPr>
            <w:tcW w:w="720" w:type="dxa"/>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43</w:t>
            </w:r>
          </w:p>
        </w:tc>
        <w:tc>
          <w:tcPr>
            <w:tcW w:w="1350" w:type="dxa"/>
            <w:gridSpan w:val="2"/>
            <w:tcBorders>
              <w:top w:val="nil"/>
              <w:bottom w:val="nil"/>
            </w:tcBorders>
            <w:shd w:val="clear" w:color="auto" w:fill="auto"/>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20%</w:t>
            </w:r>
          </w:p>
        </w:tc>
        <w:tc>
          <w:tcPr>
            <w:tcW w:w="27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Transformation</w:t>
            </w:r>
          </w:p>
        </w:tc>
        <w:tc>
          <w:tcPr>
            <w:tcW w:w="900" w:type="dxa"/>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w:t>
            </w:r>
          </w:p>
        </w:tc>
        <w:tc>
          <w:tcPr>
            <w:tcW w:w="1410" w:type="dxa"/>
            <w:gridSpan w:val="3"/>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5%</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54%</w:t>
            </w:r>
          </w:p>
        </w:tc>
        <w:tc>
          <w:tcPr>
            <w:tcW w:w="1410" w:type="dxa"/>
            <w:gridSpan w:val="2"/>
            <w:tcBorders>
              <w:top w:val="nil"/>
              <w:bottom w:val="nil"/>
            </w:tcBorders>
            <w:shd w:val="clear" w:color="auto" w:fill="auto"/>
            <w:noWrap/>
            <w:vAlign w:val="center"/>
            <w:hideMark/>
          </w:tcPr>
          <w:p w:rsidR="00C05939" w:rsidRPr="0050414B" w:rsidRDefault="00C05939" w:rsidP="007E7203">
            <w:pPr>
              <w:jc w:val="center"/>
              <w:rPr>
                <w:rFonts w:eastAsia="Times New Roman"/>
                <w:color w:val="000000"/>
                <w:sz w:val="21"/>
                <w:szCs w:val="21"/>
              </w:rPr>
            </w:pPr>
            <w:r>
              <w:rPr>
                <w:rFonts w:eastAsia="Times New Roman"/>
                <w:color w:val="000000"/>
                <w:sz w:val="21"/>
                <w:szCs w:val="21"/>
              </w:rPr>
              <w:t>32%</w:t>
            </w:r>
          </w:p>
        </w:tc>
      </w:tr>
      <w:tr w:rsidR="00C05939" w:rsidRPr="00851244" w:rsidTr="007E7203">
        <w:trPr>
          <w:trHeight w:val="31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440" w:type="dxa"/>
            <w:gridSpan w:val="3"/>
            <w:tcBorders>
              <w:top w:val="nil"/>
              <w:left w:val="nil"/>
              <w:bottom w:val="nil"/>
            </w:tcBorders>
            <w:shd w:val="clear" w:color="auto" w:fill="auto"/>
            <w:noWrap/>
            <w:vAlign w:val="center"/>
          </w:tcPr>
          <w:p w:rsidR="00C05939" w:rsidRPr="0050414B" w:rsidRDefault="00C05939" w:rsidP="007E7203">
            <w:pPr>
              <w:rPr>
                <w:rFonts w:eastAsia="Times New Roman"/>
                <w:color w:val="000000"/>
                <w:sz w:val="21"/>
                <w:szCs w:val="21"/>
              </w:rPr>
            </w:pPr>
            <w:r w:rsidRPr="00262452">
              <w:rPr>
                <w:rFonts w:eastAsia="Times New Roman"/>
                <w:color w:val="000000"/>
                <w:sz w:val="22"/>
                <w:szCs w:val="22"/>
              </w:rPr>
              <w:t>Boston</w:t>
            </w:r>
          </w:p>
        </w:tc>
        <w:tc>
          <w:tcPr>
            <w:tcW w:w="2070" w:type="dxa"/>
            <w:gridSpan w:val="2"/>
            <w:tcBorders>
              <w:top w:val="nil"/>
              <w:bottom w:val="nil"/>
            </w:tcBorders>
            <w:shd w:val="clear" w:color="auto" w:fill="auto"/>
            <w:vAlign w:val="center"/>
          </w:tcPr>
          <w:p w:rsidR="00C05939" w:rsidRPr="0050414B" w:rsidRDefault="00C05939" w:rsidP="007E7203">
            <w:pPr>
              <w:rPr>
                <w:rFonts w:eastAsia="Times New Roman"/>
                <w:color w:val="000000"/>
                <w:sz w:val="21"/>
                <w:szCs w:val="21"/>
              </w:rPr>
            </w:pPr>
            <w:r w:rsidRPr="00262452">
              <w:rPr>
                <w:rFonts w:eastAsia="Times New Roman"/>
                <w:color w:val="000000"/>
                <w:sz w:val="22"/>
                <w:szCs w:val="22"/>
              </w:rPr>
              <w:t>J.F. Kennedy ES</w:t>
            </w:r>
          </w:p>
        </w:tc>
        <w:tc>
          <w:tcPr>
            <w:tcW w:w="720" w:type="dxa"/>
            <w:tcBorders>
              <w:top w:val="nil"/>
              <w:bottom w:val="nil"/>
            </w:tcBorders>
            <w:shd w:val="clear" w:color="auto" w:fill="auto"/>
            <w:vAlign w:val="center"/>
          </w:tcPr>
          <w:p w:rsidR="00C05939" w:rsidRPr="0050414B" w:rsidRDefault="00C05939" w:rsidP="007E7203">
            <w:pPr>
              <w:jc w:val="center"/>
              <w:rPr>
                <w:rFonts w:eastAsia="Times New Roman"/>
                <w:color w:val="000000"/>
                <w:sz w:val="21"/>
                <w:szCs w:val="21"/>
              </w:rPr>
            </w:pPr>
            <w:r w:rsidRPr="00262452">
              <w:rPr>
                <w:rFonts w:eastAsia="Times New Roman"/>
                <w:color w:val="000000"/>
                <w:sz w:val="22"/>
                <w:szCs w:val="22"/>
              </w:rPr>
              <w:t>57.0</w:t>
            </w:r>
          </w:p>
        </w:tc>
        <w:tc>
          <w:tcPr>
            <w:tcW w:w="135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262452">
              <w:rPr>
                <w:rFonts w:eastAsia="Times New Roman"/>
                <w:color w:val="000000"/>
                <w:sz w:val="22"/>
                <w:szCs w:val="22"/>
              </w:rPr>
              <w:t>26%</w:t>
            </w:r>
          </w:p>
        </w:tc>
        <w:tc>
          <w:tcPr>
            <w:tcW w:w="27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Transformation</w:t>
            </w:r>
          </w:p>
        </w:tc>
        <w:tc>
          <w:tcPr>
            <w:tcW w:w="90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2</w:t>
            </w:r>
          </w:p>
        </w:tc>
        <w:tc>
          <w:tcPr>
            <w:tcW w:w="1410" w:type="dxa"/>
            <w:gridSpan w:val="3"/>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18%</w:t>
            </w:r>
          </w:p>
        </w:tc>
        <w:tc>
          <w:tcPr>
            <w:tcW w:w="141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52%</w:t>
            </w:r>
          </w:p>
        </w:tc>
        <w:tc>
          <w:tcPr>
            <w:tcW w:w="141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18%</w:t>
            </w:r>
          </w:p>
        </w:tc>
      </w:tr>
      <w:tr w:rsidR="00C05939" w:rsidRPr="00851244" w:rsidTr="007E7203">
        <w:trPr>
          <w:trHeight w:val="318"/>
        </w:trPr>
        <w:tc>
          <w:tcPr>
            <w:tcW w:w="810" w:type="dxa"/>
            <w:gridSpan w:val="2"/>
            <w:vMerge/>
            <w:tcBorders>
              <w:left w:val="nil"/>
              <w:bottom w:val="single" w:sz="4" w:space="0" w:color="auto"/>
            </w:tcBorders>
            <w:shd w:val="clear" w:color="auto" w:fill="auto"/>
          </w:tcPr>
          <w:p w:rsidR="00C05939" w:rsidRPr="0050414B" w:rsidRDefault="00C05939" w:rsidP="007E7203">
            <w:pPr>
              <w:rPr>
                <w:rFonts w:eastAsia="Times New Roman"/>
                <w:sz w:val="21"/>
                <w:szCs w:val="21"/>
              </w:rPr>
            </w:pPr>
          </w:p>
        </w:tc>
        <w:tc>
          <w:tcPr>
            <w:tcW w:w="1440" w:type="dxa"/>
            <w:gridSpan w:val="3"/>
            <w:tcBorders>
              <w:top w:val="nil"/>
              <w:left w:val="nil"/>
              <w:bottom w:val="single" w:sz="4" w:space="0" w:color="auto"/>
            </w:tcBorders>
            <w:shd w:val="clear" w:color="auto" w:fill="auto"/>
            <w:noWrap/>
            <w:vAlign w:val="bottom"/>
          </w:tcPr>
          <w:p w:rsidR="00C05939" w:rsidRPr="0050414B" w:rsidRDefault="00C05939" w:rsidP="007E7203">
            <w:pPr>
              <w:rPr>
                <w:rFonts w:eastAsia="Times New Roman"/>
                <w:color w:val="000000"/>
                <w:sz w:val="21"/>
                <w:szCs w:val="21"/>
              </w:rPr>
            </w:pPr>
            <w:r>
              <w:rPr>
                <w:rFonts w:eastAsia="Times New Roman"/>
                <w:color w:val="000000"/>
                <w:sz w:val="21"/>
                <w:szCs w:val="21"/>
              </w:rPr>
              <w:t>Boston</w:t>
            </w:r>
          </w:p>
        </w:tc>
        <w:tc>
          <w:tcPr>
            <w:tcW w:w="2070" w:type="dxa"/>
            <w:gridSpan w:val="2"/>
            <w:tcBorders>
              <w:top w:val="nil"/>
              <w:bottom w:val="single" w:sz="4" w:space="0" w:color="auto"/>
            </w:tcBorders>
            <w:shd w:val="clear" w:color="auto" w:fill="auto"/>
            <w:vAlign w:val="center"/>
          </w:tcPr>
          <w:p w:rsidR="00C05939" w:rsidRPr="0050414B" w:rsidRDefault="00C05939" w:rsidP="007E7203">
            <w:pPr>
              <w:rPr>
                <w:rFonts w:eastAsia="Times New Roman"/>
                <w:color w:val="000000"/>
                <w:sz w:val="21"/>
                <w:szCs w:val="21"/>
              </w:rPr>
            </w:pPr>
            <w:r>
              <w:rPr>
                <w:rFonts w:eastAsia="Times New Roman"/>
                <w:color w:val="000000"/>
                <w:sz w:val="21"/>
                <w:szCs w:val="21"/>
              </w:rPr>
              <w:t>Burke HS</w:t>
            </w:r>
          </w:p>
        </w:tc>
        <w:tc>
          <w:tcPr>
            <w:tcW w:w="720" w:type="dxa"/>
            <w:tcBorders>
              <w:top w:val="nil"/>
              <w:bottom w:val="single" w:sz="4" w:space="0" w:color="auto"/>
            </w:tcBorders>
            <w:shd w:val="clear" w:color="auto" w:fill="auto"/>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26.8</w:t>
            </w:r>
          </w:p>
        </w:tc>
        <w:tc>
          <w:tcPr>
            <w:tcW w:w="1350" w:type="dxa"/>
            <w:gridSpan w:val="2"/>
            <w:tcBorders>
              <w:top w:val="nil"/>
              <w:bottom w:val="single" w:sz="4" w:space="0" w:color="auto"/>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26%</w:t>
            </w:r>
          </w:p>
        </w:tc>
        <w:tc>
          <w:tcPr>
            <w:tcW w:w="270" w:type="dxa"/>
            <w:tcBorders>
              <w:top w:val="nil"/>
              <w:bottom w:val="single" w:sz="4" w:space="0" w:color="auto"/>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single" w:sz="4" w:space="0" w:color="auto"/>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Turnaround</w:t>
            </w:r>
          </w:p>
        </w:tc>
        <w:tc>
          <w:tcPr>
            <w:tcW w:w="900" w:type="dxa"/>
            <w:tcBorders>
              <w:top w:val="nil"/>
              <w:bottom w:val="single" w:sz="4" w:space="0" w:color="auto"/>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2</w:t>
            </w:r>
          </w:p>
        </w:tc>
        <w:tc>
          <w:tcPr>
            <w:tcW w:w="1410" w:type="dxa"/>
            <w:gridSpan w:val="3"/>
            <w:tcBorders>
              <w:top w:val="nil"/>
              <w:bottom w:val="single" w:sz="4" w:space="0" w:color="auto"/>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16%</w:t>
            </w:r>
          </w:p>
        </w:tc>
        <w:tc>
          <w:tcPr>
            <w:tcW w:w="1410" w:type="dxa"/>
            <w:gridSpan w:val="2"/>
            <w:tcBorders>
              <w:top w:val="nil"/>
              <w:bottom w:val="single" w:sz="4" w:space="0" w:color="auto"/>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62%</w:t>
            </w:r>
          </w:p>
        </w:tc>
        <w:tc>
          <w:tcPr>
            <w:tcW w:w="1410" w:type="dxa"/>
            <w:gridSpan w:val="2"/>
            <w:tcBorders>
              <w:top w:val="nil"/>
              <w:bottom w:val="single" w:sz="4" w:space="0" w:color="auto"/>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42%</w:t>
            </w:r>
          </w:p>
        </w:tc>
      </w:tr>
      <w:tr w:rsidR="00C05939" w:rsidRPr="00851244" w:rsidTr="007E7203">
        <w:trPr>
          <w:trHeight w:val="300"/>
        </w:trPr>
        <w:tc>
          <w:tcPr>
            <w:tcW w:w="13410" w:type="dxa"/>
            <w:gridSpan w:val="21"/>
            <w:tcBorders>
              <w:left w:val="nil"/>
              <w:right w:val="single" w:sz="4" w:space="0" w:color="auto"/>
            </w:tcBorders>
          </w:tcPr>
          <w:p w:rsidR="00C05939" w:rsidRPr="0050414B" w:rsidRDefault="00C05939" w:rsidP="007E7203">
            <w:pPr>
              <w:jc w:val="center"/>
              <w:rPr>
                <w:rFonts w:eastAsia="Times New Roman"/>
                <w:color w:val="000000"/>
                <w:sz w:val="21"/>
                <w:szCs w:val="21"/>
              </w:rPr>
            </w:pPr>
          </w:p>
        </w:tc>
      </w:tr>
      <w:tr w:rsidR="00C05939" w:rsidRPr="00851244" w:rsidTr="007E7203">
        <w:trPr>
          <w:trHeight w:val="338"/>
        </w:trPr>
        <w:tc>
          <w:tcPr>
            <w:tcW w:w="810" w:type="dxa"/>
            <w:gridSpan w:val="2"/>
            <w:vMerge w:val="restart"/>
            <w:tcBorders>
              <w:left w:val="nil"/>
            </w:tcBorders>
            <w:shd w:val="clear" w:color="auto" w:fill="auto"/>
            <w:textDirection w:val="btLr"/>
            <w:vAlign w:val="center"/>
          </w:tcPr>
          <w:p w:rsidR="00C05939" w:rsidRPr="00262452" w:rsidRDefault="00C05939" w:rsidP="007E7203">
            <w:pPr>
              <w:ind w:left="113" w:right="113"/>
              <w:jc w:val="center"/>
              <w:rPr>
                <w:rFonts w:eastAsia="Times New Roman"/>
                <w:b/>
                <w:sz w:val="22"/>
                <w:szCs w:val="22"/>
              </w:rPr>
            </w:pPr>
            <w:r w:rsidRPr="00262452">
              <w:rPr>
                <w:rFonts w:eastAsia="Times New Roman"/>
                <w:b/>
                <w:sz w:val="22"/>
                <w:szCs w:val="22"/>
              </w:rPr>
              <w:t>Schools not having success in closing Achievement Gaps</w:t>
            </w:r>
          </w:p>
          <w:p w:rsidR="00C05939" w:rsidRPr="003167BC" w:rsidRDefault="00C05939" w:rsidP="007E7203">
            <w:pPr>
              <w:ind w:left="113" w:right="113"/>
              <w:jc w:val="center"/>
              <w:rPr>
                <w:rFonts w:eastAsia="Times New Roman"/>
                <w:b/>
                <w:sz w:val="21"/>
                <w:szCs w:val="21"/>
              </w:rPr>
            </w:pPr>
          </w:p>
        </w:tc>
        <w:tc>
          <w:tcPr>
            <w:tcW w:w="1350" w:type="dxa"/>
            <w:gridSpan w:val="2"/>
            <w:tcBorders>
              <w:left w:val="nil"/>
              <w:bottom w:val="nil"/>
            </w:tcBorders>
            <w:shd w:val="clear" w:color="auto" w:fill="auto"/>
            <w:noWrap/>
            <w:vAlign w:val="center"/>
          </w:tcPr>
          <w:p w:rsidR="00C05939" w:rsidRPr="0050414B" w:rsidRDefault="00C05939" w:rsidP="007E7203">
            <w:pPr>
              <w:rPr>
                <w:rFonts w:eastAsia="Times New Roman"/>
                <w:color w:val="000000"/>
                <w:sz w:val="21"/>
                <w:szCs w:val="21"/>
              </w:rPr>
            </w:pPr>
            <w:r>
              <w:rPr>
                <w:rFonts w:eastAsia="Times New Roman"/>
                <w:color w:val="000000"/>
                <w:sz w:val="21"/>
                <w:szCs w:val="21"/>
              </w:rPr>
              <w:t>Lawrence</w:t>
            </w:r>
          </w:p>
        </w:tc>
        <w:tc>
          <w:tcPr>
            <w:tcW w:w="2160" w:type="dxa"/>
            <w:gridSpan w:val="3"/>
            <w:tcBorders>
              <w:bottom w:val="nil"/>
            </w:tcBorders>
            <w:shd w:val="clear" w:color="auto" w:fill="auto"/>
            <w:vAlign w:val="center"/>
          </w:tcPr>
          <w:p w:rsidR="00C05939" w:rsidRPr="0050414B" w:rsidRDefault="00C05939" w:rsidP="007E7203">
            <w:pPr>
              <w:rPr>
                <w:rFonts w:eastAsia="Times New Roman"/>
                <w:color w:val="000000"/>
                <w:sz w:val="21"/>
                <w:szCs w:val="21"/>
              </w:rPr>
            </w:pPr>
            <w:r>
              <w:rPr>
                <w:rFonts w:eastAsia="Times New Roman"/>
                <w:color w:val="000000"/>
                <w:sz w:val="21"/>
                <w:szCs w:val="21"/>
              </w:rPr>
              <w:t>SLEM MS</w:t>
            </w:r>
          </w:p>
        </w:tc>
        <w:tc>
          <w:tcPr>
            <w:tcW w:w="720" w:type="dxa"/>
            <w:tcBorders>
              <w:bottom w:val="nil"/>
            </w:tcBorders>
            <w:shd w:val="clear" w:color="auto" w:fill="auto"/>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12</w:t>
            </w:r>
          </w:p>
        </w:tc>
        <w:tc>
          <w:tcPr>
            <w:tcW w:w="1350" w:type="dxa"/>
            <w:gridSpan w:val="2"/>
            <w:tcBorders>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65%</w:t>
            </w:r>
          </w:p>
        </w:tc>
        <w:tc>
          <w:tcPr>
            <w:tcW w:w="270" w:type="dxa"/>
            <w:tcBorders>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Transformation</w:t>
            </w:r>
          </w:p>
        </w:tc>
        <w:tc>
          <w:tcPr>
            <w:tcW w:w="900" w:type="dxa"/>
            <w:tcBorders>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3</w:t>
            </w:r>
          </w:p>
        </w:tc>
        <w:tc>
          <w:tcPr>
            <w:tcW w:w="1410" w:type="dxa"/>
            <w:gridSpan w:val="3"/>
            <w:tcBorders>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23%</w:t>
            </w:r>
          </w:p>
        </w:tc>
        <w:tc>
          <w:tcPr>
            <w:tcW w:w="1410" w:type="dxa"/>
            <w:gridSpan w:val="2"/>
            <w:tcBorders>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15%</w:t>
            </w:r>
          </w:p>
        </w:tc>
        <w:tc>
          <w:tcPr>
            <w:tcW w:w="1410" w:type="dxa"/>
            <w:gridSpan w:val="2"/>
            <w:tcBorders>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65%</w:t>
            </w:r>
          </w:p>
        </w:tc>
      </w:tr>
      <w:tr w:rsidR="00C05939" w:rsidRPr="00851244" w:rsidTr="007E7203">
        <w:trPr>
          <w:trHeight w:val="33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350" w:type="dxa"/>
            <w:gridSpan w:val="2"/>
            <w:tcBorders>
              <w:top w:val="nil"/>
              <w:left w:val="nil"/>
              <w:bottom w:val="nil"/>
            </w:tcBorders>
            <w:shd w:val="clear" w:color="auto" w:fill="auto"/>
            <w:noWrap/>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Boston</w:t>
            </w:r>
          </w:p>
        </w:tc>
        <w:tc>
          <w:tcPr>
            <w:tcW w:w="2160" w:type="dxa"/>
            <w:gridSpan w:val="3"/>
            <w:tcBorders>
              <w:top w:val="nil"/>
              <w:bottom w:val="nil"/>
            </w:tcBorders>
            <w:shd w:val="clear" w:color="auto" w:fill="auto"/>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English HS</w:t>
            </w:r>
          </w:p>
        </w:tc>
        <w:tc>
          <w:tcPr>
            <w:tcW w:w="720" w:type="dxa"/>
            <w:tcBorders>
              <w:top w:val="nil"/>
              <w:bottom w:val="nil"/>
            </w:tcBorders>
            <w:shd w:val="clear" w:color="auto" w:fill="auto"/>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38.7</w:t>
            </w:r>
          </w:p>
        </w:tc>
        <w:tc>
          <w:tcPr>
            <w:tcW w:w="135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67</w:t>
            </w:r>
            <w:r w:rsidRPr="0050414B">
              <w:rPr>
                <w:rFonts w:eastAsia="Times New Roman"/>
                <w:color w:val="000000"/>
                <w:sz w:val="21"/>
                <w:szCs w:val="21"/>
              </w:rPr>
              <w:t>%</w:t>
            </w:r>
          </w:p>
        </w:tc>
        <w:tc>
          <w:tcPr>
            <w:tcW w:w="27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Transformation</w:t>
            </w:r>
          </w:p>
        </w:tc>
        <w:tc>
          <w:tcPr>
            <w:tcW w:w="90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w:t>
            </w:r>
          </w:p>
        </w:tc>
        <w:tc>
          <w:tcPr>
            <w:tcW w:w="1410" w:type="dxa"/>
            <w:gridSpan w:val="3"/>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27%</w:t>
            </w:r>
          </w:p>
        </w:tc>
        <w:tc>
          <w:tcPr>
            <w:tcW w:w="141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35%</w:t>
            </w:r>
          </w:p>
        </w:tc>
        <w:tc>
          <w:tcPr>
            <w:tcW w:w="141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55%</w:t>
            </w:r>
          </w:p>
        </w:tc>
      </w:tr>
      <w:tr w:rsidR="00C05939" w:rsidRPr="00851244" w:rsidTr="007E7203">
        <w:trPr>
          <w:trHeight w:val="33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350" w:type="dxa"/>
            <w:gridSpan w:val="2"/>
            <w:tcBorders>
              <w:top w:val="nil"/>
              <w:left w:val="nil"/>
              <w:bottom w:val="nil"/>
            </w:tcBorders>
            <w:shd w:val="clear" w:color="auto" w:fill="auto"/>
            <w:noWrap/>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Boston</w:t>
            </w:r>
          </w:p>
        </w:tc>
        <w:tc>
          <w:tcPr>
            <w:tcW w:w="2160" w:type="dxa"/>
            <w:gridSpan w:val="3"/>
            <w:tcBorders>
              <w:top w:val="nil"/>
              <w:bottom w:val="nil"/>
            </w:tcBorders>
            <w:shd w:val="clear" w:color="auto" w:fill="auto"/>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E. Greenwood ES</w:t>
            </w:r>
          </w:p>
        </w:tc>
        <w:tc>
          <w:tcPr>
            <w:tcW w:w="720" w:type="dxa"/>
            <w:tcBorders>
              <w:top w:val="nil"/>
              <w:bottom w:val="nil"/>
            </w:tcBorders>
            <w:shd w:val="clear" w:color="auto" w:fill="auto"/>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25.4</w:t>
            </w:r>
          </w:p>
        </w:tc>
        <w:tc>
          <w:tcPr>
            <w:tcW w:w="135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74%</w:t>
            </w:r>
          </w:p>
        </w:tc>
        <w:tc>
          <w:tcPr>
            <w:tcW w:w="27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Transformation</w:t>
            </w:r>
          </w:p>
        </w:tc>
        <w:tc>
          <w:tcPr>
            <w:tcW w:w="90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w:t>
            </w:r>
          </w:p>
        </w:tc>
        <w:tc>
          <w:tcPr>
            <w:tcW w:w="1410" w:type="dxa"/>
            <w:gridSpan w:val="3"/>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42%</w:t>
            </w:r>
          </w:p>
        </w:tc>
        <w:tc>
          <w:tcPr>
            <w:tcW w:w="141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12%</w:t>
            </w:r>
          </w:p>
        </w:tc>
        <w:tc>
          <w:tcPr>
            <w:tcW w:w="141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12%</w:t>
            </w:r>
          </w:p>
        </w:tc>
      </w:tr>
      <w:tr w:rsidR="00C05939" w:rsidRPr="00851244" w:rsidTr="007E7203">
        <w:trPr>
          <w:trHeight w:val="33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350" w:type="dxa"/>
            <w:gridSpan w:val="2"/>
            <w:tcBorders>
              <w:top w:val="nil"/>
              <w:left w:val="nil"/>
              <w:bottom w:val="nil"/>
            </w:tcBorders>
            <w:shd w:val="clear" w:color="auto" w:fill="auto"/>
            <w:noWrap/>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Springfield</w:t>
            </w:r>
          </w:p>
        </w:tc>
        <w:tc>
          <w:tcPr>
            <w:tcW w:w="2160" w:type="dxa"/>
            <w:gridSpan w:val="3"/>
            <w:tcBorders>
              <w:top w:val="nil"/>
              <w:bottom w:val="nil"/>
            </w:tcBorders>
            <w:shd w:val="clear" w:color="auto" w:fill="auto"/>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HS Of Commerce</w:t>
            </w:r>
          </w:p>
        </w:tc>
        <w:tc>
          <w:tcPr>
            <w:tcW w:w="720" w:type="dxa"/>
            <w:tcBorders>
              <w:top w:val="nil"/>
              <w:bottom w:val="nil"/>
            </w:tcBorders>
            <w:shd w:val="clear" w:color="auto" w:fill="auto"/>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20.5</w:t>
            </w:r>
          </w:p>
        </w:tc>
        <w:tc>
          <w:tcPr>
            <w:tcW w:w="135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74</w:t>
            </w:r>
            <w:r w:rsidRPr="0050414B">
              <w:rPr>
                <w:rFonts w:eastAsia="Times New Roman"/>
                <w:color w:val="000000"/>
                <w:sz w:val="21"/>
                <w:szCs w:val="21"/>
              </w:rPr>
              <w:t>%</w:t>
            </w:r>
          </w:p>
        </w:tc>
        <w:tc>
          <w:tcPr>
            <w:tcW w:w="27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Turnaround</w:t>
            </w:r>
          </w:p>
        </w:tc>
        <w:tc>
          <w:tcPr>
            <w:tcW w:w="90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3</w:t>
            </w:r>
          </w:p>
        </w:tc>
        <w:tc>
          <w:tcPr>
            <w:tcW w:w="1410" w:type="dxa"/>
            <w:gridSpan w:val="3"/>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11%</w:t>
            </w:r>
          </w:p>
        </w:tc>
        <w:tc>
          <w:tcPr>
            <w:tcW w:w="141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23%</w:t>
            </w:r>
          </w:p>
        </w:tc>
        <w:tc>
          <w:tcPr>
            <w:tcW w:w="141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33%</w:t>
            </w:r>
          </w:p>
        </w:tc>
      </w:tr>
      <w:tr w:rsidR="00C05939" w:rsidRPr="00851244" w:rsidTr="007E7203">
        <w:trPr>
          <w:trHeight w:val="33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350" w:type="dxa"/>
            <w:gridSpan w:val="2"/>
            <w:tcBorders>
              <w:top w:val="nil"/>
              <w:left w:val="nil"/>
              <w:bottom w:val="nil"/>
            </w:tcBorders>
            <w:shd w:val="clear" w:color="auto" w:fill="auto"/>
            <w:noWrap/>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Springfield</w:t>
            </w:r>
          </w:p>
        </w:tc>
        <w:tc>
          <w:tcPr>
            <w:tcW w:w="2160" w:type="dxa"/>
            <w:gridSpan w:val="3"/>
            <w:tcBorders>
              <w:top w:val="nil"/>
              <w:bottom w:val="nil"/>
            </w:tcBorders>
            <w:shd w:val="clear" w:color="auto" w:fill="auto"/>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Chestnut Street MS</w:t>
            </w:r>
          </w:p>
        </w:tc>
        <w:tc>
          <w:tcPr>
            <w:tcW w:w="720" w:type="dxa"/>
            <w:tcBorders>
              <w:top w:val="nil"/>
              <w:bottom w:val="nil"/>
            </w:tcBorders>
            <w:shd w:val="clear" w:color="auto" w:fill="auto"/>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24.3</w:t>
            </w:r>
          </w:p>
        </w:tc>
        <w:tc>
          <w:tcPr>
            <w:tcW w:w="135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82%</w:t>
            </w:r>
          </w:p>
        </w:tc>
        <w:tc>
          <w:tcPr>
            <w:tcW w:w="27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Transformation</w:t>
            </w:r>
          </w:p>
        </w:tc>
        <w:tc>
          <w:tcPr>
            <w:tcW w:w="90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w:t>
            </w:r>
          </w:p>
        </w:tc>
        <w:tc>
          <w:tcPr>
            <w:tcW w:w="1410" w:type="dxa"/>
            <w:gridSpan w:val="3"/>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18%</w:t>
            </w:r>
          </w:p>
        </w:tc>
        <w:tc>
          <w:tcPr>
            <w:tcW w:w="141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24%</w:t>
            </w:r>
          </w:p>
        </w:tc>
        <w:tc>
          <w:tcPr>
            <w:tcW w:w="141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33%</w:t>
            </w:r>
          </w:p>
        </w:tc>
      </w:tr>
      <w:tr w:rsidR="00C05939" w:rsidRPr="00851244" w:rsidTr="007E7203">
        <w:trPr>
          <w:trHeight w:val="33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350" w:type="dxa"/>
            <w:gridSpan w:val="2"/>
            <w:tcBorders>
              <w:top w:val="nil"/>
              <w:left w:val="nil"/>
              <w:bottom w:val="nil"/>
            </w:tcBorders>
            <w:shd w:val="clear" w:color="auto" w:fill="auto"/>
            <w:noWrap/>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New Bedford</w:t>
            </w:r>
          </w:p>
        </w:tc>
        <w:tc>
          <w:tcPr>
            <w:tcW w:w="2160" w:type="dxa"/>
            <w:gridSpan w:val="3"/>
            <w:tcBorders>
              <w:top w:val="nil"/>
              <w:bottom w:val="nil"/>
            </w:tcBorders>
            <w:shd w:val="clear" w:color="auto" w:fill="auto"/>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Parker ES</w:t>
            </w:r>
          </w:p>
        </w:tc>
        <w:tc>
          <w:tcPr>
            <w:tcW w:w="720" w:type="dxa"/>
            <w:tcBorders>
              <w:top w:val="nil"/>
              <w:bottom w:val="nil"/>
            </w:tcBorders>
            <w:shd w:val="clear" w:color="auto" w:fill="auto"/>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0</w:t>
            </w:r>
          </w:p>
        </w:tc>
        <w:tc>
          <w:tcPr>
            <w:tcW w:w="135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85%</w:t>
            </w:r>
          </w:p>
        </w:tc>
        <w:tc>
          <w:tcPr>
            <w:tcW w:w="27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N/A</w:t>
            </w:r>
          </w:p>
        </w:tc>
        <w:tc>
          <w:tcPr>
            <w:tcW w:w="90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N/A</w:t>
            </w:r>
          </w:p>
        </w:tc>
        <w:tc>
          <w:tcPr>
            <w:tcW w:w="1410" w:type="dxa"/>
            <w:gridSpan w:val="3"/>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30%</w:t>
            </w:r>
          </w:p>
        </w:tc>
        <w:tc>
          <w:tcPr>
            <w:tcW w:w="141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25%</w:t>
            </w:r>
          </w:p>
        </w:tc>
        <w:tc>
          <w:tcPr>
            <w:tcW w:w="141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15%</w:t>
            </w:r>
          </w:p>
        </w:tc>
      </w:tr>
      <w:tr w:rsidR="00C05939" w:rsidRPr="00851244" w:rsidTr="007E7203">
        <w:trPr>
          <w:trHeight w:val="33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350" w:type="dxa"/>
            <w:gridSpan w:val="2"/>
            <w:tcBorders>
              <w:top w:val="nil"/>
              <w:left w:val="nil"/>
              <w:bottom w:val="nil"/>
            </w:tcBorders>
            <w:shd w:val="clear" w:color="auto" w:fill="auto"/>
            <w:noWrap/>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Lawrence</w:t>
            </w:r>
          </w:p>
        </w:tc>
        <w:tc>
          <w:tcPr>
            <w:tcW w:w="2160" w:type="dxa"/>
            <w:gridSpan w:val="3"/>
            <w:tcBorders>
              <w:top w:val="nil"/>
              <w:bottom w:val="nil"/>
            </w:tcBorders>
            <w:shd w:val="clear" w:color="auto" w:fill="auto"/>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Arlington ES</w:t>
            </w:r>
          </w:p>
        </w:tc>
        <w:tc>
          <w:tcPr>
            <w:tcW w:w="720" w:type="dxa"/>
            <w:tcBorders>
              <w:top w:val="nil"/>
              <w:bottom w:val="nil"/>
            </w:tcBorders>
            <w:shd w:val="clear" w:color="auto" w:fill="auto"/>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49.2</w:t>
            </w:r>
          </w:p>
        </w:tc>
        <w:tc>
          <w:tcPr>
            <w:tcW w:w="135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97%</w:t>
            </w:r>
          </w:p>
        </w:tc>
        <w:tc>
          <w:tcPr>
            <w:tcW w:w="27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Transformation</w:t>
            </w:r>
          </w:p>
        </w:tc>
        <w:tc>
          <w:tcPr>
            <w:tcW w:w="90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w:t>
            </w:r>
          </w:p>
        </w:tc>
        <w:tc>
          <w:tcPr>
            <w:tcW w:w="1410" w:type="dxa"/>
            <w:gridSpan w:val="3"/>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18%</w:t>
            </w:r>
          </w:p>
        </w:tc>
        <w:tc>
          <w:tcPr>
            <w:tcW w:w="141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19%</w:t>
            </w:r>
          </w:p>
        </w:tc>
        <w:tc>
          <w:tcPr>
            <w:tcW w:w="141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59%</w:t>
            </w:r>
          </w:p>
        </w:tc>
      </w:tr>
      <w:tr w:rsidR="00C05939" w:rsidRPr="00851244" w:rsidTr="007E7203">
        <w:trPr>
          <w:trHeight w:val="33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350" w:type="dxa"/>
            <w:gridSpan w:val="2"/>
            <w:tcBorders>
              <w:top w:val="nil"/>
              <w:left w:val="nil"/>
              <w:bottom w:val="nil"/>
            </w:tcBorders>
            <w:shd w:val="clear" w:color="auto" w:fill="auto"/>
            <w:noWrap/>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Fall River</w:t>
            </w:r>
          </w:p>
        </w:tc>
        <w:tc>
          <w:tcPr>
            <w:tcW w:w="2160" w:type="dxa"/>
            <w:gridSpan w:val="3"/>
            <w:tcBorders>
              <w:top w:val="nil"/>
              <w:bottom w:val="nil"/>
            </w:tcBorders>
            <w:shd w:val="clear" w:color="auto" w:fill="auto"/>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Lord MS</w:t>
            </w:r>
          </w:p>
        </w:tc>
        <w:tc>
          <w:tcPr>
            <w:tcW w:w="720" w:type="dxa"/>
            <w:tcBorders>
              <w:top w:val="nil"/>
              <w:bottom w:val="nil"/>
            </w:tcBorders>
            <w:shd w:val="clear" w:color="auto" w:fill="auto"/>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0</w:t>
            </w:r>
          </w:p>
        </w:tc>
        <w:tc>
          <w:tcPr>
            <w:tcW w:w="135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105%</w:t>
            </w:r>
          </w:p>
        </w:tc>
        <w:tc>
          <w:tcPr>
            <w:tcW w:w="27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N/A</w:t>
            </w:r>
          </w:p>
        </w:tc>
        <w:tc>
          <w:tcPr>
            <w:tcW w:w="900" w:type="dxa"/>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N/A</w:t>
            </w:r>
          </w:p>
        </w:tc>
        <w:tc>
          <w:tcPr>
            <w:tcW w:w="1410" w:type="dxa"/>
            <w:gridSpan w:val="3"/>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26%</w:t>
            </w:r>
          </w:p>
        </w:tc>
        <w:tc>
          <w:tcPr>
            <w:tcW w:w="141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21%</w:t>
            </w:r>
          </w:p>
        </w:tc>
        <w:tc>
          <w:tcPr>
            <w:tcW w:w="1410" w:type="dxa"/>
            <w:gridSpan w:val="2"/>
            <w:tcBorders>
              <w:top w:val="nil"/>
              <w:bottom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20%</w:t>
            </w:r>
          </w:p>
        </w:tc>
      </w:tr>
      <w:tr w:rsidR="00C05939" w:rsidRPr="00851244" w:rsidTr="007E7203">
        <w:trPr>
          <w:trHeight w:val="338"/>
        </w:trPr>
        <w:tc>
          <w:tcPr>
            <w:tcW w:w="810" w:type="dxa"/>
            <w:gridSpan w:val="2"/>
            <w:vMerge/>
            <w:tcBorders>
              <w:left w:val="nil"/>
            </w:tcBorders>
            <w:shd w:val="clear" w:color="auto" w:fill="auto"/>
          </w:tcPr>
          <w:p w:rsidR="00C05939" w:rsidRPr="0050414B" w:rsidRDefault="00C05939" w:rsidP="007E7203">
            <w:pPr>
              <w:rPr>
                <w:rFonts w:eastAsia="Times New Roman"/>
                <w:sz w:val="21"/>
                <w:szCs w:val="21"/>
              </w:rPr>
            </w:pPr>
          </w:p>
        </w:tc>
        <w:tc>
          <w:tcPr>
            <w:tcW w:w="1350" w:type="dxa"/>
            <w:gridSpan w:val="2"/>
            <w:tcBorders>
              <w:top w:val="nil"/>
              <w:left w:val="nil"/>
            </w:tcBorders>
            <w:shd w:val="clear" w:color="auto" w:fill="auto"/>
            <w:noWrap/>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Springfield</w:t>
            </w:r>
          </w:p>
        </w:tc>
        <w:tc>
          <w:tcPr>
            <w:tcW w:w="2160" w:type="dxa"/>
            <w:gridSpan w:val="3"/>
            <w:tcBorders>
              <w:top w:val="nil"/>
            </w:tcBorders>
            <w:shd w:val="clear" w:color="auto" w:fill="auto"/>
            <w:vAlign w:val="center"/>
          </w:tcPr>
          <w:p w:rsidR="00C05939" w:rsidRPr="0050414B" w:rsidRDefault="00C05939" w:rsidP="007E7203">
            <w:pPr>
              <w:rPr>
                <w:rFonts w:eastAsia="Times New Roman"/>
                <w:color w:val="000000"/>
                <w:sz w:val="21"/>
                <w:szCs w:val="21"/>
              </w:rPr>
            </w:pPr>
            <w:r w:rsidRPr="0050414B">
              <w:rPr>
                <w:rFonts w:eastAsia="Times New Roman"/>
                <w:color w:val="000000"/>
                <w:sz w:val="21"/>
                <w:szCs w:val="21"/>
              </w:rPr>
              <w:t>Kennedy MS</w:t>
            </w:r>
          </w:p>
        </w:tc>
        <w:tc>
          <w:tcPr>
            <w:tcW w:w="720" w:type="dxa"/>
            <w:tcBorders>
              <w:top w:val="nil"/>
            </w:tcBorders>
            <w:shd w:val="clear" w:color="auto" w:fill="auto"/>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1.4</w:t>
            </w:r>
          </w:p>
        </w:tc>
        <w:tc>
          <w:tcPr>
            <w:tcW w:w="1350" w:type="dxa"/>
            <w:gridSpan w:val="2"/>
            <w:tcBorders>
              <w:top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106%</w:t>
            </w:r>
          </w:p>
        </w:tc>
        <w:tc>
          <w:tcPr>
            <w:tcW w:w="270" w:type="dxa"/>
            <w:tcBorders>
              <w:top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 xml:space="preserve"> </w:t>
            </w:r>
          </w:p>
        </w:tc>
        <w:tc>
          <w:tcPr>
            <w:tcW w:w="1620" w:type="dxa"/>
            <w:gridSpan w:val="2"/>
            <w:tcBorders>
              <w:top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Turnaround</w:t>
            </w:r>
          </w:p>
        </w:tc>
        <w:tc>
          <w:tcPr>
            <w:tcW w:w="900" w:type="dxa"/>
            <w:tcBorders>
              <w:top w:val="nil"/>
            </w:tcBorders>
            <w:shd w:val="clear" w:color="auto" w:fill="auto"/>
            <w:noWrap/>
            <w:vAlign w:val="center"/>
          </w:tcPr>
          <w:p w:rsidR="00C05939" w:rsidRPr="0050414B" w:rsidRDefault="00C05939" w:rsidP="007E7203">
            <w:pPr>
              <w:jc w:val="center"/>
              <w:rPr>
                <w:rFonts w:eastAsia="Times New Roman"/>
                <w:color w:val="000000"/>
                <w:sz w:val="21"/>
                <w:szCs w:val="21"/>
              </w:rPr>
            </w:pPr>
            <w:r w:rsidRPr="0050414B">
              <w:rPr>
                <w:rFonts w:eastAsia="Times New Roman"/>
                <w:color w:val="000000"/>
                <w:sz w:val="21"/>
                <w:szCs w:val="21"/>
              </w:rPr>
              <w:t>2</w:t>
            </w:r>
          </w:p>
        </w:tc>
        <w:tc>
          <w:tcPr>
            <w:tcW w:w="1410" w:type="dxa"/>
            <w:gridSpan w:val="3"/>
            <w:tcBorders>
              <w:top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26%</w:t>
            </w:r>
          </w:p>
        </w:tc>
        <w:tc>
          <w:tcPr>
            <w:tcW w:w="1410" w:type="dxa"/>
            <w:gridSpan w:val="2"/>
            <w:tcBorders>
              <w:top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33%</w:t>
            </w:r>
          </w:p>
        </w:tc>
        <w:tc>
          <w:tcPr>
            <w:tcW w:w="1410" w:type="dxa"/>
            <w:gridSpan w:val="2"/>
            <w:tcBorders>
              <w:top w:val="nil"/>
            </w:tcBorders>
            <w:shd w:val="clear" w:color="auto" w:fill="auto"/>
            <w:noWrap/>
            <w:vAlign w:val="center"/>
          </w:tcPr>
          <w:p w:rsidR="00C05939" w:rsidRPr="0050414B" w:rsidRDefault="00C05939" w:rsidP="007E7203">
            <w:pPr>
              <w:jc w:val="center"/>
              <w:rPr>
                <w:rFonts w:eastAsia="Times New Roman"/>
                <w:color w:val="000000"/>
                <w:sz w:val="21"/>
                <w:szCs w:val="21"/>
              </w:rPr>
            </w:pPr>
            <w:r>
              <w:rPr>
                <w:rFonts w:eastAsia="Times New Roman"/>
                <w:color w:val="000000"/>
                <w:sz w:val="21"/>
                <w:szCs w:val="21"/>
              </w:rPr>
              <w:t>25%</w:t>
            </w:r>
          </w:p>
        </w:tc>
      </w:tr>
    </w:tbl>
    <w:p w:rsidR="00FD5A90" w:rsidRPr="00944B8C" w:rsidRDefault="00FD5A90" w:rsidP="00944B8C">
      <w:pPr>
        <w:tabs>
          <w:tab w:val="left" w:pos="10767"/>
        </w:tabs>
        <w:rPr>
          <w:sz w:val="22"/>
          <w:szCs w:val="22"/>
        </w:rPr>
      </w:pPr>
    </w:p>
    <w:sectPr w:rsidR="00FD5A90" w:rsidRPr="00944B8C" w:rsidSect="00944B8C">
      <w:footerReference w:type="default" r:id="rId36"/>
      <w:pgSz w:w="15840" w:h="12240" w:orient="landscape"/>
      <w:pgMar w:top="1152" w:right="1152" w:bottom="1152" w:left="1152" w:header="720" w:footer="720" w:gutter="0"/>
      <w:pgNumType w:fmt="upperLetter" w:start="3"/>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64D" w:rsidRDefault="00C9264D" w:rsidP="00E562C2">
      <w:r>
        <w:separator/>
      </w:r>
    </w:p>
  </w:endnote>
  <w:endnote w:type="continuationSeparator" w:id="0">
    <w:p w:rsidR="00C9264D" w:rsidRDefault="00C9264D" w:rsidP="00E562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3D" w:rsidRDefault="0011041D" w:rsidP="00ED2475">
    <w:pPr>
      <w:pStyle w:val="Footer"/>
      <w:framePr w:wrap="around" w:vAnchor="text" w:hAnchor="margin" w:xAlign="center" w:y="1"/>
      <w:rPr>
        <w:rStyle w:val="PageNumber"/>
      </w:rPr>
    </w:pPr>
    <w:r>
      <w:rPr>
        <w:rStyle w:val="PageNumber"/>
      </w:rPr>
      <w:fldChar w:fldCharType="begin"/>
    </w:r>
    <w:r w:rsidR="0090743D">
      <w:rPr>
        <w:rStyle w:val="PageNumber"/>
      </w:rPr>
      <w:instrText xml:space="preserve">PAGE  </w:instrText>
    </w:r>
    <w:r>
      <w:rPr>
        <w:rStyle w:val="PageNumber"/>
      </w:rPr>
      <w:fldChar w:fldCharType="end"/>
    </w:r>
  </w:p>
  <w:p w:rsidR="0090743D" w:rsidRDefault="0011041D" w:rsidP="00ED2475">
    <w:pPr>
      <w:pStyle w:val="Footer"/>
      <w:framePr w:wrap="around" w:vAnchor="text" w:hAnchor="margin" w:xAlign="center" w:y="1"/>
      <w:rPr>
        <w:rStyle w:val="PageNumber"/>
      </w:rPr>
    </w:pPr>
    <w:r>
      <w:rPr>
        <w:rStyle w:val="PageNumber"/>
      </w:rPr>
      <w:fldChar w:fldCharType="begin"/>
    </w:r>
    <w:r w:rsidR="0090743D">
      <w:rPr>
        <w:rStyle w:val="PageNumber"/>
      </w:rPr>
      <w:instrText xml:space="preserve">PAGE  </w:instrText>
    </w:r>
    <w:r>
      <w:rPr>
        <w:rStyle w:val="PageNumber"/>
      </w:rPr>
      <w:fldChar w:fldCharType="end"/>
    </w:r>
  </w:p>
  <w:p w:rsidR="0090743D" w:rsidRDefault="0090743D">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5615"/>
      <w:docPartObj>
        <w:docPartGallery w:val="Page Numbers (Bottom of Page)"/>
        <w:docPartUnique/>
      </w:docPartObj>
    </w:sdtPr>
    <w:sdtEndPr>
      <w:rPr>
        <w:noProof/>
        <w:sz w:val="18"/>
        <w:szCs w:val="18"/>
      </w:rPr>
    </w:sdtEndPr>
    <w:sdtContent>
      <w:p w:rsidR="00966AFB" w:rsidRPr="00D350B1" w:rsidRDefault="00966AFB" w:rsidP="00D350B1">
        <w:pPr>
          <w:pStyle w:val="Footer"/>
          <w:jc w:val="center"/>
          <w:rPr>
            <w:sz w:val="18"/>
            <w:szCs w:val="18"/>
          </w:rPr>
        </w:pPr>
        <w:r>
          <w:rPr>
            <w:sz w:val="18"/>
            <w:szCs w:val="18"/>
          </w:rPr>
          <w:t>C</w:t>
        </w:r>
      </w:p>
    </w:sdtContent>
  </w:sdt>
  <w:p w:rsidR="00966AFB" w:rsidRPr="00316BAD" w:rsidRDefault="00966AFB" w:rsidP="00316BAD">
    <w:pPr>
      <w:pStyle w:val="Footer"/>
      <w:jc w:val="righ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3D" w:rsidRPr="00316BAD" w:rsidRDefault="0090743D" w:rsidP="00316BAD">
    <w:pPr>
      <w:pStyle w:val="Footer"/>
      <w:jc w:val="right"/>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3D" w:rsidRPr="00ED2475" w:rsidRDefault="0090743D" w:rsidP="00ED2475">
    <w:pPr>
      <w:pStyle w:val="Footer"/>
      <w:jc w:val="center"/>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704654"/>
      <w:docPartObj>
        <w:docPartGallery w:val="Page Numbers (Bottom of Page)"/>
        <w:docPartUnique/>
      </w:docPartObj>
    </w:sdtPr>
    <w:sdtEndPr>
      <w:rPr>
        <w:noProof/>
      </w:rPr>
    </w:sdtEndPr>
    <w:sdtContent>
      <w:p w:rsidR="0090743D" w:rsidRPr="009F1462" w:rsidRDefault="0011041D">
        <w:pPr>
          <w:pStyle w:val="Footer"/>
          <w:jc w:val="center"/>
          <w:rPr>
            <w:sz w:val="16"/>
            <w:szCs w:val="16"/>
          </w:rPr>
        </w:pPr>
        <w:r>
          <w:rPr>
            <w:noProof/>
            <w:sz w:val="16"/>
            <w:szCs w:val="16"/>
          </w:rPr>
        </w:r>
        <w:r>
          <w:rPr>
            <w:noProof/>
            <w:sz w:val="16"/>
            <w:szCs w:val="16"/>
          </w:rPr>
          <w:pict>
            <v:shapetype id="_x0000_t110" coordsize="21600,21600" o:spt="110" path="m10800,l,10800,10800,21600,21600,10800xe">
              <v:stroke joinstyle="miter"/>
              <v:path gradientshapeok="t" o:connecttype="rect" textboxrect="5400,5400,16200,16200"/>
            </v:shapetype>
            <v:shape id="AutoShape 2" o:spid="_x0000_s6146" type="#_x0000_t110" alt="Description: 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bKsg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" fillcolor="black" stroked="f">
              <v:fill r:id="rId1" o:title="" type="pattern"/>
              <w10:wrap type="none"/>
              <w10:anchorlock/>
            </v:shape>
          </w:pict>
        </w:r>
      </w:p>
      <w:p w:rsidR="0090743D" w:rsidRDefault="0090743D">
        <w:pPr>
          <w:pStyle w:val="Footer"/>
          <w:jc w:val="center"/>
        </w:pPr>
        <w:r>
          <w:rPr>
            <w:sz w:val="16"/>
            <w:szCs w:val="16"/>
          </w:rPr>
          <w:t>INSTLL</w:t>
        </w:r>
      </w:p>
    </w:sdtContent>
  </w:sdt>
  <w:p w:rsidR="0090743D" w:rsidRPr="00316BAD" w:rsidRDefault="0090743D" w:rsidP="00316BAD">
    <w:pPr>
      <w:pStyle w:val="Footer"/>
      <w:jc w:val="right"/>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3D" w:rsidRPr="00ED2475" w:rsidRDefault="0090743D" w:rsidP="00532337">
    <w:pPr>
      <w:pStyle w:val="Footer"/>
      <w:rPr>
        <w:sz w:val="20"/>
      </w:rPr>
    </w:pPr>
    <w:r>
      <w:rPr>
        <w:sz w:val="20"/>
      </w:rPr>
      <w:t xml:space="preserve">INSTLL, LLC                                      </w:t>
    </w:r>
    <w:r>
      <w:rPr>
        <w:sz w:val="20"/>
      </w:rPr>
      <w:tab/>
      <w:t>2013 Executive Summary: Emerging and Sustaining Practices for School Turnaround</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78845"/>
      <w:docPartObj>
        <w:docPartGallery w:val="Page Numbers (Bottom of Page)"/>
        <w:docPartUnique/>
      </w:docPartObj>
    </w:sdtPr>
    <w:sdtEndPr>
      <w:rPr>
        <w:noProof/>
      </w:rPr>
    </w:sdtEndPr>
    <w:sdtContent>
      <w:p w:rsidR="0090743D" w:rsidRPr="009F1462" w:rsidRDefault="0011041D">
        <w:pPr>
          <w:pStyle w:val="Footer"/>
          <w:jc w:val="center"/>
          <w:rPr>
            <w:sz w:val="16"/>
            <w:szCs w:val="16"/>
          </w:rPr>
        </w:pPr>
        <w:r>
          <w:rPr>
            <w:noProof/>
            <w:sz w:val="16"/>
            <w:szCs w:val="16"/>
          </w:rPr>
        </w:r>
        <w:r>
          <w:rPr>
            <w:noProof/>
            <w:sz w:val="16"/>
            <w:szCs w:val="16"/>
          </w:rPr>
          <w:pict>
            <v:shapetype id="_x0000_t110" coordsize="21600,21600" o:spt="110" path="m10800,l,10800,10800,21600,21600,10800xe">
              <v:stroke joinstyle="miter"/>
              <v:path gradientshapeok="t" o:connecttype="rect" textboxrect="5400,5400,16200,16200"/>
            </v:shapetype>
            <v:shape id="AutoShape 1" o:spid="_x0000_s6145" type="#_x0000_t110" alt="Description: 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61sQ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" fillcolor="black" stroked="f">
              <v:fill r:id="rId1" o:title="" type="pattern"/>
              <w10:wrap type="none"/>
              <w10:anchorlock/>
            </v:shape>
          </w:pict>
        </w:r>
      </w:p>
      <w:p w:rsidR="0090743D" w:rsidRDefault="0011041D">
        <w:pPr>
          <w:pStyle w:val="Footer"/>
          <w:jc w:val="center"/>
        </w:pPr>
        <w:r w:rsidRPr="009F1462">
          <w:rPr>
            <w:sz w:val="16"/>
            <w:szCs w:val="16"/>
          </w:rPr>
          <w:fldChar w:fldCharType="begin"/>
        </w:r>
        <w:r w:rsidR="0090743D" w:rsidRPr="009F1462">
          <w:rPr>
            <w:sz w:val="16"/>
            <w:szCs w:val="16"/>
          </w:rPr>
          <w:instrText xml:space="preserve"> PAGE    \* MERGEFORMAT </w:instrText>
        </w:r>
        <w:r w:rsidRPr="009F1462">
          <w:rPr>
            <w:sz w:val="16"/>
            <w:szCs w:val="16"/>
          </w:rPr>
          <w:fldChar w:fldCharType="separate"/>
        </w:r>
        <w:r w:rsidR="00B1473D">
          <w:rPr>
            <w:noProof/>
            <w:sz w:val="16"/>
            <w:szCs w:val="16"/>
          </w:rPr>
          <w:t>ii</w:t>
        </w:r>
        <w:r w:rsidRPr="009F1462">
          <w:rPr>
            <w:noProof/>
            <w:sz w:val="16"/>
            <w:szCs w:val="16"/>
          </w:rPr>
          <w:fldChar w:fldCharType="end"/>
        </w:r>
      </w:p>
    </w:sdtContent>
  </w:sdt>
  <w:p w:rsidR="0090743D" w:rsidRPr="00316BAD" w:rsidRDefault="0090743D" w:rsidP="00316BAD">
    <w:pPr>
      <w:pStyle w:val="Footer"/>
      <w:jc w:val="right"/>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3D" w:rsidRPr="00ED2475" w:rsidRDefault="0090743D" w:rsidP="00ED2475">
    <w:pPr>
      <w:pStyle w:val="Footer"/>
      <w:framePr w:wrap="around" w:vAnchor="text" w:hAnchor="margin" w:xAlign="center" w:y="1"/>
      <w:rPr>
        <w:rStyle w:val="PageNumber"/>
        <w:sz w:val="20"/>
      </w:rPr>
    </w:pPr>
    <w:r>
      <w:rPr>
        <w:rStyle w:val="PageNumber"/>
        <w:sz w:val="20"/>
      </w:rPr>
      <w:t xml:space="preserve">Page </w:t>
    </w:r>
    <w:r w:rsidR="0011041D" w:rsidRPr="00ED2475">
      <w:rPr>
        <w:rStyle w:val="PageNumber"/>
        <w:sz w:val="20"/>
      </w:rPr>
      <w:fldChar w:fldCharType="begin"/>
    </w:r>
    <w:r w:rsidRPr="00ED2475">
      <w:rPr>
        <w:rStyle w:val="PageNumber"/>
        <w:sz w:val="20"/>
      </w:rPr>
      <w:instrText xml:space="preserve">PAGE  </w:instrText>
    </w:r>
    <w:r w:rsidR="0011041D" w:rsidRPr="00ED2475">
      <w:rPr>
        <w:rStyle w:val="PageNumber"/>
        <w:sz w:val="20"/>
      </w:rPr>
      <w:fldChar w:fldCharType="separate"/>
    </w:r>
    <w:r w:rsidR="00B1473D">
      <w:rPr>
        <w:rStyle w:val="PageNumber"/>
        <w:noProof/>
        <w:sz w:val="20"/>
      </w:rPr>
      <w:t>13</w:t>
    </w:r>
    <w:r w:rsidR="0011041D" w:rsidRPr="00ED2475">
      <w:rPr>
        <w:rStyle w:val="PageNumber"/>
        <w:sz w:val="20"/>
      </w:rPr>
      <w:fldChar w:fldCharType="end"/>
    </w:r>
    <w:r>
      <w:rPr>
        <w:rStyle w:val="PageNumber"/>
        <w:sz w:val="20"/>
      </w:rPr>
      <w:t xml:space="preserve"> of 24</w:t>
    </w:r>
  </w:p>
  <w:p w:rsidR="0090743D" w:rsidRPr="00316BAD" w:rsidRDefault="0090743D" w:rsidP="00316BAD">
    <w:pPr>
      <w:pStyle w:val="Footer"/>
      <w:jc w:val="right"/>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55023"/>
      <w:docPartObj>
        <w:docPartGallery w:val="Page Numbers (Bottom of Page)"/>
        <w:docPartUnique/>
      </w:docPartObj>
    </w:sdtPr>
    <w:sdtEndPr>
      <w:rPr>
        <w:noProof/>
        <w:sz w:val="18"/>
        <w:szCs w:val="18"/>
      </w:rPr>
    </w:sdtEndPr>
    <w:sdtContent>
      <w:p w:rsidR="0090743D" w:rsidRPr="00D350B1" w:rsidRDefault="00966AFB" w:rsidP="00D350B1">
        <w:pPr>
          <w:pStyle w:val="Footer"/>
          <w:jc w:val="center"/>
          <w:rPr>
            <w:sz w:val="18"/>
            <w:szCs w:val="18"/>
          </w:rPr>
        </w:pPr>
        <w:r>
          <w:rPr>
            <w:sz w:val="18"/>
            <w:szCs w:val="18"/>
          </w:rPr>
          <w:t>A</w:t>
        </w:r>
      </w:p>
    </w:sdtContent>
  </w:sdt>
  <w:p w:rsidR="0090743D" w:rsidRPr="00316BAD" w:rsidRDefault="0090743D" w:rsidP="00316BAD">
    <w:pPr>
      <w:pStyle w:val="Footer"/>
      <w:jc w:val="right"/>
      <w:rPr>
        <w:sz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5617"/>
      <w:docPartObj>
        <w:docPartGallery w:val="Page Numbers (Bottom of Page)"/>
        <w:docPartUnique/>
      </w:docPartObj>
    </w:sdtPr>
    <w:sdtEndPr>
      <w:rPr>
        <w:noProof/>
        <w:sz w:val="18"/>
        <w:szCs w:val="18"/>
      </w:rPr>
    </w:sdtEndPr>
    <w:sdtContent>
      <w:p w:rsidR="00966AFB" w:rsidRPr="00D350B1" w:rsidRDefault="00966AFB" w:rsidP="00D350B1">
        <w:pPr>
          <w:pStyle w:val="Footer"/>
          <w:jc w:val="center"/>
          <w:rPr>
            <w:sz w:val="18"/>
            <w:szCs w:val="18"/>
          </w:rPr>
        </w:pPr>
        <w:r>
          <w:rPr>
            <w:sz w:val="18"/>
            <w:szCs w:val="18"/>
          </w:rPr>
          <w:t>B</w:t>
        </w:r>
      </w:p>
    </w:sdtContent>
  </w:sdt>
  <w:p w:rsidR="00966AFB" w:rsidRPr="00316BAD" w:rsidRDefault="00966AFB" w:rsidP="00316BAD">
    <w:pPr>
      <w:pStyle w:val="Footer"/>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64D" w:rsidRDefault="00C9264D" w:rsidP="00E562C2">
      <w:r>
        <w:separator/>
      </w:r>
    </w:p>
  </w:footnote>
  <w:footnote w:type="continuationSeparator" w:id="0">
    <w:p w:rsidR="00C9264D" w:rsidRDefault="00C9264D" w:rsidP="00E562C2">
      <w:r>
        <w:continuationSeparator/>
      </w:r>
    </w:p>
  </w:footnote>
  <w:footnote w:id="1">
    <w:p w:rsidR="0090743D" w:rsidRPr="0090743D" w:rsidRDefault="0090743D">
      <w:pPr>
        <w:pStyle w:val="FootnoteText"/>
        <w:rPr>
          <w:sz w:val="16"/>
          <w:szCs w:val="16"/>
        </w:rPr>
      </w:pPr>
      <w:r w:rsidRPr="0090743D">
        <w:rPr>
          <w:rStyle w:val="FootnoteReference"/>
          <w:sz w:val="16"/>
          <w:szCs w:val="16"/>
        </w:rPr>
        <w:footnoteRef/>
      </w:r>
      <w:r w:rsidRPr="0090743D">
        <w:rPr>
          <w:sz w:val="16"/>
          <w:szCs w:val="16"/>
        </w:rPr>
        <w:t xml:space="preserve"> Appendix A provides a listing of the performance measures that comprise the MAGs</w:t>
      </w:r>
    </w:p>
  </w:footnote>
  <w:footnote w:id="2">
    <w:p w:rsidR="0090743D" w:rsidRPr="0090743D" w:rsidRDefault="0090743D">
      <w:pPr>
        <w:pStyle w:val="FootnoteText"/>
        <w:rPr>
          <w:sz w:val="16"/>
          <w:szCs w:val="16"/>
        </w:rPr>
      </w:pPr>
      <w:r w:rsidRPr="0090743D">
        <w:rPr>
          <w:rStyle w:val="FootnoteReference"/>
          <w:sz w:val="16"/>
          <w:szCs w:val="16"/>
        </w:rPr>
        <w:footnoteRef/>
      </w:r>
      <w:r w:rsidRPr="0090743D">
        <w:rPr>
          <w:sz w:val="16"/>
          <w:szCs w:val="16"/>
        </w:rPr>
        <w:t xml:space="preserve"> Refer to Appendix B for more details on the methodology used to identify Achievement gain and Non-Gain schools</w:t>
      </w:r>
    </w:p>
  </w:footnote>
  <w:footnote w:id="3">
    <w:p w:rsidR="0090743D" w:rsidRPr="0090743D" w:rsidRDefault="0090743D">
      <w:pPr>
        <w:pStyle w:val="FootnoteText"/>
        <w:rPr>
          <w:sz w:val="16"/>
          <w:szCs w:val="16"/>
        </w:rPr>
      </w:pPr>
      <w:r w:rsidRPr="0090743D">
        <w:rPr>
          <w:rStyle w:val="FootnoteReference"/>
          <w:sz w:val="16"/>
          <w:szCs w:val="16"/>
        </w:rPr>
        <w:footnoteRef/>
      </w:r>
      <w:r w:rsidRPr="0090743D">
        <w:rPr>
          <w:sz w:val="16"/>
          <w:szCs w:val="16"/>
        </w:rPr>
        <w:t xml:space="preserve"> </w:t>
      </w:r>
      <w:r w:rsidRPr="0090743D">
        <w:rPr>
          <w:i/>
          <w:sz w:val="16"/>
          <w:szCs w:val="16"/>
        </w:rPr>
        <w:t>Emerging Practices in Rapid Achievement Gain Schools, 2012</w:t>
      </w:r>
    </w:p>
  </w:footnote>
  <w:footnote w:id="4">
    <w:p w:rsidR="0090743D" w:rsidRPr="0090743D" w:rsidRDefault="0090743D">
      <w:pPr>
        <w:pStyle w:val="FootnoteText"/>
        <w:rPr>
          <w:sz w:val="16"/>
          <w:szCs w:val="16"/>
        </w:rPr>
      </w:pPr>
      <w:r w:rsidRPr="0090743D">
        <w:rPr>
          <w:rStyle w:val="FootnoteReference"/>
          <w:sz w:val="16"/>
          <w:szCs w:val="16"/>
        </w:rPr>
        <w:footnoteRef/>
      </w:r>
      <w:r w:rsidRPr="0090743D">
        <w:rPr>
          <w:sz w:val="16"/>
          <w:szCs w:val="16"/>
        </w:rPr>
        <w:t xml:space="preserve"> In Massachusetts, the federal School Improvement Grant (SIG) is named the</w:t>
      </w:r>
      <w:r w:rsidRPr="0090743D">
        <w:rPr>
          <w:i/>
          <w:sz w:val="16"/>
          <w:szCs w:val="16"/>
        </w:rPr>
        <w:t xml:space="preserve"> School Redesign Grant (SRG)</w:t>
      </w:r>
      <w:r w:rsidRPr="0090743D">
        <w:rPr>
          <w:sz w:val="16"/>
          <w:szCs w:val="16"/>
        </w:rPr>
        <w:t>.</w:t>
      </w:r>
    </w:p>
  </w:footnote>
  <w:footnote w:id="5">
    <w:p w:rsidR="0090743D" w:rsidRDefault="0090743D" w:rsidP="00CC5A7B">
      <w:pPr>
        <w:pStyle w:val="FootnoteText"/>
      </w:pPr>
      <w:r>
        <w:rPr>
          <w:rStyle w:val="FootnoteReference"/>
        </w:rPr>
        <w:footnoteRef/>
      </w:r>
      <w:r>
        <w:t xml:space="preserve"> </w:t>
      </w:r>
      <w:r w:rsidRPr="00C14BD5">
        <w:rPr>
          <w:sz w:val="18"/>
          <w:szCs w:val="18"/>
        </w:rPr>
        <w:t>We use the term “turnaround” to describe the efforts of all Level 4 schools, regardless of the particular federal model or approach used by the school. When referenced, the federal Turnaround or Transformation models are capitalized.</w:t>
      </w:r>
      <w:r>
        <w:t xml:space="preserve"> </w:t>
      </w:r>
    </w:p>
  </w:footnote>
  <w:footnote w:id="6">
    <w:p w:rsidR="0090743D" w:rsidRPr="002502F8" w:rsidRDefault="0090743D" w:rsidP="00E562C2">
      <w:pPr>
        <w:pStyle w:val="FootnoteText"/>
        <w:rPr>
          <w:sz w:val="18"/>
          <w:szCs w:val="18"/>
        </w:rPr>
      </w:pPr>
      <w:r w:rsidRPr="002502F8">
        <w:rPr>
          <w:rStyle w:val="FootnoteReference"/>
          <w:sz w:val="18"/>
          <w:szCs w:val="18"/>
        </w:rPr>
        <w:footnoteRef/>
      </w:r>
      <w:r w:rsidRPr="002502F8">
        <w:rPr>
          <w:sz w:val="18"/>
          <w:szCs w:val="18"/>
        </w:rPr>
        <w:t xml:space="preserve"> </w:t>
      </w:r>
      <w:r>
        <w:rPr>
          <w:sz w:val="18"/>
          <w:szCs w:val="18"/>
        </w:rPr>
        <w:t>Our approach and</w:t>
      </w:r>
      <w:r w:rsidRPr="002502F8">
        <w:rPr>
          <w:sz w:val="18"/>
          <w:szCs w:val="18"/>
        </w:rPr>
        <w:t xml:space="preserve"> methodology for this an</w:t>
      </w:r>
      <w:r>
        <w:rPr>
          <w:sz w:val="18"/>
          <w:szCs w:val="18"/>
        </w:rPr>
        <w:t>alysis in provided in Appendix B</w:t>
      </w:r>
      <w:r w:rsidRPr="002502F8">
        <w:rPr>
          <w:sz w:val="18"/>
          <w:szCs w:val="18"/>
        </w:rPr>
        <w:t>.</w:t>
      </w:r>
    </w:p>
  </w:footnote>
  <w:footnote w:id="7">
    <w:p w:rsidR="0090743D" w:rsidRDefault="0090743D" w:rsidP="00E562C2">
      <w:pPr>
        <w:pStyle w:val="FootnoteText"/>
      </w:pPr>
      <w:r>
        <w:rPr>
          <w:rStyle w:val="FootnoteReference"/>
        </w:rPr>
        <w:footnoteRef/>
      </w:r>
      <w:r>
        <w:t xml:space="preserve"> </w:t>
      </w:r>
      <w:r>
        <w:rPr>
          <w:sz w:val="18"/>
          <w:szCs w:val="18"/>
        </w:rPr>
        <w:t>Appendix C</w:t>
      </w:r>
      <w:r w:rsidRPr="00DB6567">
        <w:rPr>
          <w:sz w:val="18"/>
          <w:szCs w:val="18"/>
        </w:rPr>
        <w:t xml:space="preserve"> provides full </w:t>
      </w:r>
      <w:r>
        <w:rPr>
          <w:sz w:val="18"/>
          <w:szCs w:val="18"/>
        </w:rPr>
        <w:t>listing of Achievement Gain and non-Gain schools.</w:t>
      </w:r>
      <w:r>
        <w:t xml:space="preserve"> </w:t>
      </w:r>
    </w:p>
  </w:footnote>
  <w:footnote w:id="8">
    <w:p w:rsidR="0090743D" w:rsidRDefault="0090743D">
      <w:pPr>
        <w:pStyle w:val="FootnoteText"/>
      </w:pPr>
      <w:r>
        <w:rPr>
          <w:rStyle w:val="FootnoteReference"/>
        </w:rPr>
        <w:footnoteRef/>
      </w:r>
      <w:r>
        <w:t xml:space="preserve"> </w:t>
      </w:r>
      <w:r w:rsidRPr="00FB2E93">
        <w:rPr>
          <w:rFonts w:eastAsiaTheme="minorHAnsi"/>
          <w:color w:val="000000"/>
          <w:sz w:val="18"/>
          <w:szCs w:val="18"/>
        </w:rPr>
        <w:t>Additional data regarding the nuances of implementation of some of these practices by individual schools even within the same district is necessary to being to be able to attribute causation.</w:t>
      </w:r>
    </w:p>
  </w:footnote>
  <w:footnote w:id="9">
    <w:p w:rsidR="0090743D" w:rsidRDefault="0090743D" w:rsidP="008230A5">
      <w:pPr>
        <w:pStyle w:val="FootnoteText"/>
      </w:pPr>
      <w:r>
        <w:rPr>
          <w:rStyle w:val="FootnoteReference"/>
        </w:rPr>
        <w:footnoteRef/>
      </w:r>
      <w:r>
        <w:t xml:space="preserve"> </w:t>
      </w:r>
      <w:r w:rsidRPr="008A4C0F">
        <w:rPr>
          <w:sz w:val="18"/>
          <w:szCs w:val="18"/>
        </w:rPr>
        <w:t xml:space="preserve">The previous iteration of the SIG program, called Comprehensive School Reform (CSR), required that schools receive a minimum of $50 thousand dollars a year, for three years. While CSR did not </w:t>
      </w:r>
      <w:r>
        <w:rPr>
          <w:sz w:val="18"/>
          <w:szCs w:val="18"/>
        </w:rPr>
        <w:t>specify</w:t>
      </w:r>
      <w:r w:rsidRPr="008A4C0F">
        <w:rPr>
          <w:sz w:val="18"/>
          <w:szCs w:val="18"/>
        </w:rPr>
        <w:t xml:space="preserve"> a maximum award amount, the majority of states encouraged schools to apply for less than $100 thousand a year. One of the generally accepted failings of CSR is the use of a “minimum</w:t>
      </w:r>
      <w:r>
        <w:rPr>
          <w:sz w:val="18"/>
          <w:szCs w:val="18"/>
        </w:rPr>
        <w:t xml:space="preserve">” award amount, leading to underfunding of school improvement efforts. </w:t>
      </w:r>
    </w:p>
  </w:footnote>
  <w:footnote w:id="10">
    <w:p w:rsidR="0090743D" w:rsidRDefault="0090743D" w:rsidP="008230A5">
      <w:pPr>
        <w:pStyle w:val="FootnoteText"/>
      </w:pPr>
      <w:r>
        <w:rPr>
          <w:rStyle w:val="FootnoteReference"/>
        </w:rPr>
        <w:footnoteRef/>
      </w:r>
      <w:r>
        <w:t xml:space="preserve"> </w:t>
      </w:r>
      <w:r w:rsidRPr="008230A5">
        <w:rPr>
          <w:sz w:val="18"/>
          <w:szCs w:val="18"/>
        </w:rPr>
        <w:t xml:space="preserve">In addition to </w:t>
      </w:r>
      <w:r>
        <w:rPr>
          <w:sz w:val="18"/>
          <w:szCs w:val="18"/>
        </w:rPr>
        <w:t xml:space="preserve">the </w:t>
      </w:r>
      <w:r w:rsidRPr="008230A5">
        <w:rPr>
          <w:sz w:val="18"/>
          <w:szCs w:val="18"/>
        </w:rPr>
        <w:t>SRG funding</w:t>
      </w:r>
      <w:r>
        <w:rPr>
          <w:sz w:val="18"/>
          <w:szCs w:val="18"/>
        </w:rPr>
        <w:t xml:space="preserve"> that is direct and supplemental funding for turnaround</w:t>
      </w:r>
      <w:r w:rsidRPr="008230A5">
        <w:rPr>
          <w:sz w:val="18"/>
          <w:szCs w:val="18"/>
        </w:rPr>
        <w:t xml:space="preserve">, districts and schools have access to and are </w:t>
      </w:r>
      <w:r>
        <w:rPr>
          <w:sz w:val="18"/>
          <w:szCs w:val="18"/>
        </w:rPr>
        <w:t>also</w:t>
      </w:r>
      <w:r w:rsidRPr="008230A5">
        <w:rPr>
          <w:sz w:val="18"/>
          <w:szCs w:val="18"/>
        </w:rPr>
        <w:t xml:space="preserve"> using supplemental funding through Race to the Top and existing Title I funding</w:t>
      </w:r>
      <w:r>
        <w:rPr>
          <w:sz w:val="18"/>
          <w:szCs w:val="18"/>
        </w:rPr>
        <w:t xml:space="preserve"> to support overall turnaround efforts. </w:t>
      </w:r>
    </w:p>
  </w:footnote>
  <w:footnote w:id="11">
    <w:p w:rsidR="0090743D" w:rsidRDefault="0090743D" w:rsidP="008230A5">
      <w:pPr>
        <w:pStyle w:val="FootnoteText"/>
      </w:pPr>
      <w:r>
        <w:rPr>
          <w:rStyle w:val="FootnoteReference"/>
        </w:rPr>
        <w:footnoteRef/>
      </w:r>
      <w:r>
        <w:t xml:space="preserve"> </w:t>
      </w:r>
      <w:r w:rsidRPr="00470F73">
        <w:rPr>
          <w:sz w:val="18"/>
          <w:szCs w:val="18"/>
        </w:rPr>
        <w:t>The analysis is b</w:t>
      </w:r>
      <w:r>
        <w:rPr>
          <w:sz w:val="18"/>
          <w:szCs w:val="18"/>
        </w:rPr>
        <w:t>ased on the two-year combined SR</w:t>
      </w:r>
      <w:r w:rsidRPr="00470F73">
        <w:rPr>
          <w:sz w:val="18"/>
          <w:szCs w:val="18"/>
        </w:rPr>
        <w:t>G and Bridge Grant funding allocate to Level 4 schools, during the 2010-11 and 2011-12 school years</w:t>
      </w:r>
      <w:r>
        <w:rPr>
          <w:sz w:val="18"/>
          <w:szCs w:val="18"/>
        </w:rPr>
        <w:t>. A summary of the methodology used in the budget analysis is provided in Appendix B</w:t>
      </w:r>
      <w:r w:rsidRPr="00470F73">
        <w:rPr>
          <w:sz w:val="18"/>
          <w:szCs w:val="18"/>
        </w:rPr>
        <w:t>.</w:t>
      </w:r>
      <w:r>
        <w:t xml:space="preserve"> </w:t>
      </w:r>
    </w:p>
  </w:footnote>
  <w:footnote w:id="12">
    <w:p w:rsidR="0090743D" w:rsidRPr="00FD5A90" w:rsidRDefault="0090743D">
      <w:pPr>
        <w:pStyle w:val="FootnoteText"/>
        <w:rPr>
          <w:sz w:val="18"/>
          <w:szCs w:val="18"/>
        </w:rPr>
      </w:pPr>
      <w:r w:rsidRPr="00FD5A90">
        <w:rPr>
          <w:rStyle w:val="FootnoteReference"/>
          <w:sz w:val="18"/>
          <w:szCs w:val="18"/>
        </w:rPr>
        <w:footnoteRef/>
      </w:r>
      <w:r w:rsidRPr="00FD5A90">
        <w:rPr>
          <w:sz w:val="18"/>
          <w:szCs w:val="18"/>
        </w:rPr>
        <w:t xml:space="preserve"> </w:t>
      </w:r>
      <w:r w:rsidRPr="00B7285A">
        <w:rPr>
          <w:sz w:val="18"/>
          <w:szCs w:val="18"/>
        </w:rPr>
        <w:t>Bridge Grant</w:t>
      </w:r>
      <w:r w:rsidRPr="00FD5A90">
        <w:rPr>
          <w:sz w:val="18"/>
          <w:szCs w:val="18"/>
        </w:rPr>
        <w:t xml:space="preserve"> funding was provided to the </w:t>
      </w:r>
      <w:proofErr w:type="gramStart"/>
      <w:r w:rsidRPr="00FD5A90">
        <w:rPr>
          <w:sz w:val="18"/>
          <w:szCs w:val="18"/>
        </w:rPr>
        <w:t>state’s</w:t>
      </w:r>
      <w:proofErr w:type="gramEnd"/>
      <w:r w:rsidRPr="00FD5A90">
        <w:rPr>
          <w:sz w:val="18"/>
          <w:szCs w:val="18"/>
        </w:rPr>
        <w:t xml:space="preserve"> lowest achieving schools to support planning </w:t>
      </w:r>
      <w:r>
        <w:rPr>
          <w:sz w:val="18"/>
          <w:szCs w:val="18"/>
        </w:rPr>
        <w:t>for Level 4 required Turnaround Plans.</w:t>
      </w:r>
    </w:p>
  </w:footnote>
  <w:footnote w:id="13">
    <w:p w:rsidR="0090743D" w:rsidRDefault="0090743D">
      <w:pPr>
        <w:pStyle w:val="FootnoteText"/>
      </w:pPr>
      <w:r>
        <w:rPr>
          <w:rStyle w:val="FootnoteReference"/>
        </w:rPr>
        <w:footnoteRef/>
      </w:r>
      <w:r>
        <w:t xml:space="preserve"> </w:t>
      </w:r>
      <w:r>
        <w:rPr>
          <w:sz w:val="18"/>
          <w:szCs w:val="18"/>
        </w:rPr>
        <w:t>Increasing learning time for adults and students by altering schedules or e</w:t>
      </w:r>
      <w:r w:rsidRPr="00BB3BA8">
        <w:rPr>
          <w:sz w:val="18"/>
          <w:szCs w:val="18"/>
        </w:rPr>
        <w:t>xtending the school day by approximately 300 hours over the school year was a requirement of the Turnaround and Transformation models.</w:t>
      </w:r>
    </w:p>
  </w:footnote>
  <w:footnote w:id="14">
    <w:p w:rsidR="0090743D" w:rsidRPr="0055466D" w:rsidRDefault="0090743D">
      <w:pPr>
        <w:pStyle w:val="FootnoteText"/>
        <w:rPr>
          <w:sz w:val="18"/>
          <w:szCs w:val="18"/>
        </w:rPr>
      </w:pPr>
      <w:r>
        <w:rPr>
          <w:rStyle w:val="FootnoteReference"/>
        </w:rPr>
        <w:footnoteRef/>
      </w:r>
      <w:r>
        <w:t xml:space="preserve"> </w:t>
      </w:r>
      <w:r>
        <w:rPr>
          <w:sz w:val="18"/>
          <w:szCs w:val="18"/>
        </w:rPr>
        <w:t>Districts with 2 or more SRG funded schools are included in tables displaying district information.</w:t>
      </w:r>
    </w:p>
  </w:footnote>
  <w:footnote w:id="15">
    <w:p w:rsidR="0090743D" w:rsidRPr="0090055E" w:rsidRDefault="0090743D" w:rsidP="00E8506C">
      <w:pPr>
        <w:pStyle w:val="FootnoteText"/>
        <w:rPr>
          <w:sz w:val="18"/>
          <w:szCs w:val="18"/>
        </w:rPr>
      </w:pPr>
      <w:r>
        <w:rPr>
          <w:rStyle w:val="FootnoteReference"/>
        </w:rPr>
        <w:footnoteRef/>
      </w:r>
      <w:r>
        <w:t xml:space="preserve"> </w:t>
      </w:r>
      <w:r>
        <w:rPr>
          <w:sz w:val="18"/>
          <w:szCs w:val="18"/>
        </w:rPr>
        <w:t xml:space="preserve">Funding for extended time and fringe was removed from this portion of the analysis because these are not monies that can be manipulated by the schools. We want to examine how schools use discretionary funding. </w:t>
      </w:r>
    </w:p>
  </w:footnote>
  <w:footnote w:id="16">
    <w:p w:rsidR="0090743D" w:rsidRDefault="0090743D" w:rsidP="00A679D6">
      <w:pPr>
        <w:pStyle w:val="FootnoteText"/>
      </w:pPr>
      <w:r>
        <w:rPr>
          <w:rStyle w:val="FootnoteReference"/>
        </w:rPr>
        <w:footnoteRef/>
      </w:r>
      <w:r w:rsidRPr="002E3AA6">
        <w:rPr>
          <w:sz w:val="18"/>
          <w:szCs w:val="18"/>
        </w:rPr>
        <w:t xml:space="preserve"> Among </w:t>
      </w:r>
      <w:r>
        <w:rPr>
          <w:sz w:val="18"/>
          <w:szCs w:val="18"/>
        </w:rPr>
        <w:t>Achievement</w:t>
      </w:r>
      <w:r w:rsidRPr="002E3AA6">
        <w:rPr>
          <w:sz w:val="18"/>
          <w:szCs w:val="18"/>
        </w:rPr>
        <w:t xml:space="preserve"> schools, Orchard Gardens allocated just </w:t>
      </w:r>
      <w:proofErr w:type="gramStart"/>
      <w:r w:rsidRPr="002E3AA6">
        <w:rPr>
          <w:sz w:val="18"/>
          <w:szCs w:val="18"/>
        </w:rPr>
        <w:t>under</w:t>
      </w:r>
      <w:proofErr w:type="gramEnd"/>
      <w:r w:rsidRPr="002E3AA6">
        <w:rPr>
          <w:sz w:val="18"/>
          <w:szCs w:val="18"/>
        </w:rPr>
        <w:t xml:space="preserve"> 1 million to the direct instruction of students, through a variety of contracts with providers and consultants. After removing Orchard Gardens from the data, gain schools still allocated a significantly higher percent of funds (33.1%) to direct instruction, compared to loss schools. </w:t>
      </w:r>
    </w:p>
  </w:footnote>
  <w:footnote w:id="17">
    <w:p w:rsidR="0090743D" w:rsidRPr="0090743D" w:rsidRDefault="0090743D">
      <w:pPr>
        <w:pStyle w:val="FootnoteText"/>
        <w:rPr>
          <w:sz w:val="16"/>
          <w:szCs w:val="16"/>
        </w:rPr>
      </w:pPr>
      <w:r w:rsidRPr="0090743D">
        <w:rPr>
          <w:rStyle w:val="FootnoteReference"/>
          <w:sz w:val="16"/>
          <w:szCs w:val="16"/>
        </w:rPr>
        <w:footnoteRef/>
      </w:r>
      <w:r w:rsidRPr="0090743D">
        <w:rPr>
          <w:sz w:val="16"/>
          <w:szCs w:val="16"/>
        </w:rPr>
        <w:t xml:space="preserve"> </w:t>
      </w:r>
      <w:r w:rsidRPr="0090743D">
        <w:rPr>
          <w:bCs/>
          <w:sz w:val="16"/>
          <w:szCs w:val="16"/>
          <w:lang w:eastAsia="ja-JP"/>
        </w:rPr>
        <w:t>A more comprehensive analysis of how districts are utilizing all funding—state and local, Title I and Race to the Top supplemental funding—would be required to state definitively that districts are using all “school improvement” dollars in fundamentally different ways.</w:t>
      </w:r>
    </w:p>
  </w:footnote>
  <w:footnote w:id="18">
    <w:p w:rsidR="0090743D" w:rsidRDefault="0090743D">
      <w:pPr>
        <w:pStyle w:val="FootnoteText"/>
      </w:pPr>
      <w:r>
        <w:rPr>
          <w:rStyle w:val="FootnoteReference"/>
        </w:rPr>
        <w:footnoteRef/>
      </w:r>
      <w:r w:rsidRPr="007845ED">
        <w:rPr>
          <w:sz w:val="18"/>
          <w:szCs w:val="18"/>
        </w:rPr>
        <w:t xml:space="preserve"> A deeper analysis of how districts have used SIG and Race to the </w:t>
      </w:r>
      <w:proofErr w:type="gramStart"/>
      <w:r w:rsidRPr="007845ED">
        <w:rPr>
          <w:sz w:val="18"/>
          <w:szCs w:val="18"/>
        </w:rPr>
        <w:t>Top  (</w:t>
      </w:r>
      <w:proofErr w:type="gramEnd"/>
      <w:r w:rsidRPr="007845ED">
        <w:rPr>
          <w:sz w:val="18"/>
          <w:szCs w:val="18"/>
        </w:rPr>
        <w:t xml:space="preserve">RTTT) funds may uncover stronger links between the use of external partners and consultants and student achievement. For instance, 18 % ($3.92 m) of non-extended learning time SIG funds (for 2010 – 2012) have been allocated to external partners and consultants. In contrast, districts across the state have used $6 million of RTTT funds to contract and purchase services from priority partners, focused primary on supporting Level 3 and Level 4 schools.  </w:t>
      </w:r>
    </w:p>
  </w:footnote>
  <w:footnote w:id="19">
    <w:p w:rsidR="0090743D" w:rsidRPr="00AC3005" w:rsidRDefault="0090743D">
      <w:pPr>
        <w:pStyle w:val="FootnoteText"/>
        <w:rPr>
          <w:sz w:val="18"/>
          <w:szCs w:val="18"/>
        </w:rPr>
      </w:pPr>
      <w:r>
        <w:rPr>
          <w:rStyle w:val="FootnoteReference"/>
        </w:rPr>
        <w:footnoteRef/>
      </w:r>
      <w:r>
        <w:t xml:space="preserve"> </w:t>
      </w:r>
      <w:r>
        <w:rPr>
          <w:sz w:val="18"/>
          <w:szCs w:val="18"/>
        </w:rPr>
        <w:t>The four intervention models are: Turnaround, Transformation, Restart, and Closure.</w:t>
      </w:r>
    </w:p>
  </w:footnote>
  <w:footnote w:id="20">
    <w:p w:rsidR="0090743D" w:rsidRPr="007F2652" w:rsidRDefault="0090743D" w:rsidP="00E8506C">
      <w:pPr>
        <w:rPr>
          <w:sz w:val="18"/>
          <w:szCs w:val="18"/>
        </w:rPr>
      </w:pPr>
      <w:r w:rsidRPr="007F2652">
        <w:rPr>
          <w:rStyle w:val="FootnoteReference"/>
          <w:sz w:val="18"/>
          <w:szCs w:val="18"/>
        </w:rPr>
        <w:footnoteRef/>
      </w:r>
      <w:r w:rsidRPr="007F2652">
        <w:rPr>
          <w:sz w:val="18"/>
          <w:szCs w:val="18"/>
        </w:rPr>
        <w:t xml:space="preserve"> Three of the 18 Transformation schools replaced over 50% of te</w:t>
      </w:r>
      <w:r>
        <w:rPr>
          <w:sz w:val="18"/>
          <w:szCs w:val="18"/>
        </w:rPr>
        <w:t>achers and 10 schools replaced</w:t>
      </w:r>
      <w:r w:rsidRPr="007F2652">
        <w:rPr>
          <w:sz w:val="18"/>
          <w:szCs w:val="18"/>
        </w:rPr>
        <w:t xml:space="preserve"> over 35% of teachers in 2010-11.</w:t>
      </w:r>
    </w:p>
  </w:footnote>
  <w:footnote w:id="21">
    <w:p w:rsidR="0090743D" w:rsidRPr="00567010" w:rsidRDefault="0090743D" w:rsidP="00E8506C">
      <w:pPr>
        <w:pStyle w:val="FootnoteText"/>
        <w:rPr>
          <w:sz w:val="18"/>
          <w:szCs w:val="18"/>
        </w:rPr>
      </w:pPr>
      <w:r w:rsidRPr="00567010">
        <w:rPr>
          <w:rStyle w:val="FootnoteReference"/>
          <w:sz w:val="18"/>
          <w:szCs w:val="18"/>
        </w:rPr>
        <w:footnoteRef/>
      </w:r>
      <w:r w:rsidRPr="00567010">
        <w:rPr>
          <w:sz w:val="18"/>
          <w:szCs w:val="18"/>
        </w:rPr>
        <w:t xml:space="preserve"> It is important to note that three of the </w:t>
      </w:r>
      <w:r>
        <w:rPr>
          <w:sz w:val="18"/>
          <w:szCs w:val="18"/>
        </w:rPr>
        <w:t>Achievement G</w:t>
      </w:r>
      <w:r w:rsidRPr="00567010">
        <w:rPr>
          <w:sz w:val="18"/>
          <w:szCs w:val="18"/>
        </w:rPr>
        <w:t xml:space="preserve">ain schools retained existing staff and provided a strong rationale for </w:t>
      </w:r>
      <w:r>
        <w:rPr>
          <w:sz w:val="18"/>
          <w:szCs w:val="18"/>
        </w:rPr>
        <w:t>doing so.</w:t>
      </w:r>
      <w:r w:rsidRPr="00567010">
        <w:rPr>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3D" w:rsidRPr="00316BAD" w:rsidRDefault="0090743D" w:rsidP="00316BAD">
    <w:pPr>
      <w:pStyle w:val="Header"/>
      <w:jc w:val="right"/>
      <w:rPr>
        <w:b/>
        <w:color w:val="365F91" w:themeColor="accent1" w:themeShade="B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3D" w:rsidRPr="00316BAD" w:rsidRDefault="0090743D" w:rsidP="000C2E9B">
    <w:pPr>
      <w:pStyle w:val="Header"/>
      <w:jc w:val="right"/>
      <w:rPr>
        <w:b/>
        <w:color w:val="365F91" w:themeColor="accent1" w:themeShade="BF"/>
      </w:rPr>
    </w:pPr>
    <w:r w:rsidRPr="00316BAD">
      <w:rPr>
        <w:b/>
        <w:color w:val="365F91" w:themeColor="accent1" w:themeShade="BF"/>
      </w:rPr>
      <w:t xml:space="preserve">Emerging and Sustaining Practices </w:t>
    </w:r>
    <w:r>
      <w:rPr>
        <w:b/>
        <w:color w:val="365F91" w:themeColor="accent1" w:themeShade="BF"/>
      </w:rPr>
      <w:t>for School Turnaround</w:t>
    </w:r>
  </w:p>
  <w:p w:rsidR="0090743D" w:rsidRDefault="009074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3D" w:rsidRPr="00316BAD" w:rsidRDefault="0090743D" w:rsidP="00316BAD">
    <w:pPr>
      <w:pStyle w:val="Header"/>
      <w:jc w:val="right"/>
      <w:rPr>
        <w:b/>
        <w:color w:val="365F91" w:themeColor="accent1" w:themeShade="BF"/>
      </w:rPr>
    </w:pPr>
    <w:r w:rsidRPr="00316BAD">
      <w:rPr>
        <w:b/>
        <w:color w:val="365F91" w:themeColor="accent1" w:themeShade="BF"/>
      </w:rPr>
      <w:t xml:space="preserve">Emerging and Sustaining Practices </w:t>
    </w:r>
    <w:r>
      <w:rPr>
        <w:b/>
        <w:color w:val="365F91" w:themeColor="accent1" w:themeShade="BF"/>
      </w:rPr>
      <w:t>for School Turnaround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3D" w:rsidRPr="007B66ED" w:rsidRDefault="0090743D" w:rsidP="007B66ED">
    <w:pPr>
      <w:pStyle w:val="Header"/>
      <w:jc w:val="right"/>
      <w:rPr>
        <w:b/>
        <w:color w:val="365F91" w:themeColor="accent1" w:themeShade="BF"/>
      </w:rPr>
    </w:pPr>
    <w:r w:rsidRPr="00316BAD">
      <w:rPr>
        <w:b/>
        <w:color w:val="365F91" w:themeColor="accent1" w:themeShade="BF"/>
      </w:rPr>
      <w:t xml:space="preserve">Emerging and Sustaining Practices </w:t>
    </w:r>
    <w:r>
      <w:rPr>
        <w:b/>
        <w:color w:val="365F91" w:themeColor="accent1" w:themeShade="BF"/>
      </w:rPr>
      <w:t>for School Turnaround</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3D" w:rsidRPr="0077157A" w:rsidRDefault="0090743D" w:rsidP="0077157A">
    <w:pPr>
      <w:pStyle w:val="Header"/>
      <w:rPr>
        <w:b/>
        <w:color w:val="365F91" w:themeColor="accent1" w:themeShade="BF"/>
        <w:sz w:val="28"/>
        <w:szCs w:val="28"/>
      </w:rPr>
    </w:pPr>
    <w:r w:rsidRPr="0077157A">
      <w:rPr>
        <w:b/>
        <w:color w:val="365F91" w:themeColor="accent1" w:themeShade="BF"/>
        <w:sz w:val="28"/>
        <w:szCs w:val="28"/>
      </w:rPr>
      <w:t>Executive Summary</w:t>
    </w:r>
  </w:p>
  <w:p w:rsidR="0090743D" w:rsidRPr="0077157A" w:rsidRDefault="0090743D" w:rsidP="0077157A">
    <w:pPr>
      <w:pStyle w:val="Header"/>
      <w:rPr>
        <w:b/>
        <w:color w:val="365F91" w:themeColor="accent1" w:themeShade="BF"/>
        <w:sz w:val="28"/>
        <w:szCs w:val="28"/>
      </w:rPr>
    </w:pPr>
    <w:r w:rsidRPr="0077157A">
      <w:rPr>
        <w:b/>
        <w:color w:val="365F91" w:themeColor="accent1" w:themeShade="BF"/>
        <w:sz w:val="28"/>
        <w:szCs w:val="28"/>
      </w:rPr>
      <w:t xml:space="preserve">Emerging and Sustaining Practices </w:t>
    </w:r>
    <w:r>
      <w:rPr>
        <w:b/>
        <w:color w:val="365F91" w:themeColor="accent1" w:themeShade="BF"/>
        <w:sz w:val="28"/>
        <w:szCs w:val="28"/>
      </w:rPr>
      <w:t>for School Turnaround</w:t>
    </w:r>
  </w:p>
  <w:p w:rsidR="0090743D" w:rsidRDefault="0090743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3D" w:rsidRPr="009F1462" w:rsidRDefault="0090743D" w:rsidP="009F1462">
    <w:pPr>
      <w:pStyle w:val="Header"/>
      <w:rPr>
        <w:b/>
        <w:color w:val="365F91" w:themeColor="accent1" w:themeShade="BF"/>
        <w:sz w:val="28"/>
        <w:szCs w:val="28"/>
      </w:rPr>
    </w:pPr>
    <w:r w:rsidRPr="0077157A">
      <w:rPr>
        <w:b/>
        <w:color w:val="365F91" w:themeColor="accent1" w:themeShade="BF"/>
        <w:sz w:val="28"/>
        <w:szCs w:val="28"/>
      </w:rPr>
      <w:t>Executive Summary</w:t>
    </w:r>
    <w:r>
      <w:rPr>
        <w:b/>
        <w:color w:val="365F91" w:themeColor="accent1" w:themeShade="BF"/>
        <w:sz w:val="28"/>
        <w:szCs w:val="28"/>
      </w:rPr>
      <w:t xml:space="preserve">: </w:t>
    </w:r>
    <w:r w:rsidRPr="0077157A">
      <w:rPr>
        <w:b/>
        <w:color w:val="365F91" w:themeColor="accent1" w:themeShade="BF"/>
        <w:sz w:val="28"/>
        <w:szCs w:val="28"/>
      </w:rPr>
      <w:t xml:space="preserve">Emerging and Sustaining Practices </w:t>
    </w:r>
    <w:r>
      <w:rPr>
        <w:b/>
        <w:color w:val="365F91" w:themeColor="accent1" w:themeShade="BF"/>
        <w:sz w:val="28"/>
        <w:szCs w:val="28"/>
      </w:rPr>
      <w:t>for School Turnaround</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3D" w:rsidRPr="00316BAD" w:rsidRDefault="0090743D" w:rsidP="00316BAD">
    <w:pPr>
      <w:pStyle w:val="Header"/>
      <w:jc w:val="right"/>
      <w:rPr>
        <w:b/>
        <w:color w:val="365F91" w:themeColor="accent1" w:themeShade="BF"/>
      </w:rPr>
    </w:pPr>
    <w:r w:rsidRPr="00316BAD">
      <w:rPr>
        <w:b/>
        <w:color w:val="365F91" w:themeColor="accent1" w:themeShade="BF"/>
      </w:rPr>
      <w:t xml:space="preserve">Emerging and Sustaining Practices </w:t>
    </w:r>
    <w:r>
      <w:rPr>
        <w:b/>
        <w:color w:val="365F91" w:themeColor="accent1" w:themeShade="BF"/>
      </w:rPr>
      <w:t>for School Turnaround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5F9"/>
    <w:multiLevelType w:val="hybridMultilevel"/>
    <w:tmpl w:val="39F8410E"/>
    <w:lvl w:ilvl="0" w:tplc="E4CC24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073774"/>
    <w:multiLevelType w:val="hybridMultilevel"/>
    <w:tmpl w:val="56D6DCCE"/>
    <w:lvl w:ilvl="0" w:tplc="3FE0BFF6">
      <w:start w:val="2"/>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357D0E"/>
    <w:multiLevelType w:val="hybridMultilevel"/>
    <w:tmpl w:val="25E6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E0901"/>
    <w:multiLevelType w:val="hybridMultilevel"/>
    <w:tmpl w:val="64768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05116"/>
    <w:multiLevelType w:val="hybridMultilevel"/>
    <w:tmpl w:val="2332A03E"/>
    <w:lvl w:ilvl="0" w:tplc="F214A9EE">
      <w:start w:val="1"/>
      <w:numFmt w:val="bullet"/>
      <w:lvlText w:val="•"/>
      <w:lvlJc w:val="left"/>
      <w:pPr>
        <w:tabs>
          <w:tab w:val="num" w:pos="720"/>
        </w:tabs>
        <w:ind w:left="720" w:hanging="360"/>
      </w:pPr>
      <w:rPr>
        <w:rFonts w:ascii="Arial" w:hAnsi="Arial" w:hint="default"/>
      </w:rPr>
    </w:lvl>
    <w:lvl w:ilvl="1" w:tplc="8A1E0294" w:tentative="1">
      <w:start w:val="1"/>
      <w:numFmt w:val="bullet"/>
      <w:lvlText w:val="•"/>
      <w:lvlJc w:val="left"/>
      <w:pPr>
        <w:tabs>
          <w:tab w:val="num" w:pos="1440"/>
        </w:tabs>
        <w:ind w:left="1440" w:hanging="360"/>
      </w:pPr>
      <w:rPr>
        <w:rFonts w:ascii="Arial" w:hAnsi="Arial" w:hint="default"/>
      </w:rPr>
    </w:lvl>
    <w:lvl w:ilvl="2" w:tplc="32DC77C2" w:tentative="1">
      <w:start w:val="1"/>
      <w:numFmt w:val="bullet"/>
      <w:lvlText w:val="•"/>
      <w:lvlJc w:val="left"/>
      <w:pPr>
        <w:tabs>
          <w:tab w:val="num" w:pos="2160"/>
        </w:tabs>
        <w:ind w:left="2160" w:hanging="360"/>
      </w:pPr>
      <w:rPr>
        <w:rFonts w:ascii="Arial" w:hAnsi="Arial" w:hint="default"/>
      </w:rPr>
    </w:lvl>
    <w:lvl w:ilvl="3" w:tplc="DBC23BC6" w:tentative="1">
      <w:start w:val="1"/>
      <w:numFmt w:val="bullet"/>
      <w:lvlText w:val="•"/>
      <w:lvlJc w:val="left"/>
      <w:pPr>
        <w:tabs>
          <w:tab w:val="num" w:pos="2880"/>
        </w:tabs>
        <w:ind w:left="2880" w:hanging="360"/>
      </w:pPr>
      <w:rPr>
        <w:rFonts w:ascii="Arial" w:hAnsi="Arial" w:hint="default"/>
      </w:rPr>
    </w:lvl>
    <w:lvl w:ilvl="4" w:tplc="A65ECE46" w:tentative="1">
      <w:start w:val="1"/>
      <w:numFmt w:val="bullet"/>
      <w:lvlText w:val="•"/>
      <w:lvlJc w:val="left"/>
      <w:pPr>
        <w:tabs>
          <w:tab w:val="num" w:pos="3600"/>
        </w:tabs>
        <w:ind w:left="3600" w:hanging="360"/>
      </w:pPr>
      <w:rPr>
        <w:rFonts w:ascii="Arial" w:hAnsi="Arial" w:hint="default"/>
      </w:rPr>
    </w:lvl>
    <w:lvl w:ilvl="5" w:tplc="F4980EC2" w:tentative="1">
      <w:start w:val="1"/>
      <w:numFmt w:val="bullet"/>
      <w:lvlText w:val="•"/>
      <w:lvlJc w:val="left"/>
      <w:pPr>
        <w:tabs>
          <w:tab w:val="num" w:pos="4320"/>
        </w:tabs>
        <w:ind w:left="4320" w:hanging="360"/>
      </w:pPr>
      <w:rPr>
        <w:rFonts w:ascii="Arial" w:hAnsi="Arial" w:hint="default"/>
      </w:rPr>
    </w:lvl>
    <w:lvl w:ilvl="6" w:tplc="A0A423EE" w:tentative="1">
      <w:start w:val="1"/>
      <w:numFmt w:val="bullet"/>
      <w:lvlText w:val="•"/>
      <w:lvlJc w:val="left"/>
      <w:pPr>
        <w:tabs>
          <w:tab w:val="num" w:pos="5040"/>
        </w:tabs>
        <w:ind w:left="5040" w:hanging="360"/>
      </w:pPr>
      <w:rPr>
        <w:rFonts w:ascii="Arial" w:hAnsi="Arial" w:hint="default"/>
      </w:rPr>
    </w:lvl>
    <w:lvl w:ilvl="7" w:tplc="D3DC3D62" w:tentative="1">
      <w:start w:val="1"/>
      <w:numFmt w:val="bullet"/>
      <w:lvlText w:val="•"/>
      <w:lvlJc w:val="left"/>
      <w:pPr>
        <w:tabs>
          <w:tab w:val="num" w:pos="5760"/>
        </w:tabs>
        <w:ind w:left="5760" w:hanging="360"/>
      </w:pPr>
      <w:rPr>
        <w:rFonts w:ascii="Arial" w:hAnsi="Arial" w:hint="default"/>
      </w:rPr>
    </w:lvl>
    <w:lvl w:ilvl="8" w:tplc="24726B46" w:tentative="1">
      <w:start w:val="1"/>
      <w:numFmt w:val="bullet"/>
      <w:lvlText w:val="•"/>
      <w:lvlJc w:val="left"/>
      <w:pPr>
        <w:tabs>
          <w:tab w:val="num" w:pos="6480"/>
        </w:tabs>
        <w:ind w:left="6480" w:hanging="360"/>
      </w:pPr>
      <w:rPr>
        <w:rFonts w:ascii="Arial" w:hAnsi="Arial" w:hint="default"/>
      </w:rPr>
    </w:lvl>
  </w:abstractNum>
  <w:abstractNum w:abstractNumId="5">
    <w:nsid w:val="12142D96"/>
    <w:multiLevelType w:val="hybridMultilevel"/>
    <w:tmpl w:val="16EE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70FFE"/>
    <w:multiLevelType w:val="hybridMultilevel"/>
    <w:tmpl w:val="DFC0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C62F8"/>
    <w:multiLevelType w:val="hybridMultilevel"/>
    <w:tmpl w:val="F3F6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542A16"/>
    <w:multiLevelType w:val="hybridMultilevel"/>
    <w:tmpl w:val="4D007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C5061"/>
    <w:multiLevelType w:val="hybridMultilevel"/>
    <w:tmpl w:val="C7246BCA"/>
    <w:lvl w:ilvl="0" w:tplc="E4CC24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B6534"/>
    <w:multiLevelType w:val="hybridMultilevel"/>
    <w:tmpl w:val="6B7C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03876"/>
    <w:multiLevelType w:val="hybridMultilevel"/>
    <w:tmpl w:val="76A06C94"/>
    <w:lvl w:ilvl="0" w:tplc="E4CC24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2B5E39"/>
    <w:multiLevelType w:val="hybridMultilevel"/>
    <w:tmpl w:val="E9AE49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820E35"/>
    <w:multiLevelType w:val="hybridMultilevel"/>
    <w:tmpl w:val="8750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C40A48"/>
    <w:multiLevelType w:val="hybridMultilevel"/>
    <w:tmpl w:val="A3CA0F80"/>
    <w:lvl w:ilvl="0" w:tplc="F266FD9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E00C8F"/>
    <w:multiLevelType w:val="hybridMultilevel"/>
    <w:tmpl w:val="4428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E4DB2"/>
    <w:multiLevelType w:val="hybridMultilevel"/>
    <w:tmpl w:val="E39EDCEE"/>
    <w:lvl w:ilvl="0" w:tplc="711A73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B2827"/>
    <w:multiLevelType w:val="hybridMultilevel"/>
    <w:tmpl w:val="A120FA80"/>
    <w:lvl w:ilvl="0" w:tplc="04090003">
      <w:start w:val="1"/>
      <w:numFmt w:val="bullet"/>
      <w:lvlText w:val="o"/>
      <w:lvlJc w:val="left"/>
      <w:pPr>
        <w:ind w:left="360" w:hanging="360"/>
      </w:pPr>
      <w:rPr>
        <w:rFonts w:ascii="Courier New" w:hAnsi="Courier New" w:hint="default"/>
      </w:rPr>
    </w:lvl>
    <w:lvl w:ilvl="1" w:tplc="EED64CB0">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C96CDCBA">
      <w:start w:val="12"/>
      <w:numFmt w:val="bullet"/>
      <w:lvlText w:val="-"/>
      <w:lvlJc w:val="left"/>
      <w:pPr>
        <w:ind w:left="2520" w:hanging="360"/>
      </w:pPr>
      <w:rPr>
        <w:rFonts w:ascii="Times New Roman" w:eastAsiaTheme="minorEastAsia"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224CE2"/>
    <w:multiLevelType w:val="hybridMultilevel"/>
    <w:tmpl w:val="7152EAFC"/>
    <w:lvl w:ilvl="0" w:tplc="04090003">
      <w:start w:val="1"/>
      <w:numFmt w:val="bullet"/>
      <w:lvlText w:val="o"/>
      <w:lvlJc w:val="left"/>
      <w:pPr>
        <w:ind w:left="360" w:hanging="360"/>
      </w:pPr>
      <w:rPr>
        <w:rFonts w:ascii="Courier New" w:hAnsi="Courier New"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6D1ED1"/>
    <w:multiLevelType w:val="hybridMultilevel"/>
    <w:tmpl w:val="8294D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170265"/>
    <w:multiLevelType w:val="hybridMultilevel"/>
    <w:tmpl w:val="FD70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667334"/>
    <w:multiLevelType w:val="hybridMultilevel"/>
    <w:tmpl w:val="8E827E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C03C75"/>
    <w:multiLevelType w:val="hybridMultilevel"/>
    <w:tmpl w:val="0A14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BD11D7"/>
    <w:multiLevelType w:val="hybridMultilevel"/>
    <w:tmpl w:val="4AC2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75088"/>
    <w:multiLevelType w:val="hybridMultilevel"/>
    <w:tmpl w:val="E5A443E2"/>
    <w:lvl w:ilvl="0" w:tplc="3FE0BF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645BE7"/>
    <w:multiLevelType w:val="hybridMultilevel"/>
    <w:tmpl w:val="D530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0835B9"/>
    <w:multiLevelType w:val="hybridMultilevel"/>
    <w:tmpl w:val="68701D52"/>
    <w:lvl w:ilvl="0" w:tplc="A3DE0F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D0654D"/>
    <w:multiLevelType w:val="hybridMultilevel"/>
    <w:tmpl w:val="3174A6C4"/>
    <w:lvl w:ilvl="0" w:tplc="3CE473E0">
      <w:start w:val="1"/>
      <w:numFmt w:val="bullet"/>
      <w:lvlText w:val="•"/>
      <w:lvlJc w:val="left"/>
      <w:pPr>
        <w:tabs>
          <w:tab w:val="num" w:pos="720"/>
        </w:tabs>
        <w:ind w:left="720" w:hanging="360"/>
      </w:pPr>
      <w:rPr>
        <w:rFonts w:ascii="Arial" w:hAnsi="Arial" w:hint="default"/>
      </w:rPr>
    </w:lvl>
    <w:lvl w:ilvl="1" w:tplc="D3CA8574" w:tentative="1">
      <w:start w:val="1"/>
      <w:numFmt w:val="bullet"/>
      <w:lvlText w:val="•"/>
      <w:lvlJc w:val="left"/>
      <w:pPr>
        <w:tabs>
          <w:tab w:val="num" w:pos="1440"/>
        </w:tabs>
        <w:ind w:left="1440" w:hanging="360"/>
      </w:pPr>
      <w:rPr>
        <w:rFonts w:ascii="Arial" w:hAnsi="Arial" w:hint="default"/>
      </w:rPr>
    </w:lvl>
    <w:lvl w:ilvl="2" w:tplc="348082FE" w:tentative="1">
      <w:start w:val="1"/>
      <w:numFmt w:val="bullet"/>
      <w:lvlText w:val="•"/>
      <w:lvlJc w:val="left"/>
      <w:pPr>
        <w:tabs>
          <w:tab w:val="num" w:pos="2160"/>
        </w:tabs>
        <w:ind w:left="2160" w:hanging="360"/>
      </w:pPr>
      <w:rPr>
        <w:rFonts w:ascii="Arial" w:hAnsi="Arial" w:hint="default"/>
      </w:rPr>
    </w:lvl>
    <w:lvl w:ilvl="3" w:tplc="D97854EA" w:tentative="1">
      <w:start w:val="1"/>
      <w:numFmt w:val="bullet"/>
      <w:lvlText w:val="•"/>
      <w:lvlJc w:val="left"/>
      <w:pPr>
        <w:tabs>
          <w:tab w:val="num" w:pos="2880"/>
        </w:tabs>
        <w:ind w:left="2880" w:hanging="360"/>
      </w:pPr>
      <w:rPr>
        <w:rFonts w:ascii="Arial" w:hAnsi="Arial" w:hint="default"/>
      </w:rPr>
    </w:lvl>
    <w:lvl w:ilvl="4" w:tplc="02EEE2D8" w:tentative="1">
      <w:start w:val="1"/>
      <w:numFmt w:val="bullet"/>
      <w:lvlText w:val="•"/>
      <w:lvlJc w:val="left"/>
      <w:pPr>
        <w:tabs>
          <w:tab w:val="num" w:pos="3600"/>
        </w:tabs>
        <w:ind w:left="3600" w:hanging="360"/>
      </w:pPr>
      <w:rPr>
        <w:rFonts w:ascii="Arial" w:hAnsi="Arial" w:hint="default"/>
      </w:rPr>
    </w:lvl>
    <w:lvl w:ilvl="5" w:tplc="21AAD274" w:tentative="1">
      <w:start w:val="1"/>
      <w:numFmt w:val="bullet"/>
      <w:lvlText w:val="•"/>
      <w:lvlJc w:val="left"/>
      <w:pPr>
        <w:tabs>
          <w:tab w:val="num" w:pos="4320"/>
        </w:tabs>
        <w:ind w:left="4320" w:hanging="360"/>
      </w:pPr>
      <w:rPr>
        <w:rFonts w:ascii="Arial" w:hAnsi="Arial" w:hint="default"/>
      </w:rPr>
    </w:lvl>
    <w:lvl w:ilvl="6" w:tplc="2B16331A" w:tentative="1">
      <w:start w:val="1"/>
      <w:numFmt w:val="bullet"/>
      <w:lvlText w:val="•"/>
      <w:lvlJc w:val="left"/>
      <w:pPr>
        <w:tabs>
          <w:tab w:val="num" w:pos="5040"/>
        </w:tabs>
        <w:ind w:left="5040" w:hanging="360"/>
      </w:pPr>
      <w:rPr>
        <w:rFonts w:ascii="Arial" w:hAnsi="Arial" w:hint="default"/>
      </w:rPr>
    </w:lvl>
    <w:lvl w:ilvl="7" w:tplc="C16A8244" w:tentative="1">
      <w:start w:val="1"/>
      <w:numFmt w:val="bullet"/>
      <w:lvlText w:val="•"/>
      <w:lvlJc w:val="left"/>
      <w:pPr>
        <w:tabs>
          <w:tab w:val="num" w:pos="5760"/>
        </w:tabs>
        <w:ind w:left="5760" w:hanging="360"/>
      </w:pPr>
      <w:rPr>
        <w:rFonts w:ascii="Arial" w:hAnsi="Arial" w:hint="default"/>
      </w:rPr>
    </w:lvl>
    <w:lvl w:ilvl="8" w:tplc="CF489AEA" w:tentative="1">
      <w:start w:val="1"/>
      <w:numFmt w:val="bullet"/>
      <w:lvlText w:val="•"/>
      <w:lvlJc w:val="left"/>
      <w:pPr>
        <w:tabs>
          <w:tab w:val="num" w:pos="6480"/>
        </w:tabs>
        <w:ind w:left="6480" w:hanging="360"/>
      </w:pPr>
      <w:rPr>
        <w:rFonts w:ascii="Arial" w:hAnsi="Arial" w:hint="default"/>
      </w:rPr>
    </w:lvl>
  </w:abstractNum>
  <w:abstractNum w:abstractNumId="28">
    <w:nsid w:val="6E0F163A"/>
    <w:multiLevelType w:val="hybridMultilevel"/>
    <w:tmpl w:val="CF92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AC1AFA"/>
    <w:multiLevelType w:val="hybridMultilevel"/>
    <w:tmpl w:val="14C2DAEE"/>
    <w:lvl w:ilvl="0" w:tplc="080283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F02091"/>
    <w:multiLevelType w:val="hybridMultilevel"/>
    <w:tmpl w:val="2CBA54A6"/>
    <w:lvl w:ilvl="0" w:tplc="3F38BA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32770E"/>
    <w:multiLevelType w:val="hybridMultilevel"/>
    <w:tmpl w:val="F0046DF4"/>
    <w:lvl w:ilvl="0" w:tplc="968C1A94">
      <w:start w:val="1"/>
      <w:numFmt w:val="decimal"/>
      <w:lvlText w:val="%1."/>
      <w:lvlJc w:val="left"/>
      <w:pPr>
        <w:ind w:left="720" w:hanging="360"/>
      </w:pPr>
      <w:rPr>
        <w:rFonts w:eastAsiaTheme="minorEastAsia"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92766A"/>
    <w:multiLevelType w:val="hybridMultilevel"/>
    <w:tmpl w:val="1268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3"/>
  </w:num>
  <w:num w:numId="4">
    <w:abstractNumId w:val="28"/>
  </w:num>
  <w:num w:numId="5">
    <w:abstractNumId w:val="20"/>
  </w:num>
  <w:num w:numId="6">
    <w:abstractNumId w:val="5"/>
  </w:num>
  <w:num w:numId="7">
    <w:abstractNumId w:val="23"/>
  </w:num>
  <w:num w:numId="8">
    <w:abstractNumId w:val="2"/>
  </w:num>
  <w:num w:numId="9">
    <w:abstractNumId w:val="1"/>
  </w:num>
  <w:num w:numId="10">
    <w:abstractNumId w:val="27"/>
  </w:num>
  <w:num w:numId="11">
    <w:abstractNumId w:val="4"/>
  </w:num>
  <w:num w:numId="12">
    <w:abstractNumId w:val="14"/>
  </w:num>
  <w:num w:numId="13">
    <w:abstractNumId w:val="10"/>
  </w:num>
  <w:num w:numId="14">
    <w:abstractNumId w:val="31"/>
  </w:num>
  <w:num w:numId="15">
    <w:abstractNumId w:val="18"/>
  </w:num>
  <w:num w:numId="16">
    <w:abstractNumId w:val="25"/>
  </w:num>
  <w:num w:numId="17">
    <w:abstractNumId w:val="24"/>
  </w:num>
  <w:num w:numId="18">
    <w:abstractNumId w:val="0"/>
  </w:num>
  <w:num w:numId="19">
    <w:abstractNumId w:val="11"/>
  </w:num>
  <w:num w:numId="20">
    <w:abstractNumId w:val="9"/>
  </w:num>
  <w:num w:numId="21">
    <w:abstractNumId w:val="17"/>
  </w:num>
  <w:num w:numId="22">
    <w:abstractNumId w:val="16"/>
  </w:num>
  <w:num w:numId="23">
    <w:abstractNumId w:val="30"/>
  </w:num>
  <w:num w:numId="24">
    <w:abstractNumId w:val="26"/>
  </w:num>
  <w:num w:numId="25">
    <w:abstractNumId w:val="21"/>
  </w:num>
  <w:num w:numId="26">
    <w:abstractNumId w:val="29"/>
  </w:num>
  <w:num w:numId="27">
    <w:abstractNumId w:val="7"/>
  </w:num>
  <w:num w:numId="28">
    <w:abstractNumId w:val="8"/>
  </w:num>
  <w:num w:numId="29">
    <w:abstractNumId w:val="32"/>
  </w:num>
  <w:num w:numId="30">
    <w:abstractNumId w:val="15"/>
  </w:num>
  <w:num w:numId="31">
    <w:abstractNumId w:val="19"/>
  </w:num>
  <w:num w:numId="32">
    <w:abstractNumId w:val="6"/>
  </w:num>
  <w:num w:numId="33">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1266"/>
    <o:shapelayout v:ext="edit">
      <o:idmap v:ext="edit" data="6"/>
    </o:shapelayout>
  </w:hdrShapeDefaults>
  <w:footnotePr>
    <w:footnote w:id="-1"/>
    <w:footnote w:id="0"/>
  </w:footnotePr>
  <w:endnotePr>
    <w:endnote w:id="-1"/>
    <w:endnote w:id="0"/>
  </w:endnotePr>
  <w:compat>
    <w:useFELayout/>
  </w:compat>
  <w:rsids>
    <w:rsidRoot w:val="00E562C2"/>
    <w:rsid w:val="00005816"/>
    <w:rsid w:val="000175A3"/>
    <w:rsid w:val="00020F77"/>
    <w:rsid w:val="00040AE4"/>
    <w:rsid w:val="000546D4"/>
    <w:rsid w:val="00055AE9"/>
    <w:rsid w:val="00062E2B"/>
    <w:rsid w:val="00070D22"/>
    <w:rsid w:val="00074572"/>
    <w:rsid w:val="000775E3"/>
    <w:rsid w:val="00096B47"/>
    <w:rsid w:val="000A6DB7"/>
    <w:rsid w:val="000B7BDC"/>
    <w:rsid w:val="000C2E9B"/>
    <w:rsid w:val="000F06D5"/>
    <w:rsid w:val="000F565C"/>
    <w:rsid w:val="00100BF5"/>
    <w:rsid w:val="00100D8C"/>
    <w:rsid w:val="0011041D"/>
    <w:rsid w:val="0011399E"/>
    <w:rsid w:val="00117E63"/>
    <w:rsid w:val="001206D9"/>
    <w:rsid w:val="001240BF"/>
    <w:rsid w:val="00127564"/>
    <w:rsid w:val="0012764A"/>
    <w:rsid w:val="001435D6"/>
    <w:rsid w:val="00143C53"/>
    <w:rsid w:val="00145FF0"/>
    <w:rsid w:val="001703FC"/>
    <w:rsid w:val="001964C5"/>
    <w:rsid w:val="001A487A"/>
    <w:rsid w:val="001A500C"/>
    <w:rsid w:val="001D22F2"/>
    <w:rsid w:val="001D4FCC"/>
    <w:rsid w:val="001E33BA"/>
    <w:rsid w:val="001E4CC1"/>
    <w:rsid w:val="001F157B"/>
    <w:rsid w:val="002014BD"/>
    <w:rsid w:val="00214400"/>
    <w:rsid w:val="00214A4A"/>
    <w:rsid w:val="002216AC"/>
    <w:rsid w:val="00234300"/>
    <w:rsid w:val="002358E7"/>
    <w:rsid w:val="0027593C"/>
    <w:rsid w:val="00280353"/>
    <w:rsid w:val="002871F5"/>
    <w:rsid w:val="00287740"/>
    <w:rsid w:val="002940D3"/>
    <w:rsid w:val="002965A3"/>
    <w:rsid w:val="002B7CCD"/>
    <w:rsid w:val="002C48F0"/>
    <w:rsid w:val="002C589A"/>
    <w:rsid w:val="002E3AA6"/>
    <w:rsid w:val="002E7D82"/>
    <w:rsid w:val="00316BAD"/>
    <w:rsid w:val="00324168"/>
    <w:rsid w:val="00343C33"/>
    <w:rsid w:val="00346920"/>
    <w:rsid w:val="00371626"/>
    <w:rsid w:val="0037386F"/>
    <w:rsid w:val="00382C54"/>
    <w:rsid w:val="00396A29"/>
    <w:rsid w:val="003A622F"/>
    <w:rsid w:val="003F11BB"/>
    <w:rsid w:val="003F2070"/>
    <w:rsid w:val="004012AD"/>
    <w:rsid w:val="0040528C"/>
    <w:rsid w:val="00406139"/>
    <w:rsid w:val="00413415"/>
    <w:rsid w:val="00425467"/>
    <w:rsid w:val="00441DEB"/>
    <w:rsid w:val="00450C26"/>
    <w:rsid w:val="00470F73"/>
    <w:rsid w:val="00491090"/>
    <w:rsid w:val="004B0976"/>
    <w:rsid w:val="004C225C"/>
    <w:rsid w:val="004F04B0"/>
    <w:rsid w:val="004F0734"/>
    <w:rsid w:val="00515C1C"/>
    <w:rsid w:val="00515C4D"/>
    <w:rsid w:val="0052077E"/>
    <w:rsid w:val="00532337"/>
    <w:rsid w:val="005341FD"/>
    <w:rsid w:val="005349B5"/>
    <w:rsid w:val="00536040"/>
    <w:rsid w:val="0055466D"/>
    <w:rsid w:val="00573C4A"/>
    <w:rsid w:val="00581820"/>
    <w:rsid w:val="005823F8"/>
    <w:rsid w:val="005A3A9D"/>
    <w:rsid w:val="005A3F35"/>
    <w:rsid w:val="005A6C37"/>
    <w:rsid w:val="005A6C43"/>
    <w:rsid w:val="005B4811"/>
    <w:rsid w:val="005C2C61"/>
    <w:rsid w:val="005D51C4"/>
    <w:rsid w:val="005E0867"/>
    <w:rsid w:val="005E192A"/>
    <w:rsid w:val="005F7898"/>
    <w:rsid w:val="00603A54"/>
    <w:rsid w:val="00605E7C"/>
    <w:rsid w:val="00607C1C"/>
    <w:rsid w:val="00625AD8"/>
    <w:rsid w:val="00634196"/>
    <w:rsid w:val="00637E6A"/>
    <w:rsid w:val="00646508"/>
    <w:rsid w:val="00652646"/>
    <w:rsid w:val="00660BA2"/>
    <w:rsid w:val="006661D2"/>
    <w:rsid w:val="00682E26"/>
    <w:rsid w:val="00683C42"/>
    <w:rsid w:val="006870E0"/>
    <w:rsid w:val="00691BCB"/>
    <w:rsid w:val="00696058"/>
    <w:rsid w:val="00696C03"/>
    <w:rsid w:val="006A0676"/>
    <w:rsid w:val="006A46FB"/>
    <w:rsid w:val="006B45CB"/>
    <w:rsid w:val="006D18DA"/>
    <w:rsid w:val="006D3AC1"/>
    <w:rsid w:val="006E0F04"/>
    <w:rsid w:val="006F7E45"/>
    <w:rsid w:val="00701157"/>
    <w:rsid w:val="00701CAF"/>
    <w:rsid w:val="00702AE6"/>
    <w:rsid w:val="00704ED7"/>
    <w:rsid w:val="00711861"/>
    <w:rsid w:val="0071519E"/>
    <w:rsid w:val="0072431C"/>
    <w:rsid w:val="007267FB"/>
    <w:rsid w:val="00726C38"/>
    <w:rsid w:val="0073707B"/>
    <w:rsid w:val="00737B1A"/>
    <w:rsid w:val="0075440C"/>
    <w:rsid w:val="0075447A"/>
    <w:rsid w:val="00765680"/>
    <w:rsid w:val="0077157A"/>
    <w:rsid w:val="007810FE"/>
    <w:rsid w:val="007845ED"/>
    <w:rsid w:val="00786BA8"/>
    <w:rsid w:val="00787C18"/>
    <w:rsid w:val="007909CD"/>
    <w:rsid w:val="007A12FC"/>
    <w:rsid w:val="007A2668"/>
    <w:rsid w:val="007A52EE"/>
    <w:rsid w:val="007B66ED"/>
    <w:rsid w:val="007C0088"/>
    <w:rsid w:val="007C1664"/>
    <w:rsid w:val="007D193B"/>
    <w:rsid w:val="007D5A01"/>
    <w:rsid w:val="007E7203"/>
    <w:rsid w:val="007F1E06"/>
    <w:rsid w:val="00801FB4"/>
    <w:rsid w:val="00804AB3"/>
    <w:rsid w:val="00806051"/>
    <w:rsid w:val="008077E9"/>
    <w:rsid w:val="00812F83"/>
    <w:rsid w:val="008230A5"/>
    <w:rsid w:val="00825995"/>
    <w:rsid w:val="008319B0"/>
    <w:rsid w:val="0084663F"/>
    <w:rsid w:val="008476BC"/>
    <w:rsid w:val="0085062F"/>
    <w:rsid w:val="00857E53"/>
    <w:rsid w:val="008700D4"/>
    <w:rsid w:val="008718FA"/>
    <w:rsid w:val="00875B30"/>
    <w:rsid w:val="00883607"/>
    <w:rsid w:val="00884FD5"/>
    <w:rsid w:val="00887672"/>
    <w:rsid w:val="00887C34"/>
    <w:rsid w:val="008A0E45"/>
    <w:rsid w:val="008A2774"/>
    <w:rsid w:val="008A4C0F"/>
    <w:rsid w:val="008A63EC"/>
    <w:rsid w:val="008B16B9"/>
    <w:rsid w:val="008D0823"/>
    <w:rsid w:val="008D7927"/>
    <w:rsid w:val="008E7D3E"/>
    <w:rsid w:val="008F5906"/>
    <w:rsid w:val="0090743D"/>
    <w:rsid w:val="009177F2"/>
    <w:rsid w:val="00927F1A"/>
    <w:rsid w:val="009304B1"/>
    <w:rsid w:val="009422C5"/>
    <w:rsid w:val="00944B8C"/>
    <w:rsid w:val="0096177A"/>
    <w:rsid w:val="009663CA"/>
    <w:rsid w:val="00966AFB"/>
    <w:rsid w:val="00983BD0"/>
    <w:rsid w:val="009864FB"/>
    <w:rsid w:val="00993BBB"/>
    <w:rsid w:val="00995061"/>
    <w:rsid w:val="009D2DBC"/>
    <w:rsid w:val="009D46D1"/>
    <w:rsid w:val="009D4E48"/>
    <w:rsid w:val="009D77D7"/>
    <w:rsid w:val="009E0822"/>
    <w:rsid w:val="009E5235"/>
    <w:rsid w:val="009F1462"/>
    <w:rsid w:val="009F64F0"/>
    <w:rsid w:val="009F70DD"/>
    <w:rsid w:val="00A01FE5"/>
    <w:rsid w:val="00A1256E"/>
    <w:rsid w:val="00A15753"/>
    <w:rsid w:val="00A31424"/>
    <w:rsid w:val="00A3357E"/>
    <w:rsid w:val="00A41B57"/>
    <w:rsid w:val="00A56439"/>
    <w:rsid w:val="00A6538F"/>
    <w:rsid w:val="00A679D6"/>
    <w:rsid w:val="00A67DD7"/>
    <w:rsid w:val="00A75C2C"/>
    <w:rsid w:val="00A82005"/>
    <w:rsid w:val="00A83486"/>
    <w:rsid w:val="00A87DC0"/>
    <w:rsid w:val="00A9676C"/>
    <w:rsid w:val="00A97869"/>
    <w:rsid w:val="00A9787C"/>
    <w:rsid w:val="00AA3DCA"/>
    <w:rsid w:val="00AA4DE6"/>
    <w:rsid w:val="00AA5D5F"/>
    <w:rsid w:val="00AA5D63"/>
    <w:rsid w:val="00AB024E"/>
    <w:rsid w:val="00AB050B"/>
    <w:rsid w:val="00AB2DC4"/>
    <w:rsid w:val="00AC23B7"/>
    <w:rsid w:val="00AC3005"/>
    <w:rsid w:val="00AC381B"/>
    <w:rsid w:val="00AC5542"/>
    <w:rsid w:val="00AD7443"/>
    <w:rsid w:val="00AF593F"/>
    <w:rsid w:val="00B0072C"/>
    <w:rsid w:val="00B03EE3"/>
    <w:rsid w:val="00B04E8E"/>
    <w:rsid w:val="00B06E43"/>
    <w:rsid w:val="00B1302A"/>
    <w:rsid w:val="00B1473D"/>
    <w:rsid w:val="00B16F43"/>
    <w:rsid w:val="00B20377"/>
    <w:rsid w:val="00B232FE"/>
    <w:rsid w:val="00B27AEC"/>
    <w:rsid w:val="00B313B2"/>
    <w:rsid w:val="00B31839"/>
    <w:rsid w:val="00B32438"/>
    <w:rsid w:val="00B44F6A"/>
    <w:rsid w:val="00B53A52"/>
    <w:rsid w:val="00B54556"/>
    <w:rsid w:val="00B67DF8"/>
    <w:rsid w:val="00B7285A"/>
    <w:rsid w:val="00B8367C"/>
    <w:rsid w:val="00B94053"/>
    <w:rsid w:val="00B94E07"/>
    <w:rsid w:val="00B9519B"/>
    <w:rsid w:val="00B96FE7"/>
    <w:rsid w:val="00BA103F"/>
    <w:rsid w:val="00BB3BA8"/>
    <w:rsid w:val="00BB5EEC"/>
    <w:rsid w:val="00BB7FE3"/>
    <w:rsid w:val="00BC720B"/>
    <w:rsid w:val="00BD630D"/>
    <w:rsid w:val="00BE7CBF"/>
    <w:rsid w:val="00BF36E7"/>
    <w:rsid w:val="00BF59E6"/>
    <w:rsid w:val="00C05939"/>
    <w:rsid w:val="00C11298"/>
    <w:rsid w:val="00C153EC"/>
    <w:rsid w:val="00C2113C"/>
    <w:rsid w:val="00C25629"/>
    <w:rsid w:val="00C300BD"/>
    <w:rsid w:val="00C36305"/>
    <w:rsid w:val="00C367D5"/>
    <w:rsid w:val="00C37E39"/>
    <w:rsid w:val="00C46EA3"/>
    <w:rsid w:val="00C5009B"/>
    <w:rsid w:val="00C6056D"/>
    <w:rsid w:val="00C70562"/>
    <w:rsid w:val="00C70DAB"/>
    <w:rsid w:val="00C74F6C"/>
    <w:rsid w:val="00C77D02"/>
    <w:rsid w:val="00C83BE8"/>
    <w:rsid w:val="00C87B50"/>
    <w:rsid w:val="00C9081C"/>
    <w:rsid w:val="00C9264D"/>
    <w:rsid w:val="00CA59BA"/>
    <w:rsid w:val="00CB7D21"/>
    <w:rsid w:val="00CC5A7B"/>
    <w:rsid w:val="00CD4001"/>
    <w:rsid w:val="00CD497D"/>
    <w:rsid w:val="00CE1BF9"/>
    <w:rsid w:val="00CE2D02"/>
    <w:rsid w:val="00CE3118"/>
    <w:rsid w:val="00CE41AA"/>
    <w:rsid w:val="00CF5E99"/>
    <w:rsid w:val="00CF79AF"/>
    <w:rsid w:val="00CF79D2"/>
    <w:rsid w:val="00D0464A"/>
    <w:rsid w:val="00D0481C"/>
    <w:rsid w:val="00D14B09"/>
    <w:rsid w:val="00D22582"/>
    <w:rsid w:val="00D350B1"/>
    <w:rsid w:val="00D53D10"/>
    <w:rsid w:val="00D72EAD"/>
    <w:rsid w:val="00D72F4C"/>
    <w:rsid w:val="00D8054F"/>
    <w:rsid w:val="00D84E14"/>
    <w:rsid w:val="00D873DE"/>
    <w:rsid w:val="00D97FA4"/>
    <w:rsid w:val="00DB5185"/>
    <w:rsid w:val="00DD44E3"/>
    <w:rsid w:val="00DD4D9D"/>
    <w:rsid w:val="00DD59BE"/>
    <w:rsid w:val="00DD6FAF"/>
    <w:rsid w:val="00DE5D7C"/>
    <w:rsid w:val="00DE724E"/>
    <w:rsid w:val="00DF2A7F"/>
    <w:rsid w:val="00DF40C0"/>
    <w:rsid w:val="00DF5EA4"/>
    <w:rsid w:val="00DF676B"/>
    <w:rsid w:val="00E02615"/>
    <w:rsid w:val="00E06263"/>
    <w:rsid w:val="00E06DA9"/>
    <w:rsid w:val="00E12B07"/>
    <w:rsid w:val="00E14858"/>
    <w:rsid w:val="00E55C01"/>
    <w:rsid w:val="00E562C2"/>
    <w:rsid w:val="00E60986"/>
    <w:rsid w:val="00E74B7A"/>
    <w:rsid w:val="00E754C2"/>
    <w:rsid w:val="00E8506C"/>
    <w:rsid w:val="00E8706F"/>
    <w:rsid w:val="00E97B1B"/>
    <w:rsid w:val="00EA08BF"/>
    <w:rsid w:val="00EA3568"/>
    <w:rsid w:val="00EC20D2"/>
    <w:rsid w:val="00EC7443"/>
    <w:rsid w:val="00ED2475"/>
    <w:rsid w:val="00ED2B0D"/>
    <w:rsid w:val="00EE3CF9"/>
    <w:rsid w:val="00EE43A4"/>
    <w:rsid w:val="00EF3F11"/>
    <w:rsid w:val="00EF4799"/>
    <w:rsid w:val="00EF4FDB"/>
    <w:rsid w:val="00F00B22"/>
    <w:rsid w:val="00F01121"/>
    <w:rsid w:val="00F03B67"/>
    <w:rsid w:val="00F075E0"/>
    <w:rsid w:val="00F1284D"/>
    <w:rsid w:val="00F152DE"/>
    <w:rsid w:val="00F21F4A"/>
    <w:rsid w:val="00F230FA"/>
    <w:rsid w:val="00F31C39"/>
    <w:rsid w:val="00F42DC0"/>
    <w:rsid w:val="00F5060F"/>
    <w:rsid w:val="00F52591"/>
    <w:rsid w:val="00F52747"/>
    <w:rsid w:val="00F5744B"/>
    <w:rsid w:val="00F82AF5"/>
    <w:rsid w:val="00FA0929"/>
    <w:rsid w:val="00FA6311"/>
    <w:rsid w:val="00FB2E93"/>
    <w:rsid w:val="00FB52FC"/>
    <w:rsid w:val="00FC37EA"/>
    <w:rsid w:val="00FC7625"/>
    <w:rsid w:val="00FD2691"/>
    <w:rsid w:val="00FD2C0F"/>
    <w:rsid w:val="00FD3BB5"/>
    <w:rsid w:val="00FD5A90"/>
    <w:rsid w:val="00FE24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C2"/>
    <w:rPr>
      <w:sz w:val="24"/>
      <w:lang w:eastAsia="en-US"/>
    </w:rPr>
  </w:style>
  <w:style w:type="paragraph" w:styleId="Heading1">
    <w:name w:val="heading 1"/>
    <w:basedOn w:val="Normal"/>
    <w:next w:val="Normal"/>
    <w:link w:val="Heading1Char"/>
    <w:uiPriority w:val="9"/>
    <w:qFormat/>
    <w:rsid w:val="002C48F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2914"/>
    <w:rPr>
      <w:rFonts w:ascii="Lucida Grande" w:hAnsi="Lucida Grande"/>
      <w:sz w:val="18"/>
      <w:szCs w:val="18"/>
    </w:rPr>
  </w:style>
  <w:style w:type="paragraph" w:styleId="ListParagraph">
    <w:name w:val="List Paragraph"/>
    <w:basedOn w:val="Normal"/>
    <w:uiPriority w:val="34"/>
    <w:qFormat/>
    <w:rsid w:val="00E562C2"/>
    <w:pPr>
      <w:ind w:left="720"/>
      <w:contextualSpacing/>
    </w:pPr>
  </w:style>
  <w:style w:type="paragraph" w:styleId="FootnoteText">
    <w:name w:val="footnote text"/>
    <w:basedOn w:val="Normal"/>
    <w:link w:val="FootnoteTextChar"/>
    <w:uiPriority w:val="99"/>
    <w:unhideWhenUsed/>
    <w:rsid w:val="00E562C2"/>
    <w:rPr>
      <w:szCs w:val="24"/>
    </w:rPr>
  </w:style>
  <w:style w:type="character" w:customStyle="1" w:styleId="FootnoteTextChar">
    <w:name w:val="Footnote Text Char"/>
    <w:basedOn w:val="DefaultParagraphFont"/>
    <w:link w:val="FootnoteText"/>
    <w:uiPriority w:val="99"/>
    <w:rsid w:val="00E562C2"/>
    <w:rPr>
      <w:sz w:val="24"/>
      <w:szCs w:val="24"/>
      <w:lang w:eastAsia="en-US"/>
    </w:rPr>
  </w:style>
  <w:style w:type="character" w:styleId="FootnoteReference">
    <w:name w:val="footnote reference"/>
    <w:basedOn w:val="DefaultParagraphFont"/>
    <w:uiPriority w:val="99"/>
    <w:unhideWhenUsed/>
    <w:rsid w:val="00E562C2"/>
    <w:rPr>
      <w:vertAlign w:val="superscript"/>
    </w:rPr>
  </w:style>
  <w:style w:type="table" w:styleId="TableGrid">
    <w:name w:val="Table Grid"/>
    <w:basedOn w:val="TableNormal"/>
    <w:uiPriority w:val="59"/>
    <w:rsid w:val="00E562C2"/>
    <w:rPr>
      <w:rFonts w:ascii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E562C2"/>
    <w:rPr>
      <w:sz w:val="18"/>
      <w:szCs w:val="18"/>
    </w:rPr>
  </w:style>
  <w:style w:type="paragraph" w:styleId="CommentText">
    <w:name w:val="annotation text"/>
    <w:basedOn w:val="Normal"/>
    <w:link w:val="CommentTextChar"/>
    <w:uiPriority w:val="99"/>
    <w:unhideWhenUsed/>
    <w:rsid w:val="00E562C2"/>
    <w:rPr>
      <w:szCs w:val="24"/>
    </w:rPr>
  </w:style>
  <w:style w:type="character" w:customStyle="1" w:styleId="CommentTextChar">
    <w:name w:val="Comment Text Char"/>
    <w:basedOn w:val="DefaultParagraphFont"/>
    <w:link w:val="CommentText"/>
    <w:uiPriority w:val="99"/>
    <w:rsid w:val="00E562C2"/>
    <w:rPr>
      <w:sz w:val="24"/>
      <w:szCs w:val="24"/>
      <w:lang w:eastAsia="en-US"/>
    </w:rPr>
  </w:style>
  <w:style w:type="paragraph" w:styleId="Header">
    <w:name w:val="header"/>
    <w:basedOn w:val="Normal"/>
    <w:link w:val="HeaderChar"/>
    <w:uiPriority w:val="99"/>
    <w:unhideWhenUsed/>
    <w:rsid w:val="00B0072C"/>
    <w:pPr>
      <w:tabs>
        <w:tab w:val="center" w:pos="4320"/>
        <w:tab w:val="right" w:pos="8640"/>
      </w:tabs>
    </w:pPr>
  </w:style>
  <w:style w:type="character" w:customStyle="1" w:styleId="HeaderChar">
    <w:name w:val="Header Char"/>
    <w:basedOn w:val="DefaultParagraphFont"/>
    <w:link w:val="Header"/>
    <w:uiPriority w:val="99"/>
    <w:rsid w:val="00B0072C"/>
    <w:rPr>
      <w:sz w:val="24"/>
      <w:lang w:eastAsia="en-US"/>
    </w:rPr>
  </w:style>
  <w:style w:type="paragraph" w:styleId="Footer">
    <w:name w:val="footer"/>
    <w:basedOn w:val="Normal"/>
    <w:link w:val="FooterChar"/>
    <w:uiPriority w:val="99"/>
    <w:unhideWhenUsed/>
    <w:rsid w:val="00B0072C"/>
    <w:pPr>
      <w:tabs>
        <w:tab w:val="center" w:pos="4320"/>
        <w:tab w:val="right" w:pos="8640"/>
      </w:tabs>
    </w:pPr>
  </w:style>
  <w:style w:type="character" w:customStyle="1" w:styleId="FooterChar">
    <w:name w:val="Footer Char"/>
    <w:basedOn w:val="DefaultParagraphFont"/>
    <w:link w:val="Footer"/>
    <w:uiPriority w:val="99"/>
    <w:rsid w:val="00B0072C"/>
    <w:rPr>
      <w:sz w:val="24"/>
      <w:lang w:eastAsia="en-US"/>
    </w:rPr>
  </w:style>
  <w:style w:type="character" w:styleId="PageNumber">
    <w:name w:val="page number"/>
    <w:basedOn w:val="DefaultParagraphFont"/>
    <w:uiPriority w:val="99"/>
    <w:semiHidden/>
    <w:unhideWhenUsed/>
    <w:rsid w:val="00316BAD"/>
  </w:style>
  <w:style w:type="paragraph" w:styleId="CommentSubject">
    <w:name w:val="annotation subject"/>
    <w:basedOn w:val="CommentText"/>
    <w:next w:val="CommentText"/>
    <w:link w:val="CommentSubjectChar"/>
    <w:uiPriority w:val="99"/>
    <w:semiHidden/>
    <w:unhideWhenUsed/>
    <w:rsid w:val="0011399E"/>
    <w:rPr>
      <w:b/>
      <w:bCs/>
      <w:sz w:val="20"/>
      <w:szCs w:val="20"/>
    </w:rPr>
  </w:style>
  <w:style w:type="character" w:customStyle="1" w:styleId="CommentSubjectChar">
    <w:name w:val="Comment Subject Char"/>
    <w:basedOn w:val="CommentTextChar"/>
    <w:link w:val="CommentSubject"/>
    <w:uiPriority w:val="99"/>
    <w:semiHidden/>
    <w:rsid w:val="0011399E"/>
    <w:rPr>
      <w:b/>
      <w:bCs/>
      <w:sz w:val="24"/>
      <w:szCs w:val="24"/>
      <w:lang w:eastAsia="en-US"/>
    </w:rPr>
  </w:style>
  <w:style w:type="character" w:styleId="Hyperlink">
    <w:name w:val="Hyperlink"/>
    <w:basedOn w:val="DefaultParagraphFont"/>
    <w:uiPriority w:val="99"/>
    <w:unhideWhenUsed/>
    <w:rsid w:val="00A82005"/>
    <w:rPr>
      <w:color w:val="0000FF" w:themeColor="hyperlink"/>
      <w:u w:val="single"/>
    </w:rPr>
  </w:style>
  <w:style w:type="paragraph" w:customStyle="1" w:styleId="D345FF3D873148C5AE3FBF3267827368">
    <w:name w:val="D345FF3D873148C5AE3FBF3267827368"/>
    <w:rsid w:val="009D77D7"/>
    <w:pPr>
      <w:spacing w:after="200" w:line="276" w:lineRule="auto"/>
    </w:pPr>
    <w:rPr>
      <w:rFonts w:asciiTheme="minorHAnsi" w:hAnsiTheme="minorHAnsi" w:cstheme="minorBidi"/>
      <w:sz w:val="22"/>
      <w:szCs w:val="22"/>
    </w:rPr>
  </w:style>
  <w:style w:type="paragraph" w:styleId="Caption">
    <w:name w:val="caption"/>
    <w:basedOn w:val="Normal"/>
    <w:next w:val="Normal"/>
    <w:uiPriority w:val="35"/>
    <w:unhideWhenUsed/>
    <w:qFormat/>
    <w:rsid w:val="000A6DB7"/>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2C48F0"/>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2C48F0"/>
    <w:pPr>
      <w:spacing w:after="200" w:line="276" w:lineRule="auto"/>
    </w:pPr>
    <w:rPr>
      <w:rFonts w:asciiTheme="minorHAnsi"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2C48F0"/>
    <w:rPr>
      <w:rFonts w:asciiTheme="minorHAnsi" w:hAnsiTheme="minorHAnsi" w:cstheme="minorBidi"/>
      <w:i/>
      <w:iCs/>
      <w:color w:val="000000" w:themeColor="text1"/>
      <w:sz w:val="22"/>
      <w:szCs w:val="22"/>
    </w:rPr>
  </w:style>
  <w:style w:type="paragraph" w:styleId="NormalWeb">
    <w:name w:val="Normal (Web)"/>
    <w:basedOn w:val="Normal"/>
    <w:uiPriority w:val="99"/>
    <w:unhideWhenUsed/>
    <w:rsid w:val="00BB5EEC"/>
    <w:pPr>
      <w:spacing w:before="100" w:beforeAutospacing="1" w:after="100" w:afterAutospacing="1"/>
    </w:pPr>
    <w:rPr>
      <w:rFonts w:eastAsia="Times New Roman"/>
      <w:szCs w:val="24"/>
    </w:rPr>
  </w:style>
  <w:style w:type="character" w:customStyle="1" w:styleId="apple-converted-space">
    <w:name w:val="apple-converted-space"/>
    <w:basedOn w:val="DefaultParagraphFont"/>
    <w:rsid w:val="00BB5E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C2"/>
    <w:rPr>
      <w:sz w:val="24"/>
      <w:lang w:eastAsia="en-US"/>
    </w:rPr>
  </w:style>
  <w:style w:type="paragraph" w:styleId="Heading1">
    <w:name w:val="heading 1"/>
    <w:basedOn w:val="Normal"/>
    <w:next w:val="Normal"/>
    <w:link w:val="Heading1Char"/>
    <w:uiPriority w:val="9"/>
    <w:qFormat/>
    <w:rsid w:val="002C48F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2914"/>
    <w:rPr>
      <w:rFonts w:ascii="Lucida Grande" w:hAnsi="Lucida Grande"/>
      <w:sz w:val="18"/>
      <w:szCs w:val="18"/>
    </w:rPr>
  </w:style>
  <w:style w:type="paragraph" w:styleId="ListParagraph">
    <w:name w:val="List Paragraph"/>
    <w:basedOn w:val="Normal"/>
    <w:uiPriority w:val="34"/>
    <w:qFormat/>
    <w:rsid w:val="00E562C2"/>
    <w:pPr>
      <w:ind w:left="720"/>
      <w:contextualSpacing/>
    </w:pPr>
  </w:style>
  <w:style w:type="paragraph" w:styleId="FootnoteText">
    <w:name w:val="footnote text"/>
    <w:basedOn w:val="Normal"/>
    <w:link w:val="FootnoteTextChar"/>
    <w:uiPriority w:val="99"/>
    <w:unhideWhenUsed/>
    <w:rsid w:val="00E562C2"/>
    <w:rPr>
      <w:szCs w:val="24"/>
    </w:rPr>
  </w:style>
  <w:style w:type="character" w:customStyle="1" w:styleId="FootnoteTextChar">
    <w:name w:val="Footnote Text Char"/>
    <w:basedOn w:val="DefaultParagraphFont"/>
    <w:link w:val="FootnoteText"/>
    <w:uiPriority w:val="99"/>
    <w:rsid w:val="00E562C2"/>
    <w:rPr>
      <w:sz w:val="24"/>
      <w:szCs w:val="24"/>
      <w:lang w:eastAsia="en-US"/>
    </w:rPr>
  </w:style>
  <w:style w:type="character" w:styleId="FootnoteReference">
    <w:name w:val="footnote reference"/>
    <w:basedOn w:val="DefaultParagraphFont"/>
    <w:uiPriority w:val="99"/>
    <w:unhideWhenUsed/>
    <w:rsid w:val="00E562C2"/>
    <w:rPr>
      <w:vertAlign w:val="superscript"/>
    </w:rPr>
  </w:style>
  <w:style w:type="table" w:styleId="TableGrid">
    <w:name w:val="Table Grid"/>
    <w:basedOn w:val="TableNormal"/>
    <w:uiPriority w:val="59"/>
    <w:rsid w:val="00E562C2"/>
    <w:rPr>
      <w:rFonts w:ascii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E562C2"/>
    <w:rPr>
      <w:sz w:val="18"/>
      <w:szCs w:val="18"/>
    </w:rPr>
  </w:style>
  <w:style w:type="paragraph" w:styleId="CommentText">
    <w:name w:val="annotation text"/>
    <w:basedOn w:val="Normal"/>
    <w:link w:val="CommentTextChar"/>
    <w:uiPriority w:val="99"/>
    <w:unhideWhenUsed/>
    <w:rsid w:val="00E562C2"/>
    <w:rPr>
      <w:szCs w:val="24"/>
    </w:rPr>
  </w:style>
  <w:style w:type="character" w:customStyle="1" w:styleId="CommentTextChar">
    <w:name w:val="Comment Text Char"/>
    <w:basedOn w:val="DefaultParagraphFont"/>
    <w:link w:val="CommentText"/>
    <w:uiPriority w:val="99"/>
    <w:rsid w:val="00E562C2"/>
    <w:rPr>
      <w:sz w:val="24"/>
      <w:szCs w:val="24"/>
      <w:lang w:eastAsia="en-US"/>
    </w:rPr>
  </w:style>
  <w:style w:type="paragraph" w:styleId="Header">
    <w:name w:val="header"/>
    <w:basedOn w:val="Normal"/>
    <w:link w:val="HeaderChar"/>
    <w:uiPriority w:val="99"/>
    <w:unhideWhenUsed/>
    <w:rsid w:val="00B0072C"/>
    <w:pPr>
      <w:tabs>
        <w:tab w:val="center" w:pos="4320"/>
        <w:tab w:val="right" w:pos="8640"/>
      </w:tabs>
    </w:pPr>
  </w:style>
  <w:style w:type="character" w:customStyle="1" w:styleId="HeaderChar">
    <w:name w:val="Header Char"/>
    <w:basedOn w:val="DefaultParagraphFont"/>
    <w:link w:val="Header"/>
    <w:uiPriority w:val="99"/>
    <w:rsid w:val="00B0072C"/>
    <w:rPr>
      <w:sz w:val="24"/>
      <w:lang w:eastAsia="en-US"/>
    </w:rPr>
  </w:style>
  <w:style w:type="paragraph" w:styleId="Footer">
    <w:name w:val="footer"/>
    <w:basedOn w:val="Normal"/>
    <w:link w:val="FooterChar"/>
    <w:uiPriority w:val="99"/>
    <w:unhideWhenUsed/>
    <w:rsid w:val="00B0072C"/>
    <w:pPr>
      <w:tabs>
        <w:tab w:val="center" w:pos="4320"/>
        <w:tab w:val="right" w:pos="8640"/>
      </w:tabs>
    </w:pPr>
  </w:style>
  <w:style w:type="character" w:customStyle="1" w:styleId="FooterChar">
    <w:name w:val="Footer Char"/>
    <w:basedOn w:val="DefaultParagraphFont"/>
    <w:link w:val="Footer"/>
    <w:uiPriority w:val="99"/>
    <w:rsid w:val="00B0072C"/>
    <w:rPr>
      <w:sz w:val="24"/>
      <w:lang w:eastAsia="en-US"/>
    </w:rPr>
  </w:style>
  <w:style w:type="character" w:styleId="PageNumber">
    <w:name w:val="page number"/>
    <w:basedOn w:val="DefaultParagraphFont"/>
    <w:uiPriority w:val="99"/>
    <w:semiHidden/>
    <w:unhideWhenUsed/>
    <w:rsid w:val="00316BAD"/>
  </w:style>
  <w:style w:type="paragraph" w:styleId="CommentSubject">
    <w:name w:val="annotation subject"/>
    <w:basedOn w:val="CommentText"/>
    <w:next w:val="CommentText"/>
    <w:link w:val="CommentSubjectChar"/>
    <w:uiPriority w:val="99"/>
    <w:semiHidden/>
    <w:unhideWhenUsed/>
    <w:rsid w:val="0011399E"/>
    <w:rPr>
      <w:b/>
      <w:bCs/>
      <w:sz w:val="20"/>
      <w:szCs w:val="20"/>
    </w:rPr>
  </w:style>
  <w:style w:type="character" w:customStyle="1" w:styleId="CommentSubjectChar">
    <w:name w:val="Comment Subject Char"/>
    <w:basedOn w:val="CommentTextChar"/>
    <w:link w:val="CommentSubject"/>
    <w:uiPriority w:val="99"/>
    <w:semiHidden/>
    <w:rsid w:val="0011399E"/>
    <w:rPr>
      <w:b/>
      <w:bCs/>
      <w:sz w:val="24"/>
      <w:szCs w:val="24"/>
      <w:lang w:eastAsia="en-US"/>
    </w:rPr>
  </w:style>
  <w:style w:type="character" w:styleId="Hyperlink">
    <w:name w:val="Hyperlink"/>
    <w:basedOn w:val="DefaultParagraphFont"/>
    <w:uiPriority w:val="99"/>
    <w:unhideWhenUsed/>
    <w:rsid w:val="00A82005"/>
    <w:rPr>
      <w:color w:val="0000FF" w:themeColor="hyperlink"/>
      <w:u w:val="single"/>
    </w:rPr>
  </w:style>
  <w:style w:type="paragraph" w:customStyle="1" w:styleId="D345FF3D873148C5AE3FBF3267827368">
    <w:name w:val="D345FF3D873148C5AE3FBF3267827368"/>
    <w:rsid w:val="009D77D7"/>
    <w:pPr>
      <w:spacing w:after="200" w:line="276" w:lineRule="auto"/>
    </w:pPr>
    <w:rPr>
      <w:rFonts w:asciiTheme="minorHAnsi" w:hAnsiTheme="minorHAnsi" w:cstheme="minorBidi"/>
      <w:sz w:val="22"/>
      <w:szCs w:val="22"/>
    </w:rPr>
  </w:style>
  <w:style w:type="paragraph" w:styleId="Caption">
    <w:name w:val="caption"/>
    <w:basedOn w:val="Normal"/>
    <w:next w:val="Normal"/>
    <w:uiPriority w:val="35"/>
    <w:unhideWhenUsed/>
    <w:qFormat/>
    <w:rsid w:val="000A6DB7"/>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2C48F0"/>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2C48F0"/>
    <w:pPr>
      <w:spacing w:after="200" w:line="276" w:lineRule="auto"/>
    </w:pPr>
    <w:rPr>
      <w:rFonts w:asciiTheme="minorHAnsi"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2C48F0"/>
    <w:rPr>
      <w:rFonts w:asciiTheme="minorHAnsi" w:hAnsiTheme="minorHAnsi" w:cstheme="minorBidi"/>
      <w:i/>
      <w:iCs/>
      <w:color w:val="000000" w:themeColor="text1"/>
      <w:sz w:val="22"/>
      <w:szCs w:val="22"/>
    </w:rPr>
  </w:style>
  <w:style w:type="paragraph" w:styleId="NormalWeb">
    <w:name w:val="Normal (Web)"/>
    <w:basedOn w:val="Normal"/>
    <w:uiPriority w:val="99"/>
    <w:unhideWhenUsed/>
    <w:rsid w:val="00BB5EEC"/>
    <w:pPr>
      <w:spacing w:before="100" w:beforeAutospacing="1" w:after="100" w:afterAutospacing="1"/>
    </w:pPr>
    <w:rPr>
      <w:rFonts w:eastAsia="Times New Roman"/>
      <w:szCs w:val="24"/>
    </w:rPr>
  </w:style>
  <w:style w:type="character" w:customStyle="1" w:styleId="apple-converted-space">
    <w:name w:val="apple-converted-space"/>
    <w:basedOn w:val="DefaultParagraphFont"/>
    <w:rsid w:val="00BB5EEC"/>
  </w:style>
</w:styles>
</file>

<file path=word/webSettings.xml><?xml version="1.0" encoding="utf-8"?>
<w:webSettings xmlns:r="http://schemas.openxmlformats.org/officeDocument/2006/relationships" xmlns:w="http://schemas.openxmlformats.org/wordprocessingml/2006/main">
  <w:divs>
    <w:div w:id="297492044">
      <w:bodyDiv w:val="1"/>
      <w:marLeft w:val="0"/>
      <w:marRight w:val="0"/>
      <w:marTop w:val="0"/>
      <w:marBottom w:val="0"/>
      <w:divBdr>
        <w:top w:val="none" w:sz="0" w:space="0" w:color="auto"/>
        <w:left w:val="none" w:sz="0" w:space="0" w:color="auto"/>
        <w:bottom w:val="none" w:sz="0" w:space="0" w:color="auto"/>
        <w:right w:val="none" w:sz="0" w:space="0" w:color="auto"/>
      </w:divBdr>
    </w:div>
    <w:div w:id="1144153369">
      <w:bodyDiv w:val="1"/>
      <w:marLeft w:val="0"/>
      <w:marRight w:val="0"/>
      <w:marTop w:val="0"/>
      <w:marBottom w:val="0"/>
      <w:divBdr>
        <w:top w:val="none" w:sz="0" w:space="0" w:color="auto"/>
        <w:left w:val="none" w:sz="0" w:space="0" w:color="auto"/>
        <w:bottom w:val="none" w:sz="0" w:space="0" w:color="auto"/>
        <w:right w:val="none" w:sz="0" w:space="0" w:color="auto"/>
      </w:divBdr>
      <w:divsChild>
        <w:div w:id="957641309">
          <w:marLeft w:val="0"/>
          <w:marRight w:val="0"/>
          <w:marTop w:val="0"/>
          <w:marBottom w:val="0"/>
          <w:divBdr>
            <w:top w:val="none" w:sz="0" w:space="0" w:color="auto"/>
            <w:left w:val="none" w:sz="0" w:space="0" w:color="auto"/>
            <w:bottom w:val="none" w:sz="0" w:space="0" w:color="auto"/>
            <w:right w:val="none" w:sz="0" w:space="0" w:color="auto"/>
          </w:divBdr>
        </w:div>
        <w:div w:id="2130051736">
          <w:marLeft w:val="0"/>
          <w:marRight w:val="0"/>
          <w:marTop w:val="0"/>
          <w:marBottom w:val="0"/>
          <w:divBdr>
            <w:top w:val="none" w:sz="0" w:space="0" w:color="auto"/>
            <w:left w:val="none" w:sz="0" w:space="0" w:color="auto"/>
            <w:bottom w:val="none" w:sz="0" w:space="0" w:color="auto"/>
            <w:right w:val="none" w:sz="0" w:space="0" w:color="auto"/>
          </w:divBdr>
        </w:div>
        <w:div w:id="243105080">
          <w:marLeft w:val="0"/>
          <w:marRight w:val="0"/>
          <w:marTop w:val="0"/>
          <w:marBottom w:val="0"/>
          <w:divBdr>
            <w:top w:val="none" w:sz="0" w:space="0" w:color="auto"/>
            <w:left w:val="none" w:sz="0" w:space="0" w:color="auto"/>
            <w:bottom w:val="none" w:sz="0" w:space="0" w:color="auto"/>
            <w:right w:val="none" w:sz="0" w:space="0" w:color="auto"/>
          </w:divBdr>
        </w:div>
        <w:div w:id="35392771">
          <w:marLeft w:val="0"/>
          <w:marRight w:val="0"/>
          <w:marTop w:val="0"/>
          <w:marBottom w:val="0"/>
          <w:divBdr>
            <w:top w:val="none" w:sz="0" w:space="0" w:color="auto"/>
            <w:left w:val="none" w:sz="0" w:space="0" w:color="auto"/>
            <w:bottom w:val="none" w:sz="0" w:space="0" w:color="auto"/>
            <w:right w:val="none" w:sz="0" w:space="0" w:color="auto"/>
          </w:divBdr>
        </w:div>
        <w:div w:id="1193685562">
          <w:marLeft w:val="0"/>
          <w:marRight w:val="0"/>
          <w:marTop w:val="0"/>
          <w:marBottom w:val="0"/>
          <w:divBdr>
            <w:top w:val="none" w:sz="0" w:space="0" w:color="auto"/>
            <w:left w:val="none" w:sz="0" w:space="0" w:color="auto"/>
            <w:bottom w:val="none" w:sz="0" w:space="0" w:color="auto"/>
            <w:right w:val="none" w:sz="0" w:space="0" w:color="auto"/>
          </w:divBdr>
        </w:div>
        <w:div w:id="1781753548">
          <w:marLeft w:val="0"/>
          <w:marRight w:val="0"/>
          <w:marTop w:val="0"/>
          <w:marBottom w:val="0"/>
          <w:divBdr>
            <w:top w:val="none" w:sz="0" w:space="0" w:color="auto"/>
            <w:left w:val="none" w:sz="0" w:space="0" w:color="auto"/>
            <w:bottom w:val="none" w:sz="0" w:space="0" w:color="auto"/>
            <w:right w:val="none" w:sz="0" w:space="0" w:color="auto"/>
          </w:divBdr>
        </w:div>
        <w:div w:id="1427573921">
          <w:marLeft w:val="0"/>
          <w:marRight w:val="0"/>
          <w:marTop w:val="0"/>
          <w:marBottom w:val="0"/>
          <w:divBdr>
            <w:top w:val="none" w:sz="0" w:space="0" w:color="auto"/>
            <w:left w:val="none" w:sz="0" w:space="0" w:color="auto"/>
            <w:bottom w:val="none" w:sz="0" w:space="0" w:color="auto"/>
            <w:right w:val="none" w:sz="0" w:space="0" w:color="auto"/>
          </w:divBdr>
        </w:div>
        <w:div w:id="295986267">
          <w:marLeft w:val="0"/>
          <w:marRight w:val="0"/>
          <w:marTop w:val="0"/>
          <w:marBottom w:val="0"/>
          <w:divBdr>
            <w:top w:val="none" w:sz="0" w:space="0" w:color="auto"/>
            <w:left w:val="none" w:sz="0" w:space="0" w:color="auto"/>
            <w:bottom w:val="none" w:sz="0" w:space="0" w:color="auto"/>
            <w:right w:val="none" w:sz="0" w:space="0" w:color="auto"/>
          </w:divBdr>
        </w:div>
        <w:div w:id="286550592">
          <w:marLeft w:val="0"/>
          <w:marRight w:val="0"/>
          <w:marTop w:val="0"/>
          <w:marBottom w:val="0"/>
          <w:divBdr>
            <w:top w:val="none" w:sz="0" w:space="0" w:color="auto"/>
            <w:left w:val="none" w:sz="0" w:space="0" w:color="auto"/>
            <w:bottom w:val="none" w:sz="0" w:space="0" w:color="auto"/>
            <w:right w:val="none" w:sz="0" w:space="0" w:color="auto"/>
          </w:divBdr>
        </w:div>
        <w:div w:id="847793276">
          <w:marLeft w:val="0"/>
          <w:marRight w:val="0"/>
          <w:marTop w:val="0"/>
          <w:marBottom w:val="0"/>
          <w:divBdr>
            <w:top w:val="none" w:sz="0" w:space="0" w:color="auto"/>
            <w:left w:val="none" w:sz="0" w:space="0" w:color="auto"/>
            <w:bottom w:val="none" w:sz="0" w:space="0" w:color="auto"/>
            <w:right w:val="none" w:sz="0" w:space="0" w:color="auto"/>
          </w:divBdr>
        </w:div>
        <w:div w:id="1133715967">
          <w:marLeft w:val="0"/>
          <w:marRight w:val="0"/>
          <w:marTop w:val="0"/>
          <w:marBottom w:val="0"/>
          <w:divBdr>
            <w:top w:val="none" w:sz="0" w:space="0" w:color="auto"/>
            <w:left w:val="none" w:sz="0" w:space="0" w:color="auto"/>
            <w:bottom w:val="none" w:sz="0" w:space="0" w:color="auto"/>
            <w:right w:val="none" w:sz="0" w:space="0" w:color="auto"/>
          </w:divBdr>
        </w:div>
        <w:div w:id="1101687330">
          <w:marLeft w:val="0"/>
          <w:marRight w:val="0"/>
          <w:marTop w:val="0"/>
          <w:marBottom w:val="0"/>
          <w:divBdr>
            <w:top w:val="none" w:sz="0" w:space="0" w:color="auto"/>
            <w:left w:val="none" w:sz="0" w:space="0" w:color="auto"/>
            <w:bottom w:val="none" w:sz="0" w:space="0" w:color="auto"/>
            <w:right w:val="none" w:sz="0" w:space="0" w:color="auto"/>
          </w:divBdr>
        </w:div>
        <w:div w:id="926302720">
          <w:marLeft w:val="0"/>
          <w:marRight w:val="0"/>
          <w:marTop w:val="0"/>
          <w:marBottom w:val="0"/>
          <w:divBdr>
            <w:top w:val="none" w:sz="0" w:space="0" w:color="auto"/>
            <w:left w:val="none" w:sz="0" w:space="0" w:color="auto"/>
            <w:bottom w:val="none" w:sz="0" w:space="0" w:color="auto"/>
            <w:right w:val="none" w:sz="0" w:space="0" w:color="auto"/>
          </w:divBdr>
        </w:div>
        <w:div w:id="23235775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hyperlink" TargetMode="External" Target="http://www.instll.com"/>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header" Target="header5.xml"/>
  <Relationship Id="rId19" Type="http://schemas.openxmlformats.org/officeDocument/2006/relationships/footer" Target="footer5.xml"/>
  <Relationship Id="rId2" Type="http://schemas.openxmlformats.org/officeDocument/2006/relationships/numbering" Target="numbering.xml"/>
  <Relationship Id="rId20" Type="http://schemas.openxmlformats.org/officeDocument/2006/relationships/diagramData" Target="diagrams/data1.xml"/>
  <Relationship Id="rId21" Type="http://schemas.openxmlformats.org/officeDocument/2006/relationships/diagramLayout" Target="diagrams/layout1.xml"/>
  <Relationship Id="rId22" Type="http://schemas.openxmlformats.org/officeDocument/2006/relationships/diagramQuickStyle" Target="diagrams/quickStyle1.xml"/>
  <Relationship Id="rId23" Type="http://schemas.openxmlformats.org/officeDocument/2006/relationships/diagramColors" Target="diagrams/colors1.xml"/>
  <Relationship Id="rId24" Type="http://schemas.microsoft.com/office/2007/relationships/diagramDrawing" Target="diagrams/drawing1.xml"/>
  <Relationship Id="rId25" Type="http://schemas.openxmlformats.org/officeDocument/2006/relationships/header" Target="header6.xml"/>
  <Relationship Id="rId26" Type="http://schemas.openxmlformats.org/officeDocument/2006/relationships/footer" Target="footer6.xml"/>
  <Relationship Id="rId27" Type="http://schemas.openxmlformats.org/officeDocument/2006/relationships/header" Target="header7.xml"/>
  <Relationship Id="rId28" Type="http://schemas.openxmlformats.org/officeDocument/2006/relationships/footer" Target="footer7.xml"/>
  <Relationship Id="rId29" Type="http://schemas.openxmlformats.org/officeDocument/2006/relationships/image" Target="media/image3.emf"/>
  <Relationship Id="rId3" Type="http://schemas.openxmlformats.org/officeDocument/2006/relationships/styles" Target="styles.xml"/>
  <Relationship Id="rId30" Type="http://schemas.openxmlformats.org/officeDocument/2006/relationships/image" Target="media/image4.emf"/>
  <Relationship Id="rId31" Type="http://schemas.openxmlformats.org/officeDocument/2006/relationships/image" Target="media/image5.emf"/>
  <Relationship Id="rId32" Type="http://schemas.openxmlformats.org/officeDocument/2006/relationships/chart" Target="charts/chart1.xml"/>
  <Relationship Id="rId33" Type="http://schemas.openxmlformats.org/officeDocument/2006/relationships/chart" Target="charts/chart2.xml"/>
  <Relationship Id="rId34" Type="http://schemas.openxmlformats.org/officeDocument/2006/relationships/footer" Target="footer8.xml"/>
  <Relationship Id="rId35" Type="http://schemas.openxmlformats.org/officeDocument/2006/relationships/footer" Target="footer9.xml"/>
  <Relationship Id="rId36" Type="http://schemas.openxmlformats.org/officeDocument/2006/relationships/footer" Target="footer10.xml"/>
  <Relationship Id="rId37" Type="http://schemas.openxmlformats.org/officeDocument/2006/relationships/fontTable" Target="fontTable.xml"/>
  <Relationship Id="rId38" Type="http://schemas.openxmlformats.org/officeDocument/2006/relationships/theme" Target="theme/theme1.xml"/>
  <Relationship Id="rId39"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eader" Target="header1.xml"/>
</Relationships>

</file>

<file path=word/_rels/footer4.xml.rels><?xml version="1.0" encoding="UTF-8"?>

<Relationships xmlns="http://schemas.openxmlformats.org/package/2006/relationships">
  <Relationship Id="rId1" Type="http://schemas.openxmlformats.org/officeDocument/2006/relationships/image" Target="media/image2.gif"/>
</Relationships>

</file>

<file path=word/_rels/footer6.xml.rels><?xml version="1.0" encoding="UTF-8"?>

<Relationships xmlns="http://schemas.openxmlformats.org/package/2006/relationships">
  <Relationship Id="rId1" Type="http://schemas.openxmlformats.org/officeDocument/2006/relationships/image" Target="media/image2.gif"/>
</Relationships>

</file>

<file path=word/charts/_rels/chart1.xml.rels><?xml version="1.0" encoding="UTF-8"?>

<Relationships xmlns="http://schemas.openxmlformats.org/package/2006/relationships">
  <Relationship Id="rId1" Type="http://schemas.openxmlformats.org/officeDocument/2006/relationships/oleObject" TargetMode="External" Target="file:///C:/Users/Chaislet/Documents/Brett_Work_Viao/L4_BoardPolicyReview/April2013_Report/ResourceAllocation_SRG_2012.xlsx"/>
</Relationships>

</file>

<file path=word/charts/_rels/chart2.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oleObject" TargetMode="External" Target="file:///C:/Users/Chaislet/Documents/Brett_Work_Viao/L4_BoardPolicyReview/April2013_Report/ResourceAllocation_SRG_2012.xlsx"/>
</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sz="800" b="1">
                <a:latin typeface="Times New Roman" pitchFamily="18" charset="0"/>
                <a:cs typeface="Times New Roman" pitchFamily="18" charset="0"/>
              </a:rPr>
              <a:t>Chart 1: The percent allocation and dollar</a:t>
            </a:r>
            <a:r>
              <a:rPr lang="en-US" sz="800" b="1" baseline="0">
                <a:latin typeface="Times New Roman" pitchFamily="18" charset="0"/>
                <a:cs typeface="Times New Roman" pitchFamily="18" charset="0"/>
              </a:rPr>
              <a:t> amount (in millions) of </a:t>
            </a:r>
            <a:r>
              <a:rPr lang="en-US" sz="800" b="1" i="0" u="none" strike="noStrike" baseline="0">
                <a:effectLst/>
                <a:latin typeface="Times New Roman" pitchFamily="18" charset="0"/>
                <a:cs typeface="Times New Roman" pitchFamily="18" charset="0"/>
              </a:rPr>
              <a:t>total SRG and Bridge Grant funds by </a:t>
            </a:r>
            <a:r>
              <a:rPr lang="en-US" sz="800" b="1">
                <a:latin typeface="Times New Roman" pitchFamily="18" charset="0"/>
                <a:cs typeface="Times New Roman" pitchFamily="18" charset="0"/>
              </a:rPr>
              <a:t>Staffing, Time,</a:t>
            </a:r>
            <a:r>
              <a:rPr lang="en-US" sz="800" b="1" baseline="0">
                <a:latin typeface="Times New Roman" pitchFamily="18" charset="0"/>
                <a:cs typeface="Times New Roman" pitchFamily="18" charset="0"/>
              </a:rPr>
              <a:t> and Resources, 2010 to 2012</a:t>
            </a:r>
            <a:endParaRPr lang="en-US" sz="800" b="1">
              <a:latin typeface="Times New Roman" pitchFamily="18" charset="0"/>
              <a:cs typeface="Times New Roman" pitchFamily="18" charset="0"/>
            </a:endParaRPr>
          </a:p>
        </c:rich>
      </c:tx>
      <c:layout>
        <c:manualLayout>
          <c:xMode val="edge"/>
          <c:yMode val="edge"/>
          <c:x val="5.0458156007335324E-2"/>
          <c:y val="3.530895334174023E-2"/>
        </c:manualLayout>
      </c:layout>
    </c:title>
    <c:view3D>
      <c:rotX val="30"/>
      <c:perspective val="30"/>
    </c:view3D>
    <c:plotArea>
      <c:layout/>
      <c:pie3DChart>
        <c:varyColors val="1"/>
        <c:ser>
          <c:idx val="0"/>
          <c:order val="0"/>
          <c:tx>
            <c:strRef>
              <c:f>'[ResourceAllocation_SRG_2012.xlsx]TwoYearPivot_Peep&amp;Resources'!$P$7</c:f>
              <c:strCache>
                <c:ptCount val="1"/>
                <c:pt idx="0">
                  <c:v> </c:v>
                </c:pt>
              </c:strCache>
            </c:strRef>
          </c:tx>
          <c:dLbls>
            <c:dLbl>
              <c:idx val="0"/>
              <c:layout>
                <c:manualLayout>
                  <c:x val="-0.10354409924111622"/>
                  <c:y val="5.4388621462803384E-2"/>
                </c:manualLayout>
              </c:layout>
              <c:tx>
                <c:rich>
                  <a:bodyPr/>
                  <a:lstStyle/>
                  <a:p>
                    <a:r>
                      <a:rPr lang="en-US" sz="800">
                        <a:latin typeface="Times New Roman" pitchFamily="18" charset="0"/>
                        <a:cs typeface="Times New Roman" pitchFamily="18" charset="0"/>
                      </a:rPr>
                      <a:t>$6.45 m, 24%</a:t>
                    </a:r>
                    <a:endParaRPr lang="en-US"/>
                  </a:p>
                </c:rich>
              </c:tx>
              <c:dLblPos val="bestFit"/>
              <c:showLegendKey val="1"/>
              <c:showVal val="1"/>
              <c:showPercent val="1"/>
            </c:dLbl>
            <c:dLbl>
              <c:idx val="1"/>
              <c:layout>
                <c:manualLayout>
                  <c:x val="-0.11298242723256111"/>
                  <c:y val="-0.11502011636971578"/>
                </c:manualLayout>
              </c:layout>
              <c:tx>
                <c:rich>
                  <a:bodyPr/>
                  <a:lstStyle/>
                  <a:p>
                    <a:r>
                      <a:rPr lang="en-US" sz="800">
                        <a:latin typeface="Times New Roman" pitchFamily="18" charset="0"/>
                        <a:cs typeface="Times New Roman" pitchFamily="18" charset="0"/>
                      </a:rPr>
                      <a:t>$4.06 m, 15%</a:t>
                    </a:r>
                    <a:endParaRPr lang="en-US"/>
                  </a:p>
                </c:rich>
              </c:tx>
              <c:dLblPos val="bestFit"/>
              <c:showLegendKey val="1"/>
              <c:showVal val="1"/>
              <c:showPercent val="1"/>
            </c:dLbl>
            <c:dLbl>
              <c:idx val="2"/>
              <c:layout>
                <c:manualLayout>
                  <c:x val="0.15186235523376479"/>
                  <c:y val="-0.24307065361769051"/>
                </c:manualLayout>
              </c:layout>
              <c:tx>
                <c:rich>
                  <a:bodyPr/>
                  <a:lstStyle/>
                  <a:p>
                    <a:r>
                      <a:rPr lang="en-US" sz="800">
                        <a:latin typeface="Times New Roman" pitchFamily="18" charset="0"/>
                        <a:cs typeface="Times New Roman" pitchFamily="18" charset="0"/>
                      </a:rPr>
                      <a:t>$9.44 m, 34%</a:t>
                    </a:r>
                    <a:endParaRPr lang="en-US"/>
                  </a:p>
                </c:rich>
              </c:tx>
              <c:dLblPos val="bestFit"/>
              <c:showLegendKey val="1"/>
              <c:showVal val="1"/>
              <c:showPercent val="1"/>
            </c:dLbl>
            <c:dLbl>
              <c:idx val="3"/>
              <c:tx>
                <c:rich>
                  <a:bodyPr/>
                  <a:lstStyle/>
                  <a:p>
                    <a:r>
                      <a:rPr lang="en-US" sz="800">
                        <a:latin typeface="Times New Roman" pitchFamily="18" charset="0"/>
                        <a:cs typeface="Times New Roman" pitchFamily="18" charset="0"/>
                      </a:rPr>
                      <a:t>$5.24 m, 19%</a:t>
                    </a:r>
                    <a:endParaRPr lang="en-US"/>
                  </a:p>
                </c:rich>
              </c:tx>
              <c:dLblPos val="bestFit"/>
              <c:showLegendKey val="1"/>
              <c:showVal val="1"/>
              <c:showPercent val="1"/>
            </c:dLbl>
            <c:dLbl>
              <c:idx val="4"/>
              <c:tx>
                <c:rich>
                  <a:bodyPr/>
                  <a:lstStyle/>
                  <a:p>
                    <a:r>
                      <a:rPr lang="en-US" sz="800">
                        <a:latin typeface="Times New Roman" pitchFamily="18" charset="0"/>
                        <a:cs typeface="Times New Roman" pitchFamily="18" charset="0"/>
                      </a:rPr>
                      <a:t>$1.94 m, 7%</a:t>
                    </a:r>
                    <a:endParaRPr lang="en-US"/>
                  </a:p>
                </c:rich>
              </c:tx>
              <c:dLblPos val="bestFit"/>
              <c:showLegendKey val="1"/>
              <c:showVal val="1"/>
              <c:showPercent val="1"/>
            </c:dLbl>
            <c:dLbl>
              <c:idx val="5"/>
              <c:layout>
                <c:manualLayout>
                  <c:x val="8.6802177768341982E-2"/>
                  <c:y val="-2.9320020972498577E-2"/>
                </c:manualLayout>
              </c:layout>
              <c:tx>
                <c:rich>
                  <a:bodyPr/>
                  <a:lstStyle/>
                  <a:p>
                    <a:r>
                      <a:rPr lang="en-US" sz="800">
                        <a:latin typeface="Times New Roman" pitchFamily="18" charset="0"/>
                        <a:cs typeface="Times New Roman" pitchFamily="18" charset="0"/>
                      </a:rPr>
                      <a:t>$0.34 m, 1%</a:t>
                    </a:r>
                    <a:endParaRPr lang="en-US"/>
                  </a:p>
                </c:rich>
              </c:tx>
              <c:dLblPos val="bestFit"/>
              <c:showLegendKey val="1"/>
              <c:showVal val="1"/>
              <c:showPercent val="1"/>
            </c:dLbl>
            <c:txPr>
              <a:bodyPr/>
              <a:lstStyle/>
              <a:p>
                <a:pPr>
                  <a:defRPr sz="800">
                    <a:latin typeface="Times New Roman" pitchFamily="18" charset="0"/>
                    <a:cs typeface="Times New Roman" pitchFamily="18" charset="0"/>
                  </a:defRPr>
                </a:pPr>
                <a:endParaRPr lang="en-US"/>
              </a:p>
            </c:txPr>
            <c:dLblPos val="bestFit"/>
            <c:showLegendKey val="1"/>
            <c:showVal val="1"/>
            <c:showPercent val="1"/>
            <c:showLeaderLines val="1"/>
          </c:dLbls>
          <c:cat>
            <c:strRef>
              <c:f>'[ResourceAllocation_SRG_2012.xlsx]TwoYearPivot_Peep&amp;Resources'!$Q$5:$V$5</c:f>
              <c:strCache>
                <c:ptCount val="6"/>
                <c:pt idx="0">
                  <c:v>Staffing</c:v>
                </c:pt>
                <c:pt idx="1">
                  <c:v>Stipends: Non-Extended Time</c:v>
                </c:pt>
                <c:pt idx="2">
                  <c:v>Stipends: Extended Time</c:v>
                </c:pt>
                <c:pt idx="3">
                  <c:v>Consulting</c:v>
                </c:pt>
                <c:pt idx="4">
                  <c:v>Materials</c:v>
                </c:pt>
                <c:pt idx="5">
                  <c:v>Other</c:v>
                </c:pt>
              </c:strCache>
            </c:strRef>
          </c:cat>
          <c:val>
            <c:numRef>
              <c:f>'[ResourceAllocation_SRG_2012.xlsx]TwoYearPivot_Peep&amp;Resources'!$Q$7:$V$7</c:f>
              <c:numCache>
                <c:formatCode>"$"#,##0.00</c:formatCode>
                <c:ptCount val="6"/>
                <c:pt idx="0">
                  <c:v>6.4471559999999855</c:v>
                </c:pt>
                <c:pt idx="1">
                  <c:v>4.0588129999999945</c:v>
                </c:pt>
                <c:pt idx="2">
                  <c:v>9.4371670000000005</c:v>
                </c:pt>
                <c:pt idx="3">
                  <c:v>5.2368920000000134</c:v>
                </c:pt>
                <c:pt idx="4">
                  <c:v>1.9381680000000001</c:v>
                </c:pt>
                <c:pt idx="5">
                  <c:v>0.33507900000000157</c:v>
                </c:pt>
              </c:numCache>
            </c:numRef>
          </c:val>
        </c:ser>
        <c:dLbls>
          <c:showVal val="1"/>
        </c:dLbls>
      </c:pie3DChart>
    </c:plotArea>
    <c:legend>
      <c:legendPos val="r"/>
      <c:layout>
        <c:manualLayout>
          <c:xMode val="edge"/>
          <c:yMode val="edge"/>
          <c:x val="0.64888793122570065"/>
          <c:y val="0.22538918465151395"/>
          <c:w val="0.33070470064481622"/>
          <c:h val="0.7261185243954188"/>
        </c:manualLayout>
      </c:layout>
      <c:txPr>
        <a:bodyPr/>
        <a:lstStyle/>
        <a:p>
          <a:pPr>
            <a:defRPr sz="800" kern="300" spc="0" baseline="0">
              <a:latin typeface="Times New Roman" pitchFamily="18" charset="0"/>
              <a:cs typeface="Times New Roman" pitchFamily="18" charset="0"/>
            </a:defRPr>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Times New Roman" pitchFamily="18" charset="0"/>
                <a:ea typeface="+mn-ea"/>
                <a:cs typeface="Times New Roman" pitchFamily="18" charset="0"/>
              </a:defRPr>
            </a:pPr>
            <a:r>
              <a:rPr lang="en-US" sz="800" b="1" i="0" baseline="0">
                <a:effectLst/>
                <a:latin typeface="Times New Roman" pitchFamily="18" charset="0"/>
                <a:cs typeface="Times New Roman" pitchFamily="18" charset="0"/>
              </a:rPr>
              <a:t>Chart 2: The percent allocation and dollar amount (in millions) of SRG and Bridge Grant funds by Improvement Focus, excluding stipends for Extended Time, 2010 to 2012</a:t>
            </a:r>
            <a:endParaRPr lang="en-US" sz="800">
              <a:effectLst/>
              <a:latin typeface="Times New Roman" pitchFamily="18" charset="0"/>
              <a:cs typeface="Times New Roman" pitchFamily="18" charset="0"/>
            </a:endParaRPr>
          </a:p>
        </c:rich>
      </c:tx>
    </c:title>
    <c:view3D>
      <c:rotX val="30"/>
      <c:perspective val="30"/>
    </c:view3D>
    <c:plotArea>
      <c:layout/>
      <c:pie3DChart>
        <c:varyColors val="1"/>
        <c:ser>
          <c:idx val="0"/>
          <c:order val="0"/>
          <c:tx>
            <c:strRef>
              <c:f>[ResourceAllocation_SRG_2012.xlsx]TwoYearPivot_ImproveFocus!$AA$5</c:f>
              <c:strCache>
                <c:ptCount val="1"/>
              </c:strCache>
            </c:strRef>
          </c:tx>
          <c:dLbls>
            <c:dLbl>
              <c:idx val="0"/>
              <c:layout>
                <c:manualLayout>
                  <c:x val="2.3502042191250159E-2"/>
                  <c:y val="-4.0574264536151233E-2"/>
                </c:manualLayout>
              </c:layout>
              <c:tx>
                <c:rich>
                  <a:bodyPr/>
                  <a:lstStyle/>
                  <a:p>
                    <a:r>
                      <a:rPr lang="en-US" sz="800">
                        <a:latin typeface="Times New Roman" pitchFamily="18" charset="0"/>
                        <a:cs typeface="Times New Roman" pitchFamily="18" charset="0"/>
                      </a:rPr>
                      <a:t>$0.31 m, 2%</a:t>
                    </a:r>
                    <a:endParaRPr lang="en-US"/>
                  </a:p>
                </c:rich>
              </c:tx>
              <c:dLblPos val="bestFit"/>
              <c:showLegendKey val="1"/>
              <c:showVal val="1"/>
              <c:showPercent val="1"/>
            </c:dLbl>
            <c:dLbl>
              <c:idx val="1"/>
              <c:layout>
                <c:manualLayout>
                  <c:x val="2.860541496484063E-2"/>
                  <c:y val="-1.1931997913941539E-2"/>
                </c:manualLayout>
              </c:layout>
              <c:tx>
                <c:rich>
                  <a:bodyPr/>
                  <a:lstStyle/>
                  <a:p>
                    <a:r>
                      <a:rPr lang="en-US" sz="800">
                        <a:latin typeface="Times New Roman" pitchFamily="18" charset="0"/>
                        <a:cs typeface="Times New Roman" pitchFamily="18" charset="0"/>
                      </a:rPr>
                      <a:t>$2.22 m, 13%</a:t>
                    </a:r>
                    <a:endParaRPr lang="en-US"/>
                  </a:p>
                </c:rich>
              </c:tx>
              <c:dLblPos val="bestFit"/>
              <c:showLegendKey val="1"/>
              <c:showVal val="1"/>
              <c:showPercent val="1"/>
            </c:dLbl>
            <c:dLbl>
              <c:idx val="2"/>
              <c:layout>
                <c:manualLayout>
                  <c:x val="-0.20497623291741038"/>
                  <c:y val="-8.4567014628057505E-2"/>
                </c:manualLayout>
              </c:layout>
              <c:tx>
                <c:rich>
                  <a:bodyPr/>
                  <a:lstStyle/>
                  <a:p>
                    <a:r>
                      <a:rPr lang="en-US" sz="800">
                        <a:latin typeface="Times New Roman" pitchFamily="18" charset="0"/>
                        <a:cs typeface="Times New Roman" pitchFamily="18" charset="0"/>
                      </a:rPr>
                      <a:t>$5.92 m, 34%</a:t>
                    </a:r>
                    <a:endParaRPr lang="en-US"/>
                  </a:p>
                </c:rich>
              </c:tx>
              <c:dLblPos val="bestFit"/>
              <c:showLegendKey val="1"/>
              <c:showVal val="1"/>
              <c:showPercent val="1"/>
            </c:dLbl>
            <c:dLbl>
              <c:idx val="3"/>
              <c:layout>
                <c:manualLayout>
                  <c:x val="0.13423804978923173"/>
                  <c:y val="2.1186317508357224E-2"/>
                </c:manualLayout>
              </c:layout>
              <c:tx>
                <c:rich>
                  <a:bodyPr/>
                  <a:lstStyle/>
                  <a:p>
                    <a:r>
                      <a:rPr lang="en-US" sz="800">
                        <a:latin typeface="Times New Roman" pitchFamily="18" charset="0"/>
                        <a:cs typeface="Times New Roman" pitchFamily="18" charset="0"/>
                      </a:rPr>
                      <a:t>$1.62 m, 9%</a:t>
                    </a:r>
                    <a:endParaRPr lang="en-US"/>
                  </a:p>
                </c:rich>
              </c:tx>
              <c:dLblPos val="bestFit"/>
              <c:showLegendKey val="1"/>
              <c:showVal val="1"/>
              <c:showPercent val="1"/>
            </c:dLbl>
            <c:dLbl>
              <c:idx val="4"/>
              <c:tx>
                <c:rich>
                  <a:bodyPr/>
                  <a:lstStyle/>
                  <a:p>
                    <a:r>
                      <a:rPr lang="en-US" sz="800">
                        <a:latin typeface="Times New Roman" pitchFamily="18" charset="0"/>
                        <a:cs typeface="Times New Roman" pitchFamily="18" charset="0"/>
                      </a:rPr>
                      <a:t>$2.02 m, 11%</a:t>
                    </a:r>
                    <a:endParaRPr lang="en-US"/>
                  </a:p>
                </c:rich>
              </c:tx>
              <c:dLblPos val="bestFit"/>
              <c:showLegendKey val="1"/>
              <c:showVal val="1"/>
              <c:showPercent val="1"/>
            </c:dLbl>
            <c:dLbl>
              <c:idx val="5"/>
              <c:tx>
                <c:rich>
                  <a:bodyPr/>
                  <a:lstStyle/>
                  <a:p>
                    <a:r>
                      <a:rPr lang="en-US" sz="800">
                        <a:latin typeface="Times New Roman" pitchFamily="18" charset="0"/>
                        <a:cs typeface="Times New Roman" pitchFamily="18" charset="0"/>
                      </a:rPr>
                      <a:t>$0.89 m, 5%</a:t>
                    </a:r>
                    <a:endParaRPr lang="en-US"/>
                  </a:p>
                </c:rich>
              </c:tx>
              <c:dLblPos val="bestFit"/>
              <c:showLegendKey val="1"/>
              <c:showVal val="1"/>
              <c:showPercent val="1"/>
            </c:dLbl>
            <c:dLbl>
              <c:idx val="6"/>
              <c:layout>
                <c:manualLayout>
                  <c:x val="1.3816254251641007E-2"/>
                  <c:y val="-9.6091205211726524E-3"/>
                </c:manualLayout>
              </c:layout>
              <c:tx>
                <c:rich>
                  <a:bodyPr/>
                  <a:lstStyle/>
                  <a:p>
                    <a:r>
                      <a:rPr lang="en-US" sz="800">
                        <a:latin typeface="Times New Roman" pitchFamily="18" charset="0"/>
                        <a:cs typeface="Times New Roman" pitchFamily="18" charset="0"/>
                      </a:rPr>
                      <a:t>$1.94 m, 11%</a:t>
                    </a:r>
                    <a:endParaRPr lang="en-US"/>
                  </a:p>
                </c:rich>
              </c:tx>
              <c:dLblPos val="bestFit"/>
              <c:showLegendKey val="1"/>
              <c:showVal val="1"/>
              <c:showPercent val="1"/>
            </c:dLbl>
            <c:dLbl>
              <c:idx val="7"/>
              <c:layout>
                <c:manualLayout>
                  <c:x val="3.937335373185305E-2"/>
                  <c:y val="3.3526977694563441E-2"/>
                </c:manualLayout>
              </c:layout>
              <c:tx>
                <c:rich>
                  <a:bodyPr/>
                  <a:lstStyle/>
                  <a:p>
                    <a:r>
                      <a:rPr lang="en-US" sz="800">
                        <a:latin typeface="Times New Roman" pitchFamily="18" charset="0"/>
                        <a:cs typeface="Times New Roman" pitchFamily="18" charset="0"/>
                      </a:rPr>
                      <a:t>$2.36 m, 13%</a:t>
                    </a:r>
                    <a:endParaRPr lang="en-US"/>
                  </a:p>
                </c:rich>
              </c:tx>
              <c:dLblPos val="bestFit"/>
              <c:showLegendKey val="1"/>
              <c:showVal val="1"/>
              <c:showPercent val="1"/>
            </c:dLbl>
            <c:dLbl>
              <c:idx val="8"/>
              <c:tx>
                <c:rich>
                  <a:bodyPr/>
                  <a:lstStyle/>
                  <a:p>
                    <a:r>
                      <a:rPr lang="en-US" sz="800">
                        <a:latin typeface="Times New Roman" pitchFamily="18" charset="0"/>
                        <a:cs typeface="Times New Roman" pitchFamily="18" charset="0"/>
                      </a:rPr>
                      <a:t>$0.31 m, 2%</a:t>
                    </a:r>
                    <a:endParaRPr lang="en-US"/>
                  </a:p>
                </c:rich>
              </c:tx>
              <c:dLblPos val="bestFit"/>
              <c:showLegendKey val="1"/>
              <c:showVal val="1"/>
              <c:showPercent val="1"/>
            </c:dLbl>
            <c:txPr>
              <a:bodyPr/>
              <a:lstStyle/>
              <a:p>
                <a:pPr>
                  <a:defRPr sz="800">
                    <a:latin typeface="Times New Roman" pitchFamily="18" charset="0"/>
                    <a:cs typeface="Times New Roman" pitchFamily="18" charset="0"/>
                  </a:defRPr>
                </a:pPr>
                <a:endParaRPr lang="en-US"/>
              </a:p>
            </c:txPr>
            <c:dLblPos val="bestFit"/>
            <c:showLegendKey val="1"/>
            <c:showVal val="1"/>
            <c:showPercent val="1"/>
            <c:showLeaderLines val="1"/>
          </c:dLbls>
          <c:cat>
            <c:strRef>
              <c:f>[ResourceAllocation_SRG_2012.xlsx]TwoYearPivot_ImproveFocus!$AB$3:$AJ$3</c:f>
              <c:strCache>
                <c:ptCount val="9"/>
                <c:pt idx="0">
                  <c:v>Redesign Team Planning</c:v>
                </c:pt>
                <c:pt idx="1">
                  <c:v>Implementation Oversight and Coordination</c:v>
                </c:pt>
                <c:pt idx="2">
                  <c:v>Instruction and Direct Support to Students</c:v>
                </c:pt>
                <c:pt idx="3">
                  <c:v>Formal Teacher PD</c:v>
                </c:pt>
                <c:pt idx="4">
                  <c:v>Job-Embedded PD</c:v>
                </c:pt>
                <c:pt idx="5">
                  <c:v>Data</c:v>
                </c:pt>
                <c:pt idx="6">
                  <c:v>Materials</c:v>
                </c:pt>
                <c:pt idx="7">
                  <c:v>Social-Emotional Health</c:v>
                </c:pt>
                <c:pt idx="8">
                  <c:v>Other</c:v>
                </c:pt>
              </c:strCache>
            </c:strRef>
          </c:cat>
          <c:val>
            <c:numRef>
              <c:f>[ResourceAllocation_SRG_2012.xlsx]TwoYearPivot_ImproveFocus!$AB$5:$AJ$5</c:f>
              <c:numCache>
                <c:formatCode>"$"#,##0.00</c:formatCode>
                <c:ptCount val="9"/>
                <c:pt idx="0">
                  <c:v>0.30749100000000001</c:v>
                </c:pt>
                <c:pt idx="1">
                  <c:v>2.218744</c:v>
                </c:pt>
                <c:pt idx="2">
                  <c:v>5.9233380000000002</c:v>
                </c:pt>
                <c:pt idx="3">
                  <c:v>1.6235599999999999</c:v>
                </c:pt>
                <c:pt idx="4">
                  <c:v>2.0248979999999999</c:v>
                </c:pt>
                <c:pt idx="5">
                  <c:v>0.89033299999999638</c:v>
                </c:pt>
                <c:pt idx="6">
                  <c:v>1.9381680000000001</c:v>
                </c:pt>
                <c:pt idx="7">
                  <c:v>2.3567389999999904</c:v>
                </c:pt>
                <c:pt idx="8">
                  <c:v>0.30829200000000001</c:v>
                </c:pt>
              </c:numCache>
            </c:numRef>
          </c:val>
        </c:ser>
        <c:dLbls>
          <c:showVal val="1"/>
        </c:dLbls>
      </c:pie3DChart>
    </c:plotArea>
    <c:legend>
      <c:legendPos val="r"/>
      <c:layout>
        <c:manualLayout>
          <c:xMode val="edge"/>
          <c:yMode val="edge"/>
          <c:x val="0.65633948590434299"/>
          <c:y val="0.190906695873542"/>
          <c:w val="0.32206807145058491"/>
          <c:h val="0.74389970990468579"/>
        </c:manualLayout>
      </c:layout>
      <c:txPr>
        <a:bodyPr/>
        <a:lstStyle/>
        <a:p>
          <a:pPr>
            <a:defRPr sz="800" kern="0" spc="0">
              <a:latin typeface="Times New Roman" pitchFamily="18" charset="0"/>
              <a:cs typeface="Times New Roman" pitchFamily="18" charset="0"/>
            </a:defRPr>
          </a:pPr>
          <a:endParaRPr lang="en-US"/>
        </a:p>
      </c:txPr>
    </c:legend>
    <c:plotVisOnly val="1"/>
    <c:dispBlanksAs val="zero"/>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F02C33-1242-45D7-9C51-4D73775C8C4C}" type="doc">
      <dgm:prSet loTypeId="urn:microsoft.com/office/officeart/2005/8/layout/cycle7" loCatId="cycle" qsTypeId="urn:microsoft.com/office/officeart/2005/8/quickstyle/simple4" qsCatId="simple" csTypeId="urn:microsoft.com/office/officeart/2005/8/colors/accent1_2" csCatId="accent1" phldr="1"/>
      <dgm:spPr/>
      <dgm:t>
        <a:bodyPr/>
        <a:lstStyle/>
        <a:p>
          <a:endParaRPr lang="en-US"/>
        </a:p>
      </dgm:t>
    </dgm:pt>
    <dgm:pt modelId="{8492C755-E1E2-4E30-A0E4-3EAEBF70497A}">
      <dgm:prSet phldrT="[Text]" custT="1"/>
      <dgm:spPr/>
      <dgm:t>
        <a:bodyPr/>
        <a:lstStyle/>
        <a:p>
          <a:r>
            <a:rPr lang="en-US" sz="900"/>
            <a:t>Leadership and culture that enables Turnaround</a:t>
          </a:r>
        </a:p>
      </dgm:t>
    </dgm:pt>
    <dgm:pt modelId="{B6ACB836-6B6E-4DF8-BB78-0E4CBE1C7382}" type="parTrans" cxnId="{B1EE0D86-3F53-489B-8018-248F750D8163}">
      <dgm:prSet/>
      <dgm:spPr/>
      <dgm:t>
        <a:bodyPr/>
        <a:lstStyle/>
        <a:p>
          <a:endParaRPr lang="en-US"/>
        </a:p>
      </dgm:t>
    </dgm:pt>
    <dgm:pt modelId="{D05A9F80-95C0-4CE4-B70B-C61C2847B618}" type="sibTrans" cxnId="{B1EE0D86-3F53-489B-8018-248F750D8163}">
      <dgm:prSet custT="1"/>
      <dgm:spPr/>
      <dgm:t>
        <a:bodyPr/>
        <a:lstStyle/>
        <a:p>
          <a:endParaRPr lang="en-US" sz="800"/>
        </a:p>
      </dgm:t>
    </dgm:pt>
    <dgm:pt modelId="{D0C4EF60-23F9-456D-82BE-AD5757FD93AB}">
      <dgm:prSet phldrT="[Text]" custT="1"/>
      <dgm:spPr/>
      <dgm:t>
        <a:bodyPr/>
        <a:lstStyle/>
        <a:p>
          <a:r>
            <a:rPr lang="en-US" sz="900"/>
            <a:t>Improving instruction and interventions through teacher- and student-specific data</a:t>
          </a:r>
        </a:p>
      </dgm:t>
    </dgm:pt>
    <dgm:pt modelId="{1BA501C0-A517-48E4-8224-8E21F770805C}" type="parTrans" cxnId="{9D5A60D7-9EE9-4DDB-9F7C-6EB5230A6B9C}">
      <dgm:prSet/>
      <dgm:spPr/>
      <dgm:t>
        <a:bodyPr/>
        <a:lstStyle/>
        <a:p>
          <a:endParaRPr lang="en-US"/>
        </a:p>
      </dgm:t>
    </dgm:pt>
    <dgm:pt modelId="{038F36E7-339E-4F06-A87A-4BEC3B447C28}" type="sibTrans" cxnId="{9D5A60D7-9EE9-4DDB-9F7C-6EB5230A6B9C}">
      <dgm:prSet custT="1"/>
      <dgm:spPr/>
      <dgm:t>
        <a:bodyPr/>
        <a:lstStyle/>
        <a:p>
          <a:endParaRPr lang="en-US" sz="800"/>
        </a:p>
      </dgm:t>
    </dgm:pt>
    <dgm:pt modelId="{3D91FAD8-CBDA-4B30-987F-B955295C6C2F}">
      <dgm:prSet phldrT="[Text]" custT="1"/>
      <dgm:spPr/>
      <dgm:t>
        <a:bodyPr/>
        <a:lstStyle/>
        <a:p>
          <a:r>
            <a:rPr lang="en-US" sz="900"/>
            <a:t>Providing data driven and tiered instruction for all students</a:t>
          </a:r>
        </a:p>
      </dgm:t>
    </dgm:pt>
    <dgm:pt modelId="{FDBACD99-1236-4EE7-BDAC-F4B1D5858862}" type="parTrans" cxnId="{09119A5E-F8A9-4C70-B661-1C2AD6B28F32}">
      <dgm:prSet/>
      <dgm:spPr/>
      <dgm:t>
        <a:bodyPr/>
        <a:lstStyle/>
        <a:p>
          <a:endParaRPr lang="en-US"/>
        </a:p>
      </dgm:t>
    </dgm:pt>
    <dgm:pt modelId="{D994C337-1E3A-4821-B5C1-0BB8C5B08144}" type="sibTrans" cxnId="{09119A5E-F8A9-4C70-B661-1C2AD6B28F32}">
      <dgm:prSet custT="1"/>
      <dgm:spPr/>
      <dgm:t>
        <a:bodyPr/>
        <a:lstStyle/>
        <a:p>
          <a:endParaRPr lang="en-US" sz="800"/>
        </a:p>
      </dgm:t>
    </dgm:pt>
    <dgm:pt modelId="{5B3F8AC7-714B-42C3-9F9D-FD9F7CAA47EB}" type="pres">
      <dgm:prSet presAssocID="{61F02C33-1242-45D7-9C51-4D73775C8C4C}" presName="Name0" presStyleCnt="0">
        <dgm:presLayoutVars>
          <dgm:dir/>
          <dgm:resizeHandles val="exact"/>
        </dgm:presLayoutVars>
      </dgm:prSet>
      <dgm:spPr/>
      <dgm:t>
        <a:bodyPr/>
        <a:lstStyle/>
        <a:p>
          <a:endParaRPr lang="en-US"/>
        </a:p>
      </dgm:t>
    </dgm:pt>
    <dgm:pt modelId="{B72E0A2A-35E7-47EF-836C-EC57979685DF}" type="pres">
      <dgm:prSet presAssocID="{8492C755-E1E2-4E30-A0E4-3EAEBF70497A}" presName="node" presStyleLbl="node1" presStyleIdx="0" presStyleCnt="3" custScaleY="130817">
        <dgm:presLayoutVars>
          <dgm:bulletEnabled val="1"/>
        </dgm:presLayoutVars>
      </dgm:prSet>
      <dgm:spPr/>
      <dgm:t>
        <a:bodyPr/>
        <a:lstStyle/>
        <a:p>
          <a:endParaRPr lang="en-US"/>
        </a:p>
      </dgm:t>
    </dgm:pt>
    <dgm:pt modelId="{91BB0E78-0BA8-4614-AB34-AE47920CF078}" type="pres">
      <dgm:prSet presAssocID="{D05A9F80-95C0-4CE4-B70B-C61C2847B618}" presName="sibTrans" presStyleLbl="sibTrans2D1" presStyleIdx="0" presStyleCnt="3" custScaleX="77295" custScaleY="40917"/>
      <dgm:spPr/>
      <dgm:t>
        <a:bodyPr/>
        <a:lstStyle/>
        <a:p>
          <a:endParaRPr lang="en-US"/>
        </a:p>
      </dgm:t>
    </dgm:pt>
    <dgm:pt modelId="{578D587A-CAAC-4F34-8E11-E0A90752DE02}" type="pres">
      <dgm:prSet presAssocID="{D05A9F80-95C0-4CE4-B70B-C61C2847B618}" presName="connectorText" presStyleLbl="sibTrans2D1" presStyleIdx="0" presStyleCnt="3"/>
      <dgm:spPr/>
      <dgm:t>
        <a:bodyPr/>
        <a:lstStyle/>
        <a:p>
          <a:endParaRPr lang="en-US"/>
        </a:p>
      </dgm:t>
    </dgm:pt>
    <dgm:pt modelId="{654BE522-AE60-4968-9ADE-C3CE1B8E749D}" type="pres">
      <dgm:prSet presAssocID="{D0C4EF60-23F9-456D-82BE-AD5757FD93AB}" presName="node" presStyleLbl="node1" presStyleIdx="1" presStyleCnt="3" custScaleY="130817">
        <dgm:presLayoutVars>
          <dgm:bulletEnabled val="1"/>
        </dgm:presLayoutVars>
      </dgm:prSet>
      <dgm:spPr/>
      <dgm:t>
        <a:bodyPr/>
        <a:lstStyle/>
        <a:p>
          <a:endParaRPr lang="en-US"/>
        </a:p>
      </dgm:t>
    </dgm:pt>
    <dgm:pt modelId="{7C00A8A8-5EB1-416E-B741-61F2B66B0655}" type="pres">
      <dgm:prSet presAssocID="{038F36E7-339E-4F06-A87A-4BEC3B447C28}" presName="sibTrans" presStyleLbl="sibTrans2D1" presStyleIdx="1" presStyleCnt="3" custScaleX="77295" custScaleY="40917"/>
      <dgm:spPr/>
      <dgm:t>
        <a:bodyPr/>
        <a:lstStyle/>
        <a:p>
          <a:endParaRPr lang="en-US"/>
        </a:p>
      </dgm:t>
    </dgm:pt>
    <dgm:pt modelId="{3D40BEC6-69BB-488D-AB50-70B7547A80A1}" type="pres">
      <dgm:prSet presAssocID="{038F36E7-339E-4F06-A87A-4BEC3B447C28}" presName="connectorText" presStyleLbl="sibTrans2D1" presStyleIdx="1" presStyleCnt="3"/>
      <dgm:spPr/>
      <dgm:t>
        <a:bodyPr/>
        <a:lstStyle/>
        <a:p>
          <a:endParaRPr lang="en-US"/>
        </a:p>
      </dgm:t>
    </dgm:pt>
    <dgm:pt modelId="{5784E249-390E-45FD-8E68-FFA7B0929F0F}" type="pres">
      <dgm:prSet presAssocID="{3D91FAD8-CBDA-4B30-987F-B955295C6C2F}" presName="node" presStyleLbl="node1" presStyleIdx="2" presStyleCnt="3" custScaleY="130817">
        <dgm:presLayoutVars>
          <dgm:bulletEnabled val="1"/>
        </dgm:presLayoutVars>
      </dgm:prSet>
      <dgm:spPr/>
      <dgm:t>
        <a:bodyPr/>
        <a:lstStyle/>
        <a:p>
          <a:endParaRPr lang="en-US"/>
        </a:p>
      </dgm:t>
    </dgm:pt>
    <dgm:pt modelId="{5D5A508F-A4D6-46E9-8AA6-268AB7B72CA7}" type="pres">
      <dgm:prSet presAssocID="{D994C337-1E3A-4821-B5C1-0BB8C5B08144}" presName="sibTrans" presStyleLbl="sibTrans2D1" presStyleIdx="2" presStyleCnt="3" custScaleX="77295" custScaleY="40917"/>
      <dgm:spPr/>
      <dgm:t>
        <a:bodyPr/>
        <a:lstStyle/>
        <a:p>
          <a:endParaRPr lang="en-US"/>
        </a:p>
      </dgm:t>
    </dgm:pt>
    <dgm:pt modelId="{9D7F81DB-644A-4009-8102-2EA0BD27E080}" type="pres">
      <dgm:prSet presAssocID="{D994C337-1E3A-4821-B5C1-0BB8C5B08144}" presName="connectorText" presStyleLbl="sibTrans2D1" presStyleIdx="2" presStyleCnt="3"/>
      <dgm:spPr/>
      <dgm:t>
        <a:bodyPr/>
        <a:lstStyle/>
        <a:p>
          <a:endParaRPr lang="en-US"/>
        </a:p>
      </dgm:t>
    </dgm:pt>
  </dgm:ptLst>
  <dgm:cxnLst>
    <dgm:cxn modelId="{32EA5B43-2BF8-47FE-ACC1-F3BD519B9D51}" type="presOf" srcId="{D05A9F80-95C0-4CE4-B70B-C61C2847B618}" destId="{91BB0E78-0BA8-4614-AB34-AE47920CF078}" srcOrd="0" destOrd="0" presId="urn:microsoft.com/office/officeart/2005/8/layout/cycle7"/>
    <dgm:cxn modelId="{6019A69F-02B6-42EE-A5A0-4DC657760066}" type="presOf" srcId="{038F36E7-339E-4F06-A87A-4BEC3B447C28}" destId="{3D40BEC6-69BB-488D-AB50-70B7547A80A1}" srcOrd="1" destOrd="0" presId="urn:microsoft.com/office/officeart/2005/8/layout/cycle7"/>
    <dgm:cxn modelId="{462B1FBC-2C12-490E-BE8B-D839522576AC}" type="presOf" srcId="{038F36E7-339E-4F06-A87A-4BEC3B447C28}" destId="{7C00A8A8-5EB1-416E-B741-61F2B66B0655}" srcOrd="0" destOrd="0" presId="urn:microsoft.com/office/officeart/2005/8/layout/cycle7"/>
    <dgm:cxn modelId="{B6BB7576-5BF4-489A-ADEA-BC4A90B85DA4}" type="presOf" srcId="{3D91FAD8-CBDA-4B30-987F-B955295C6C2F}" destId="{5784E249-390E-45FD-8E68-FFA7B0929F0F}" srcOrd="0" destOrd="0" presId="urn:microsoft.com/office/officeart/2005/8/layout/cycle7"/>
    <dgm:cxn modelId="{09119A5E-F8A9-4C70-B661-1C2AD6B28F32}" srcId="{61F02C33-1242-45D7-9C51-4D73775C8C4C}" destId="{3D91FAD8-CBDA-4B30-987F-B955295C6C2F}" srcOrd="2" destOrd="0" parTransId="{FDBACD99-1236-4EE7-BDAC-F4B1D5858862}" sibTransId="{D994C337-1E3A-4821-B5C1-0BB8C5B08144}"/>
    <dgm:cxn modelId="{9D5A60D7-9EE9-4DDB-9F7C-6EB5230A6B9C}" srcId="{61F02C33-1242-45D7-9C51-4D73775C8C4C}" destId="{D0C4EF60-23F9-456D-82BE-AD5757FD93AB}" srcOrd="1" destOrd="0" parTransId="{1BA501C0-A517-48E4-8224-8E21F770805C}" sibTransId="{038F36E7-339E-4F06-A87A-4BEC3B447C28}"/>
    <dgm:cxn modelId="{B1EE0D86-3F53-489B-8018-248F750D8163}" srcId="{61F02C33-1242-45D7-9C51-4D73775C8C4C}" destId="{8492C755-E1E2-4E30-A0E4-3EAEBF70497A}" srcOrd="0" destOrd="0" parTransId="{B6ACB836-6B6E-4DF8-BB78-0E4CBE1C7382}" sibTransId="{D05A9F80-95C0-4CE4-B70B-C61C2847B618}"/>
    <dgm:cxn modelId="{B131245A-7E5D-4C62-B62F-3B6103104CFB}" type="presOf" srcId="{8492C755-E1E2-4E30-A0E4-3EAEBF70497A}" destId="{B72E0A2A-35E7-47EF-836C-EC57979685DF}" srcOrd="0" destOrd="0" presId="urn:microsoft.com/office/officeart/2005/8/layout/cycle7"/>
    <dgm:cxn modelId="{0D7760EC-FA2D-4B6C-B5DA-8FADF7576F90}" type="presOf" srcId="{61F02C33-1242-45D7-9C51-4D73775C8C4C}" destId="{5B3F8AC7-714B-42C3-9F9D-FD9F7CAA47EB}" srcOrd="0" destOrd="0" presId="urn:microsoft.com/office/officeart/2005/8/layout/cycle7"/>
    <dgm:cxn modelId="{CDCDA68F-8483-4FF0-8818-89543655870C}" type="presOf" srcId="{D05A9F80-95C0-4CE4-B70B-C61C2847B618}" destId="{578D587A-CAAC-4F34-8E11-E0A90752DE02}" srcOrd="1" destOrd="0" presId="urn:microsoft.com/office/officeart/2005/8/layout/cycle7"/>
    <dgm:cxn modelId="{15381272-BBE5-4697-915C-03E352806354}" type="presOf" srcId="{D994C337-1E3A-4821-B5C1-0BB8C5B08144}" destId="{9D7F81DB-644A-4009-8102-2EA0BD27E080}" srcOrd="1" destOrd="0" presId="urn:microsoft.com/office/officeart/2005/8/layout/cycle7"/>
    <dgm:cxn modelId="{94D0D0C6-65E0-4FBF-AA1A-204264D92105}" type="presOf" srcId="{D994C337-1E3A-4821-B5C1-0BB8C5B08144}" destId="{5D5A508F-A4D6-46E9-8AA6-268AB7B72CA7}" srcOrd="0" destOrd="0" presId="urn:microsoft.com/office/officeart/2005/8/layout/cycle7"/>
    <dgm:cxn modelId="{A087F228-6F0D-414D-8D28-E0291C9A59A5}" type="presOf" srcId="{D0C4EF60-23F9-456D-82BE-AD5757FD93AB}" destId="{654BE522-AE60-4968-9ADE-C3CE1B8E749D}" srcOrd="0" destOrd="0" presId="urn:microsoft.com/office/officeart/2005/8/layout/cycle7"/>
    <dgm:cxn modelId="{CFF00DB8-9D4C-41B8-B82D-D69F0BC1731E}" type="presParOf" srcId="{5B3F8AC7-714B-42C3-9F9D-FD9F7CAA47EB}" destId="{B72E0A2A-35E7-47EF-836C-EC57979685DF}" srcOrd="0" destOrd="0" presId="urn:microsoft.com/office/officeart/2005/8/layout/cycle7"/>
    <dgm:cxn modelId="{220EC935-5F25-4AA5-A45C-FAB5546DF071}" type="presParOf" srcId="{5B3F8AC7-714B-42C3-9F9D-FD9F7CAA47EB}" destId="{91BB0E78-0BA8-4614-AB34-AE47920CF078}" srcOrd="1" destOrd="0" presId="urn:microsoft.com/office/officeart/2005/8/layout/cycle7"/>
    <dgm:cxn modelId="{223A2547-DC40-40DB-B3A9-82646E9469B4}" type="presParOf" srcId="{91BB0E78-0BA8-4614-AB34-AE47920CF078}" destId="{578D587A-CAAC-4F34-8E11-E0A90752DE02}" srcOrd="0" destOrd="0" presId="urn:microsoft.com/office/officeart/2005/8/layout/cycle7"/>
    <dgm:cxn modelId="{614AF4A2-0D3E-4004-9CB4-0B2019050837}" type="presParOf" srcId="{5B3F8AC7-714B-42C3-9F9D-FD9F7CAA47EB}" destId="{654BE522-AE60-4968-9ADE-C3CE1B8E749D}" srcOrd="2" destOrd="0" presId="urn:microsoft.com/office/officeart/2005/8/layout/cycle7"/>
    <dgm:cxn modelId="{5027B7A9-F892-40BB-B3FA-78219EB9B771}" type="presParOf" srcId="{5B3F8AC7-714B-42C3-9F9D-FD9F7CAA47EB}" destId="{7C00A8A8-5EB1-416E-B741-61F2B66B0655}" srcOrd="3" destOrd="0" presId="urn:microsoft.com/office/officeart/2005/8/layout/cycle7"/>
    <dgm:cxn modelId="{7B627193-B70A-436A-82AA-91CA73E33D43}" type="presParOf" srcId="{7C00A8A8-5EB1-416E-B741-61F2B66B0655}" destId="{3D40BEC6-69BB-488D-AB50-70B7547A80A1}" srcOrd="0" destOrd="0" presId="urn:microsoft.com/office/officeart/2005/8/layout/cycle7"/>
    <dgm:cxn modelId="{35BB8526-21F4-4166-AC1B-A2B89FC85263}" type="presParOf" srcId="{5B3F8AC7-714B-42C3-9F9D-FD9F7CAA47EB}" destId="{5784E249-390E-45FD-8E68-FFA7B0929F0F}" srcOrd="4" destOrd="0" presId="urn:microsoft.com/office/officeart/2005/8/layout/cycle7"/>
    <dgm:cxn modelId="{3F8D08F1-0F97-4D2E-B9F5-E36CD23D7510}" type="presParOf" srcId="{5B3F8AC7-714B-42C3-9F9D-FD9F7CAA47EB}" destId="{5D5A508F-A4D6-46E9-8AA6-268AB7B72CA7}" srcOrd="5" destOrd="0" presId="urn:microsoft.com/office/officeart/2005/8/layout/cycle7"/>
    <dgm:cxn modelId="{02EE37F4-8741-4256-8B8E-B139A928F97C}" type="presParOf" srcId="{5D5A508F-A4D6-46E9-8AA6-268AB7B72CA7}" destId="{9D7F81DB-644A-4009-8102-2EA0BD27E080}" srcOrd="0" destOrd="0" presId="urn:microsoft.com/office/officeart/2005/8/layout/cycle7"/>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72E0A2A-35E7-47EF-836C-EC57979685DF}">
      <dsp:nvSpPr>
        <dsp:cNvPr id="0" name=""/>
        <dsp:cNvSpPr/>
      </dsp:nvSpPr>
      <dsp:spPr>
        <a:xfrm>
          <a:off x="932906" y="-75421"/>
          <a:ext cx="1128846" cy="73836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Leadership and culture that enables Turnaround</a:t>
          </a:r>
        </a:p>
      </dsp:txBody>
      <dsp:txXfrm>
        <a:off x="932906" y="-75421"/>
        <a:ext cx="1128846" cy="738361"/>
      </dsp:txXfrm>
    </dsp:sp>
    <dsp:sp modelId="{91BB0E78-0BA8-4614-AB34-AE47920CF078}">
      <dsp:nvSpPr>
        <dsp:cNvPr id="0" name=""/>
        <dsp:cNvSpPr/>
      </dsp:nvSpPr>
      <dsp:spPr>
        <a:xfrm rot="3600000">
          <a:off x="1736008" y="1060674"/>
          <a:ext cx="454868" cy="80830"/>
        </a:xfrm>
        <a:prstGeom prst="lef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3600000">
        <a:off x="1736008" y="1060674"/>
        <a:ext cx="454868" cy="80830"/>
      </dsp:txXfrm>
    </dsp:sp>
    <dsp:sp modelId="{654BE522-AE60-4968-9ADE-C3CE1B8E749D}">
      <dsp:nvSpPr>
        <dsp:cNvPr id="0" name=""/>
        <dsp:cNvSpPr/>
      </dsp:nvSpPr>
      <dsp:spPr>
        <a:xfrm>
          <a:off x="1865132" y="1539240"/>
          <a:ext cx="1128846" cy="73836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Improving instruction and interventions through teacher- and student-specific data</a:t>
          </a:r>
        </a:p>
      </dsp:txBody>
      <dsp:txXfrm>
        <a:off x="1865132" y="1539240"/>
        <a:ext cx="1128846" cy="738361"/>
      </dsp:txXfrm>
    </dsp:sp>
    <dsp:sp modelId="{7C00A8A8-5EB1-416E-B741-61F2B66B0655}">
      <dsp:nvSpPr>
        <dsp:cNvPr id="0" name=""/>
        <dsp:cNvSpPr/>
      </dsp:nvSpPr>
      <dsp:spPr>
        <a:xfrm rot="10800000">
          <a:off x="1269895" y="1868005"/>
          <a:ext cx="454868" cy="80830"/>
        </a:xfrm>
        <a:prstGeom prst="lef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1269895" y="1868005"/>
        <a:ext cx="454868" cy="80830"/>
      </dsp:txXfrm>
    </dsp:sp>
    <dsp:sp modelId="{5784E249-390E-45FD-8E68-FFA7B0929F0F}">
      <dsp:nvSpPr>
        <dsp:cNvPr id="0" name=""/>
        <dsp:cNvSpPr/>
      </dsp:nvSpPr>
      <dsp:spPr>
        <a:xfrm>
          <a:off x="681" y="1539240"/>
          <a:ext cx="1128846" cy="73836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Providing data driven and tiered instruction for all students</a:t>
          </a:r>
        </a:p>
      </dsp:txBody>
      <dsp:txXfrm>
        <a:off x="681" y="1539240"/>
        <a:ext cx="1128846" cy="738361"/>
      </dsp:txXfrm>
    </dsp:sp>
    <dsp:sp modelId="{5D5A508F-A4D6-46E9-8AA6-268AB7B72CA7}">
      <dsp:nvSpPr>
        <dsp:cNvPr id="0" name=""/>
        <dsp:cNvSpPr/>
      </dsp:nvSpPr>
      <dsp:spPr>
        <a:xfrm rot="18000000">
          <a:off x="803782" y="1060674"/>
          <a:ext cx="454868" cy="80830"/>
        </a:xfrm>
        <a:prstGeom prst="lef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8000000">
        <a:off x="803782" y="1060674"/>
        <a:ext cx="454868" cy="80830"/>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47642-5433-46BD-8759-1065DECE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11739</Words>
  <Characters>67858</Characters>
  <Application>Microsoft Office Word</Application>
  <DocSecurity>0</DocSecurity>
  <Lines>2423</Lines>
  <Paragraphs>1349</Paragraphs>
  <ScaleCrop>false</ScaleCrop>
  <HeadingPairs>
    <vt:vector size="2" baseType="variant">
      <vt:variant>
        <vt:lpstr>Title</vt:lpstr>
      </vt:variant>
      <vt:variant>
        <vt:i4>1</vt:i4>
      </vt:variant>
    </vt:vector>
  </HeadingPairs>
  <TitlesOfParts>
    <vt:vector size="1" baseType="lpstr">
      <vt:lpstr>BESE Attachment 2, Emerging and Sustaining Practices for School Turnaround, June 2013</vt:lpstr>
    </vt:vector>
  </TitlesOfParts>
  <Company/>
  <LinksUpToDate>false</LinksUpToDate>
  <CharactersWithSpaces>78248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2013-10-07T14:47:00Z</dcterms:created>
  <dc:creator>ESE</dc:creator>
  <lastModifiedBy>dzou</lastModifiedBy>
  <lastPrinted>2013-06-14T15:57:00Z</lastPrinted>
  <dcterms:modified xsi:type="dcterms:W3CDTF">2013-10-07T15:18:00Z</dcterms:modified>
  <revision>4</revision>
  <dc:title>BESE Attachment 2, Emerging and Sustaining Practices for School Turnaround, June 2013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7 2013</vt:lpwstr>
  </property>
</Properties>
</file>