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C234C" w14:textId="77777777" w:rsidR="009A1348" w:rsidRPr="0044010B" w:rsidRDefault="009A1348" w:rsidP="00F832CA">
      <w:pPr>
        <w:pStyle w:val="Title"/>
        <w:jc w:val="center"/>
        <w:rPr>
          <w:b/>
        </w:rPr>
      </w:pPr>
      <w:r w:rsidRPr="0044010B">
        <w:rPr>
          <w:b/>
        </w:rPr>
        <w:t>Overview of the Turnaround Plan Review and Feedback Process</w:t>
      </w:r>
    </w:p>
    <w:p w14:paraId="6872D3C7" w14:textId="77777777" w:rsidR="009A1348" w:rsidRPr="0044010B" w:rsidRDefault="009A1348" w:rsidP="0044010B">
      <w:pPr>
        <w:pStyle w:val="Title"/>
      </w:pPr>
    </w:p>
    <w:p w14:paraId="183369D7" w14:textId="77777777" w:rsidR="00A65995" w:rsidRDefault="009A1348" w:rsidP="00700D04">
      <w:r w:rsidRPr="00EF045B">
        <w:t xml:space="preserve">The Turnaround Plan Review process is designed to provide schools with feedback on the turnaround plans </w:t>
      </w:r>
      <w:r w:rsidR="003F27E5" w:rsidRPr="00EF045B">
        <w:t>submit</w:t>
      </w:r>
      <w:r w:rsidR="003F27E5">
        <w:t>ted</w:t>
      </w:r>
      <w:r w:rsidRPr="00EF045B">
        <w:t xml:space="preserve"> to DESE.  </w:t>
      </w:r>
      <w:r w:rsidRPr="00011A64">
        <w:t>Our goal is to</w:t>
      </w:r>
      <w:r w:rsidR="00A65995">
        <w:t xml:space="preserve"> </w:t>
      </w:r>
      <w:r w:rsidR="00A65995" w:rsidRPr="00011A64">
        <w:t xml:space="preserve">provide </w:t>
      </w:r>
      <w:r w:rsidR="00A65995">
        <w:t xml:space="preserve">useful </w:t>
      </w:r>
      <w:r w:rsidR="00A65995" w:rsidRPr="00011A64">
        <w:t xml:space="preserve">feedback that will help </w:t>
      </w:r>
      <w:r w:rsidR="00A65995">
        <w:t>leadership</w:t>
      </w:r>
      <w:r w:rsidR="00A65995" w:rsidRPr="00011A64">
        <w:t xml:space="preserve"> think about ways in which they can strengthen and refine their plans </w:t>
      </w:r>
      <w:r w:rsidR="00A65995">
        <w:t xml:space="preserve">and gear up for a successful fall </w:t>
      </w:r>
      <w:r w:rsidR="00A65995" w:rsidRPr="00011A64">
        <w:t>implementat</w:t>
      </w:r>
      <w:r w:rsidR="00A65995">
        <w:t xml:space="preserve">ion. The feedback process will </w:t>
      </w:r>
      <w:r w:rsidR="00996B56">
        <w:t>let schools</w:t>
      </w:r>
      <w:r w:rsidR="00996B56" w:rsidRPr="00011A64">
        <w:t xml:space="preserve"> know the extent to which they are hitting </w:t>
      </w:r>
      <w:r w:rsidR="00996B56">
        <w:t xml:space="preserve">a set of </w:t>
      </w:r>
      <w:r w:rsidR="00996B56" w:rsidRPr="00011A64">
        <w:t>standard</w:t>
      </w:r>
      <w:r w:rsidR="00996B56">
        <w:t>s</w:t>
      </w:r>
      <w:r w:rsidR="00996B56" w:rsidRPr="00011A64">
        <w:t>/criteria for a coherent, well-conceptualized</w:t>
      </w:r>
      <w:r w:rsidR="00996B56">
        <w:t>, implementable</w:t>
      </w:r>
      <w:r w:rsidR="00996B56" w:rsidRPr="00011A64">
        <w:t xml:space="preserve"> plan</w:t>
      </w:r>
      <w:r w:rsidR="00A65995">
        <w:t>.</w:t>
      </w:r>
    </w:p>
    <w:p w14:paraId="077009D7" w14:textId="77777777" w:rsidR="00996B56" w:rsidRPr="00AF7525" w:rsidRDefault="00996B56" w:rsidP="00700D04"/>
    <w:p w14:paraId="70364170" w14:textId="77777777" w:rsidR="00584099" w:rsidRPr="003F27E5" w:rsidRDefault="00AF7525" w:rsidP="00AF7525">
      <w:pPr>
        <w:rPr>
          <w:i/>
        </w:rPr>
      </w:pPr>
      <w:r w:rsidRPr="00AF7525">
        <w:rPr>
          <w:i/>
        </w:rPr>
        <w:t xml:space="preserve">Please keep in mind that this </w:t>
      </w:r>
      <w:r w:rsidR="003F27E5">
        <w:rPr>
          <w:i/>
        </w:rPr>
        <w:t xml:space="preserve">is a pilot year for this </w:t>
      </w:r>
      <w:r w:rsidRPr="00AF7525">
        <w:rPr>
          <w:i/>
        </w:rPr>
        <w:t xml:space="preserve">new process. </w:t>
      </w:r>
      <w:r>
        <w:t xml:space="preserve"> </w:t>
      </w:r>
      <w:r w:rsidRPr="00AF7525">
        <w:rPr>
          <w:i/>
        </w:rPr>
        <w:t>We will reach out to schools and districts this summer to learn m</w:t>
      </w:r>
      <w:r w:rsidR="003F27E5">
        <w:rPr>
          <w:i/>
        </w:rPr>
        <w:t>ore about the extent to which</w:t>
      </w:r>
      <w:r w:rsidRPr="00AF7525">
        <w:rPr>
          <w:i/>
        </w:rPr>
        <w:t xml:space="preserve"> the goals described above </w:t>
      </w:r>
      <w:r w:rsidR="003F27E5">
        <w:rPr>
          <w:i/>
        </w:rPr>
        <w:t xml:space="preserve">were met </w:t>
      </w:r>
      <w:r w:rsidRPr="00AF7525">
        <w:rPr>
          <w:i/>
        </w:rPr>
        <w:t>and gather your suggestions and recommendations for how we can improve the feedback process</w:t>
      </w:r>
      <w:r w:rsidR="003F27E5">
        <w:rPr>
          <w:i/>
        </w:rPr>
        <w:t xml:space="preserve"> next year</w:t>
      </w:r>
      <w:r w:rsidRPr="00AF7525">
        <w:rPr>
          <w:i/>
        </w:rPr>
        <w:t>.</w:t>
      </w:r>
    </w:p>
    <w:p w14:paraId="6C7958B3" w14:textId="77777777" w:rsidR="00441719" w:rsidRPr="00441719" w:rsidRDefault="00441719" w:rsidP="00441719">
      <w:pPr>
        <w:pStyle w:val="Heading1"/>
        <w:rPr>
          <w:b/>
        </w:rPr>
      </w:pPr>
      <w:r>
        <w:rPr>
          <w:b/>
        </w:rPr>
        <w:t>Instructions for submitting</w:t>
      </w:r>
      <w:r w:rsidRPr="00441719">
        <w:rPr>
          <w:b/>
        </w:rPr>
        <w:t xml:space="preserve"> turnaround plan</w:t>
      </w:r>
      <w:r>
        <w:rPr>
          <w:b/>
        </w:rPr>
        <w:t>s</w:t>
      </w:r>
      <w:r w:rsidRPr="00441719">
        <w:rPr>
          <w:b/>
        </w:rPr>
        <w:t xml:space="preserve">  </w:t>
      </w:r>
    </w:p>
    <w:p w14:paraId="064CC457" w14:textId="77777777" w:rsidR="00441719" w:rsidRPr="00563128" w:rsidRDefault="00441719" w:rsidP="00441719">
      <w:pPr>
        <w:rPr>
          <w:b/>
          <w:i/>
        </w:rPr>
      </w:pPr>
    </w:p>
    <w:p w14:paraId="4A14F414" w14:textId="77777777" w:rsidR="00441719" w:rsidRPr="00441719" w:rsidRDefault="00441719" w:rsidP="00441719">
      <w:pPr>
        <w:pStyle w:val="ListParagraph"/>
        <w:numPr>
          <w:ilvl w:val="0"/>
          <w:numId w:val="1"/>
        </w:numPr>
        <w:rPr>
          <w:b/>
          <w:i/>
        </w:rPr>
      </w:pPr>
      <w:r>
        <w:t xml:space="preserve">The submission window for turnaround plans is </w:t>
      </w:r>
      <w:r w:rsidRPr="00441719">
        <w:rPr>
          <w:b/>
          <w:i/>
        </w:rPr>
        <w:t>T</w:t>
      </w:r>
      <w:r w:rsidR="00114B07">
        <w:rPr>
          <w:b/>
          <w:i/>
        </w:rPr>
        <w:t>uesday April 30 – Tuesday June 28</w:t>
      </w:r>
    </w:p>
    <w:p w14:paraId="20E47F21" w14:textId="77777777" w:rsidR="003F27E5" w:rsidRDefault="00441719" w:rsidP="00441719">
      <w:pPr>
        <w:pStyle w:val="ListParagraph"/>
        <w:numPr>
          <w:ilvl w:val="0"/>
          <w:numId w:val="1"/>
        </w:numPr>
      </w:pPr>
      <w:r>
        <w:t xml:space="preserve">Please use the following naming convention for your plan:  </w:t>
      </w:r>
    </w:p>
    <w:p w14:paraId="78EDE2FC" w14:textId="77777777" w:rsidR="00441719" w:rsidRDefault="00441719" w:rsidP="003F27E5">
      <w:pPr>
        <w:pStyle w:val="ListParagraph"/>
      </w:pPr>
      <w:r w:rsidRPr="00DE193D">
        <w:rPr>
          <w:b/>
          <w:i/>
        </w:rPr>
        <w:t xml:space="preserve">district </w:t>
      </w:r>
      <w:proofErr w:type="spellStart"/>
      <w:r w:rsidRPr="00DE193D">
        <w:rPr>
          <w:b/>
          <w:i/>
        </w:rPr>
        <w:t>name_school</w:t>
      </w:r>
      <w:proofErr w:type="spellEnd"/>
      <w:r w:rsidRPr="00DE193D">
        <w:rPr>
          <w:b/>
          <w:i/>
        </w:rPr>
        <w:t xml:space="preserve"> </w:t>
      </w:r>
      <w:proofErr w:type="gramStart"/>
      <w:r w:rsidRPr="00DE193D">
        <w:rPr>
          <w:b/>
          <w:i/>
        </w:rPr>
        <w:t xml:space="preserve">name_Spr19plan.docx  </w:t>
      </w:r>
      <w:r>
        <w:t>(</w:t>
      </w:r>
      <w:proofErr w:type="gramEnd"/>
      <w:r>
        <w:t>Note:  if the school name is exceptionally long, please use just enough of the name to easily identify the school).</w:t>
      </w:r>
    </w:p>
    <w:p w14:paraId="5929E11F" w14:textId="77777777" w:rsidR="00441719" w:rsidRDefault="00441719" w:rsidP="00441719">
      <w:pPr>
        <w:pStyle w:val="ListParagraph"/>
        <w:numPr>
          <w:ilvl w:val="0"/>
          <w:numId w:val="1"/>
        </w:numPr>
      </w:pPr>
      <w:r>
        <w:t xml:space="preserve">Send the plan via e-mail to </w:t>
      </w:r>
      <w:hyperlink r:id="rId12" w:history="1">
        <w:r w:rsidRPr="00B0648C">
          <w:rPr>
            <w:rStyle w:val="Hyperlink"/>
          </w:rPr>
          <w:t>SSoS1@doe.mass.edu</w:t>
        </w:r>
      </w:hyperlink>
      <w:r>
        <w:t xml:space="preserve">.   </w:t>
      </w:r>
    </w:p>
    <w:p w14:paraId="36AE3A9A" w14:textId="77777777" w:rsidR="00441719" w:rsidRPr="00441719" w:rsidRDefault="00441719" w:rsidP="00441719">
      <w:pPr>
        <w:pStyle w:val="ListParagraph"/>
        <w:numPr>
          <w:ilvl w:val="1"/>
          <w:numId w:val="1"/>
        </w:numPr>
      </w:pPr>
      <w:r>
        <w:t xml:space="preserve">Please include </w:t>
      </w:r>
      <w:r w:rsidRPr="00DE193D">
        <w:rPr>
          <w:i/>
        </w:rPr>
        <w:t xml:space="preserve">School Turnaround Plan for </w:t>
      </w:r>
      <w:r>
        <w:rPr>
          <w:i/>
        </w:rPr>
        <w:t xml:space="preserve">(school name, district name) </w:t>
      </w:r>
      <w:r w:rsidRPr="00441719">
        <w:t>in the subject line of your e-mail</w:t>
      </w:r>
    </w:p>
    <w:p w14:paraId="550B05B4" w14:textId="77777777" w:rsidR="00441719" w:rsidRDefault="00441719" w:rsidP="00441719">
      <w:pPr>
        <w:pStyle w:val="ListParagraph"/>
        <w:numPr>
          <w:ilvl w:val="1"/>
          <w:numId w:val="1"/>
        </w:numPr>
      </w:pPr>
      <w:r>
        <w:t>Districts with multiple schools may send a single e-mail with multiple plans attached, although we encourage individual plans to be submitted as they are completed rather than waiting for all schools in the district to complete their plans.</w:t>
      </w:r>
    </w:p>
    <w:p w14:paraId="22E6A97A" w14:textId="77777777" w:rsidR="00563128" w:rsidRDefault="00563128" w:rsidP="00563128">
      <w:pPr>
        <w:pStyle w:val="ListParagraph"/>
        <w:numPr>
          <w:ilvl w:val="0"/>
          <w:numId w:val="1"/>
        </w:numPr>
      </w:pPr>
      <w:r>
        <w:t xml:space="preserve">You will get an e-mail from us acknowledging that we have received your plan.  </w:t>
      </w:r>
    </w:p>
    <w:p w14:paraId="0600740E" w14:textId="77777777" w:rsidR="00563128" w:rsidRPr="00092E4D" w:rsidRDefault="00563128" w:rsidP="003F27E5">
      <w:pPr>
        <w:pStyle w:val="ListParagraph"/>
        <w:numPr>
          <w:ilvl w:val="0"/>
          <w:numId w:val="1"/>
        </w:numPr>
      </w:pPr>
      <w:r w:rsidRPr="00563128">
        <w:t>Please note that we will only be able to review plans submitted on</w:t>
      </w:r>
      <w:r w:rsidRPr="009E361F">
        <w:rPr>
          <w:i/>
        </w:rPr>
        <w:t xml:space="preserve"> DESE’s Turnaround Plan Template</w:t>
      </w:r>
      <w:r>
        <w:t xml:space="preserve">.  </w:t>
      </w:r>
    </w:p>
    <w:p w14:paraId="5A71028B" w14:textId="77777777" w:rsidR="00441719" w:rsidRPr="00441719" w:rsidRDefault="00F832CA" w:rsidP="00441719">
      <w:pPr>
        <w:pStyle w:val="Heading1"/>
        <w:rPr>
          <w:b/>
        </w:rPr>
      </w:pPr>
      <w:r>
        <w:rPr>
          <w:b/>
        </w:rPr>
        <w:t>The f</w:t>
      </w:r>
      <w:r w:rsidR="00441719" w:rsidRPr="00441719">
        <w:rPr>
          <w:b/>
        </w:rPr>
        <w:t>eedback process</w:t>
      </w:r>
    </w:p>
    <w:p w14:paraId="3C7B76F2" w14:textId="77777777" w:rsidR="00441719" w:rsidRDefault="00441719" w:rsidP="00441719">
      <w:pPr>
        <w:pStyle w:val="ListParagraph"/>
        <w:ind w:left="0"/>
      </w:pPr>
    </w:p>
    <w:p w14:paraId="678F03B2" w14:textId="77777777" w:rsidR="00563128" w:rsidRDefault="00563128" w:rsidP="00563128">
      <w:pPr>
        <w:pStyle w:val="ListParagraph"/>
        <w:ind w:left="0"/>
      </w:pPr>
      <w:r>
        <w:t xml:space="preserve">Once submitted, schools can expect to receive </w:t>
      </w:r>
      <w:r w:rsidR="00F832CA">
        <w:t xml:space="preserve">an e-mail from DESE with </w:t>
      </w:r>
      <w:r>
        <w:t>feedback</w:t>
      </w:r>
      <w:r w:rsidR="00E8413A">
        <w:t xml:space="preserve"> with</w:t>
      </w:r>
      <w:r w:rsidR="003F27E5">
        <w:t>in</w:t>
      </w:r>
      <w:r>
        <w:t xml:space="preserve"> </w:t>
      </w:r>
      <w:r w:rsidRPr="00563128">
        <w:rPr>
          <w:b/>
          <w:i/>
        </w:rPr>
        <w:t>six weeks</w:t>
      </w:r>
      <w:r>
        <w:t>.  We have contracted with an external vendor to conduct reviews and provide feedback on school turnaround plans.  The organization and its reviewers have expertise in school turnaround and the development of high quality turnaround plans.</w:t>
      </w:r>
    </w:p>
    <w:p w14:paraId="748D9F13" w14:textId="77777777" w:rsidR="00563128" w:rsidRDefault="00563128" w:rsidP="00563128">
      <w:pPr>
        <w:pStyle w:val="ListParagraph"/>
        <w:ind w:left="0"/>
      </w:pPr>
    </w:p>
    <w:p w14:paraId="781C8CD1" w14:textId="77777777" w:rsidR="00563128" w:rsidRPr="00A65995" w:rsidRDefault="00563128" w:rsidP="00AC34A5">
      <w:pPr>
        <w:pStyle w:val="ListParagraph"/>
        <w:ind w:left="0"/>
        <w:rPr>
          <w:i/>
        </w:rPr>
      </w:pPr>
      <w:r>
        <w:t xml:space="preserve">This process ensures that schools will get </w:t>
      </w:r>
      <w:r w:rsidRPr="008008D1">
        <w:t>feedback</w:t>
      </w:r>
      <w:r>
        <w:t xml:space="preserve"> on </w:t>
      </w:r>
      <w:r w:rsidR="00E8413A">
        <w:t>their</w:t>
      </w:r>
      <w:r>
        <w:t xml:space="preserve"> plan</w:t>
      </w:r>
      <w:r w:rsidR="00E8413A">
        <w:t>s</w:t>
      </w:r>
      <w:r>
        <w:t xml:space="preserve"> </w:t>
      </w:r>
      <w:r w:rsidRPr="008008D1">
        <w:t>from a</w:t>
      </w:r>
      <w:r>
        <w:t xml:space="preserve">n </w:t>
      </w:r>
      <w:r w:rsidRPr="008008D1">
        <w:t>external, unbiased reviewer</w:t>
      </w:r>
      <w:r>
        <w:t xml:space="preserve">.  </w:t>
      </w:r>
      <w:r w:rsidRPr="00F832CA">
        <w:rPr>
          <w:b/>
        </w:rPr>
        <w:t>However,</w:t>
      </w:r>
      <w:r>
        <w:t xml:space="preserve"> reviewers </w:t>
      </w:r>
      <w:r w:rsidRPr="00563128">
        <w:rPr>
          <w:u w:val="single"/>
        </w:rPr>
        <w:t>will not</w:t>
      </w:r>
      <w:r>
        <w:t xml:space="preserve"> necessarily know the specific context of your district and school.</w:t>
      </w:r>
      <w:r w:rsidRPr="008008D1">
        <w:t xml:space="preserve"> </w:t>
      </w:r>
      <w:r>
        <w:t xml:space="preserve"> This means that </w:t>
      </w:r>
      <w:r w:rsidR="00E8413A">
        <w:t xml:space="preserve">the brief profile of the school </w:t>
      </w:r>
      <w:r w:rsidR="00855D85">
        <w:t xml:space="preserve">that the </w:t>
      </w:r>
      <w:hyperlink r:id="rId13" w:anchor="accordion" w:history="1">
        <w:r w:rsidR="00855D85" w:rsidRPr="00855D85">
          <w:rPr>
            <w:rStyle w:val="Hyperlink"/>
          </w:rPr>
          <w:t>Turnaround Plan Guidance</w:t>
        </w:r>
      </w:hyperlink>
      <w:r w:rsidR="00855D85">
        <w:t xml:space="preserve"> instructs schools </w:t>
      </w:r>
      <w:r w:rsidR="00956370">
        <w:t xml:space="preserve">to </w:t>
      </w:r>
      <w:r w:rsidR="00855D85">
        <w:t xml:space="preserve">include </w:t>
      </w:r>
      <w:r w:rsidR="00E8413A">
        <w:t xml:space="preserve">in </w:t>
      </w:r>
      <w:r w:rsidR="00855D85">
        <w:t xml:space="preserve">their </w:t>
      </w:r>
      <w:r w:rsidR="00E8413A" w:rsidRPr="00BF24B5">
        <w:t>executive summar</w:t>
      </w:r>
      <w:r w:rsidR="00855D85" w:rsidRPr="00855D85">
        <w:t>ies</w:t>
      </w:r>
      <w:r w:rsidR="00E8413A">
        <w:t xml:space="preserve"> will be the p</w:t>
      </w:r>
      <w:r>
        <w:t>rimary source of context for reviewer</w:t>
      </w:r>
      <w:r w:rsidR="00855D85">
        <w:t>s</w:t>
      </w:r>
      <w:r w:rsidR="00A65995">
        <w:t>.</w:t>
      </w:r>
      <w:r>
        <w:rPr>
          <w:rStyle w:val="FootnoteReference"/>
        </w:rPr>
        <w:footnoteReference w:id="1"/>
      </w:r>
      <w:r w:rsidR="00A65995">
        <w:t xml:space="preserve"> </w:t>
      </w:r>
    </w:p>
    <w:p w14:paraId="7A5323EF" w14:textId="77777777" w:rsidR="0044010B" w:rsidRPr="003F27E5" w:rsidRDefault="003F27E5" w:rsidP="003F27E5">
      <w:pPr>
        <w:pStyle w:val="Heading2"/>
        <w:rPr>
          <w:rStyle w:val="SubtleEmphasis"/>
        </w:rPr>
      </w:pPr>
      <w:r w:rsidRPr="003F27E5">
        <w:rPr>
          <w:rStyle w:val="SubtleEmphasis"/>
        </w:rPr>
        <w:lastRenderedPageBreak/>
        <w:t>Basic s</w:t>
      </w:r>
      <w:r w:rsidR="00D12320" w:rsidRPr="003F27E5">
        <w:rPr>
          <w:rStyle w:val="SubtleEmphasis"/>
        </w:rPr>
        <w:t>t</w:t>
      </w:r>
      <w:r w:rsidR="0044010B" w:rsidRPr="003F27E5">
        <w:rPr>
          <w:rStyle w:val="SubtleEmphasis"/>
        </w:rPr>
        <w:t xml:space="preserve">ructure </w:t>
      </w:r>
      <w:r w:rsidRPr="003F27E5">
        <w:rPr>
          <w:rStyle w:val="SubtleEmphasis"/>
        </w:rPr>
        <w:t>and s</w:t>
      </w:r>
      <w:r w:rsidR="00F832CA" w:rsidRPr="003F27E5">
        <w:rPr>
          <w:rStyle w:val="SubtleEmphasis"/>
        </w:rPr>
        <w:t xml:space="preserve">ubstance </w:t>
      </w:r>
      <w:r w:rsidRPr="003F27E5">
        <w:rPr>
          <w:rStyle w:val="SubtleEmphasis"/>
        </w:rPr>
        <w:t>of the f</w:t>
      </w:r>
      <w:r w:rsidR="0044010B" w:rsidRPr="003F27E5">
        <w:rPr>
          <w:rStyle w:val="SubtleEmphasis"/>
        </w:rPr>
        <w:t xml:space="preserve">eedback </w:t>
      </w:r>
    </w:p>
    <w:p w14:paraId="62968B52" w14:textId="77777777" w:rsidR="00D12320" w:rsidRDefault="00D12320" w:rsidP="00D12320">
      <w:r w:rsidRPr="00EF045B">
        <w:t xml:space="preserve">The feedback template </w:t>
      </w:r>
      <w:r w:rsidR="00F832CA">
        <w:t xml:space="preserve">that schools receive </w:t>
      </w:r>
      <w:r w:rsidRPr="00EF045B">
        <w:t xml:space="preserve">will generally mirror the Turnaround Plan Template on which schools submit </w:t>
      </w:r>
      <w:r w:rsidR="003F27E5">
        <w:t xml:space="preserve">their plans.  It will include </w:t>
      </w:r>
      <w:r w:rsidRPr="00EF045B">
        <w:t>overarching/crosscutting feedback on the overall plan, followed by feedback specific to each section of the Turnaround Plan Template.</w:t>
      </w:r>
    </w:p>
    <w:p w14:paraId="446BC099" w14:textId="77777777" w:rsidR="00AF7525" w:rsidRDefault="00AF7525" w:rsidP="00D12320"/>
    <w:p w14:paraId="74C8986D" w14:textId="77777777" w:rsidR="00AF7525" w:rsidRPr="00011A64" w:rsidRDefault="00AF7525" w:rsidP="00AF7525">
      <w:r>
        <w:rPr>
          <w:i/>
        </w:rPr>
        <w:t>Ple</w:t>
      </w:r>
      <w:r w:rsidR="003F27E5">
        <w:rPr>
          <w:i/>
        </w:rPr>
        <w:t xml:space="preserve">ase note that the feedback </w:t>
      </w:r>
      <w:r w:rsidRPr="00AF7525">
        <w:rPr>
          <w:i/>
        </w:rPr>
        <w:t>will not make specific recommendations for making changes to the plan.</w:t>
      </w:r>
      <w:r>
        <w:t xml:space="preserve"> </w:t>
      </w:r>
      <w:r w:rsidRPr="00011A64">
        <w:t>For</w:t>
      </w:r>
      <w:r>
        <w:t xml:space="preserve"> </w:t>
      </w:r>
      <w:r w:rsidRPr="00011A64">
        <w:t xml:space="preserve">instance, the feedback </w:t>
      </w:r>
      <w:r w:rsidRPr="00AF7525">
        <w:rPr>
          <w:u w:val="single"/>
        </w:rPr>
        <w:t>will</w:t>
      </w:r>
      <w:r w:rsidRPr="00011A64">
        <w:t xml:space="preserve"> </w:t>
      </w:r>
      <w:r>
        <w:t xml:space="preserve">draw attention to instances when a </w:t>
      </w:r>
      <w:r w:rsidRPr="00011A64">
        <w:t>school’s strategy does</w:t>
      </w:r>
      <w:r>
        <w:t xml:space="preserve"> no</w:t>
      </w:r>
      <w:r w:rsidRPr="00011A64">
        <w:t>t address needs identified in the needs assessment/root cause analysis</w:t>
      </w:r>
      <w:r>
        <w:t>.  I</w:t>
      </w:r>
      <w:r w:rsidRPr="00011A64">
        <w:t xml:space="preserve">t </w:t>
      </w:r>
      <w:r w:rsidRPr="00AF7525">
        <w:rPr>
          <w:u w:val="single"/>
        </w:rPr>
        <w:t>will not</w:t>
      </w:r>
      <w:r>
        <w:t>, however, r</w:t>
      </w:r>
      <w:r w:rsidRPr="00011A64">
        <w:t>ecommend specific strategies to consid</w:t>
      </w:r>
      <w:r>
        <w:t>er in place of what is proposed in the plan</w:t>
      </w:r>
      <w:r w:rsidRPr="00011A64">
        <w:t>.</w:t>
      </w:r>
    </w:p>
    <w:p w14:paraId="4E8C8E8C" w14:textId="77777777" w:rsidR="00D12320" w:rsidRPr="00EF045B" w:rsidRDefault="00D12320" w:rsidP="00D12320"/>
    <w:p w14:paraId="014581EE" w14:textId="77777777" w:rsidR="00D12320" w:rsidRPr="0044010B" w:rsidRDefault="00D12320" w:rsidP="0044010B">
      <w:pPr>
        <w:pStyle w:val="Heading2"/>
        <w:rPr>
          <w:rStyle w:val="SubtleEmphasis"/>
        </w:rPr>
      </w:pPr>
      <w:r w:rsidRPr="0044010B">
        <w:rPr>
          <w:rStyle w:val="SubtleEmphasis"/>
        </w:rPr>
        <w:t xml:space="preserve">Overarching/cross cutting feedback </w:t>
      </w:r>
    </w:p>
    <w:p w14:paraId="62963E9B" w14:textId="77777777" w:rsidR="00D12320" w:rsidRDefault="00D12320" w:rsidP="00441719">
      <w:r>
        <w:t>This section will offer a holistic assessment of the turnaround plan that addresses:</w:t>
      </w:r>
    </w:p>
    <w:p w14:paraId="38ECB486" w14:textId="77777777" w:rsidR="00D12320" w:rsidRDefault="00D12320" w:rsidP="00441719">
      <w:pPr>
        <w:ind w:firstLine="720"/>
      </w:pPr>
    </w:p>
    <w:p w14:paraId="6BD6536A" w14:textId="77777777" w:rsidR="00D12320" w:rsidRDefault="00D12320" w:rsidP="00441719">
      <w:pPr>
        <w:pStyle w:val="ListParagraph"/>
        <w:numPr>
          <w:ilvl w:val="0"/>
          <w:numId w:val="7"/>
        </w:numPr>
        <w:spacing w:after="0" w:line="259" w:lineRule="auto"/>
        <w:ind w:left="720"/>
      </w:pPr>
      <w:r>
        <w:t>The coherence of strategies in the full plan</w:t>
      </w:r>
    </w:p>
    <w:p w14:paraId="184B0870" w14:textId="77777777" w:rsidR="00441719" w:rsidRDefault="00441719" w:rsidP="00441719">
      <w:pPr>
        <w:pStyle w:val="ListParagraph"/>
        <w:numPr>
          <w:ilvl w:val="0"/>
          <w:numId w:val="7"/>
        </w:numPr>
        <w:spacing w:after="0" w:line="240" w:lineRule="auto"/>
        <w:ind w:left="720"/>
      </w:pPr>
      <w:r>
        <w:t>Considerations about capacity/potential implement</w:t>
      </w:r>
      <w:r w:rsidR="00F832CA">
        <w:t>ation</w:t>
      </w:r>
      <w:r>
        <w:t xml:space="preserve"> challenges/sequencing</w:t>
      </w:r>
    </w:p>
    <w:p w14:paraId="118F7F24" w14:textId="77777777" w:rsidR="00441719" w:rsidRDefault="00441719" w:rsidP="00441719">
      <w:pPr>
        <w:pStyle w:val="ListParagraph"/>
        <w:numPr>
          <w:ilvl w:val="0"/>
          <w:numId w:val="7"/>
        </w:numPr>
        <w:spacing w:line="259" w:lineRule="auto"/>
        <w:ind w:left="720"/>
      </w:pPr>
      <w:r>
        <w:t>Its focus on equitable outcomes for all students.</w:t>
      </w:r>
    </w:p>
    <w:p w14:paraId="490D425F" w14:textId="77777777" w:rsidR="00D12320" w:rsidRDefault="00F832CA" w:rsidP="00441719">
      <w:pPr>
        <w:pStyle w:val="ListParagraph"/>
        <w:numPr>
          <w:ilvl w:val="0"/>
          <w:numId w:val="7"/>
        </w:numPr>
        <w:spacing w:after="0" w:line="240" w:lineRule="auto"/>
        <w:ind w:left="720"/>
      </w:pPr>
      <w:r>
        <w:rPr>
          <w:noProof/>
        </w:rPr>
        <mc:AlternateContent>
          <mc:Choice Requires="wps">
            <w:drawing>
              <wp:anchor distT="0" distB="0" distL="114300" distR="114300" simplePos="0" relativeHeight="251660288" behindDoc="0" locked="0" layoutInCell="1" allowOverlap="1" wp14:anchorId="3A164D36" wp14:editId="049CDB06">
                <wp:simplePos x="0" y="0"/>
                <wp:positionH relativeFrom="column">
                  <wp:posOffset>4271343</wp:posOffset>
                </wp:positionH>
                <wp:positionV relativeFrom="paragraph">
                  <wp:posOffset>58039</wp:posOffset>
                </wp:positionV>
                <wp:extent cx="228600" cy="114300"/>
                <wp:effectExtent l="0" t="19050" r="38100" b="38100"/>
                <wp:wrapNone/>
                <wp:docPr id="2" name="Right Arrow 2" descr="a right arrow"/>
                <wp:cNvGraphicFramePr/>
                <a:graphic xmlns:a="http://schemas.openxmlformats.org/drawingml/2006/main">
                  <a:graphicData uri="http://schemas.microsoft.com/office/word/2010/wordprocessingShape">
                    <wps:wsp>
                      <wps:cNvSpPr/>
                      <wps:spPr>
                        <a:xfrm>
                          <a:off x="0" y="0"/>
                          <a:ext cx="228600" cy="114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83B4CE" w14:textId="77777777" w:rsidR="00D12320" w:rsidRDefault="00D12320" w:rsidP="00D1232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164D3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alt="a right arrow" style="position:absolute;left:0;text-align:left;margin-left:336.35pt;margin-top:4.55pt;width:18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" fillcolor="#5b9bd5 [3204]" strokecolor="#1f4d78 [1604]" strokeweight="1pt">
                <v:textbox>
                  <w:txbxContent>
                    <w:p w14:paraId="1983B4CE" w14:textId="77777777" w:rsidR="00D12320" w:rsidRDefault="00D12320" w:rsidP="00D12320">
                      <w:pPr>
                        <w:jc w:val="center"/>
                      </w:pPr>
                      <w:r>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08B36D2" wp14:editId="47C2CE43">
                <wp:simplePos x="0" y="0"/>
                <wp:positionH relativeFrom="column">
                  <wp:posOffset>2799715</wp:posOffset>
                </wp:positionH>
                <wp:positionV relativeFrom="paragraph">
                  <wp:posOffset>46670</wp:posOffset>
                </wp:positionV>
                <wp:extent cx="228600" cy="114300"/>
                <wp:effectExtent l="0" t="19050" r="38100" b="38100"/>
                <wp:wrapNone/>
                <wp:docPr id="1" name="Right Arrow 1" descr="a right arrow"/>
                <wp:cNvGraphicFramePr/>
                <a:graphic xmlns:a="http://schemas.openxmlformats.org/drawingml/2006/main">
                  <a:graphicData uri="http://schemas.microsoft.com/office/word/2010/wordprocessingShape">
                    <wps:wsp>
                      <wps:cNvSpPr/>
                      <wps:spPr>
                        <a:xfrm>
                          <a:off x="0" y="0"/>
                          <a:ext cx="228600" cy="114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76D0C" id="Right Arrow 1" o:spid="_x0000_s1026" type="#_x0000_t13" alt="a right arrow" style="position:absolute;margin-left:220.45pt;margin-top:3.65pt;width:1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" fillcolor="#5b9bd5 [3204]" strokecolor="#1f4d78 [1604]" strokeweight="1pt"/>
            </w:pict>
          </mc:Fallback>
        </mc:AlternateContent>
      </w:r>
      <w:r w:rsidR="00441719">
        <w:rPr>
          <w:noProof/>
        </w:rPr>
        <mc:AlternateContent>
          <mc:Choice Requires="wps">
            <w:drawing>
              <wp:anchor distT="0" distB="0" distL="114300" distR="114300" simplePos="0" relativeHeight="251662336" behindDoc="0" locked="0" layoutInCell="1" allowOverlap="1" wp14:anchorId="176FAE1E" wp14:editId="32777D35">
                <wp:simplePos x="0" y="0"/>
                <wp:positionH relativeFrom="column">
                  <wp:posOffset>2309533</wp:posOffset>
                </wp:positionH>
                <wp:positionV relativeFrom="paragraph">
                  <wp:posOffset>214565</wp:posOffset>
                </wp:positionV>
                <wp:extent cx="228600" cy="114300"/>
                <wp:effectExtent l="0" t="19050" r="38100" b="38100"/>
                <wp:wrapNone/>
                <wp:docPr id="4" name="Right Arrow 4" descr="a right arrow"/>
                <wp:cNvGraphicFramePr/>
                <a:graphic xmlns:a="http://schemas.openxmlformats.org/drawingml/2006/main">
                  <a:graphicData uri="http://schemas.microsoft.com/office/word/2010/wordprocessingShape">
                    <wps:wsp>
                      <wps:cNvSpPr/>
                      <wps:spPr>
                        <a:xfrm>
                          <a:off x="0" y="0"/>
                          <a:ext cx="228600" cy="114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E7B597" w14:textId="77777777" w:rsidR="00D12320" w:rsidRDefault="00D12320" w:rsidP="00D1232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FAE1E" id="Right Arrow 4" o:spid="_x0000_s1027" type="#_x0000_t13" alt="a right arrow" style="position:absolute;left:0;text-align:left;margin-left:181.85pt;margin-top:16.9pt;width:18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" fillcolor="#5b9bd5 [3204]" strokecolor="#1f4d78 [1604]" strokeweight="1pt">
                <v:textbox>
                  <w:txbxContent>
                    <w:p w14:paraId="03E7B597" w14:textId="77777777" w:rsidR="00D12320" w:rsidRDefault="00D12320" w:rsidP="00D12320">
                      <w:pPr>
                        <w:jc w:val="center"/>
                      </w:pPr>
                      <w:r>
                        <w:t xml:space="preserve"> </w:t>
                      </w:r>
                    </w:p>
                  </w:txbxContent>
                </v:textbox>
              </v:shape>
            </w:pict>
          </mc:Fallback>
        </mc:AlternateContent>
      </w:r>
      <w:r w:rsidR="00441719">
        <w:rPr>
          <w:noProof/>
        </w:rPr>
        <mc:AlternateContent>
          <mc:Choice Requires="wps">
            <w:drawing>
              <wp:anchor distT="0" distB="0" distL="114300" distR="114300" simplePos="0" relativeHeight="251661312" behindDoc="1" locked="0" layoutInCell="1" allowOverlap="1" wp14:anchorId="2D0B1899" wp14:editId="1DBB5DDB">
                <wp:simplePos x="0" y="0"/>
                <wp:positionH relativeFrom="column">
                  <wp:posOffset>515620</wp:posOffset>
                </wp:positionH>
                <wp:positionV relativeFrom="paragraph">
                  <wp:posOffset>227965</wp:posOffset>
                </wp:positionV>
                <wp:extent cx="228600" cy="114300"/>
                <wp:effectExtent l="0" t="19050" r="38100" b="38100"/>
                <wp:wrapSquare wrapText="bothSides"/>
                <wp:docPr id="3" name="Right Arrow 3" descr="a right arrow"/>
                <wp:cNvGraphicFramePr/>
                <a:graphic xmlns:a="http://schemas.openxmlformats.org/drawingml/2006/main">
                  <a:graphicData uri="http://schemas.microsoft.com/office/word/2010/wordprocessingShape">
                    <wps:wsp>
                      <wps:cNvSpPr/>
                      <wps:spPr>
                        <a:xfrm>
                          <a:off x="0" y="0"/>
                          <a:ext cx="228600" cy="114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BA9BB" id="Right Arrow 3" o:spid="_x0000_s1026" type="#_x0000_t13" alt="a right arrow" style="position:absolute;margin-left:40.6pt;margin-top:17.95pt;width:18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" fillcolor="#5b9bd5 [3204]" strokecolor="#1f4d78 [1604]" strokeweight="1pt">
                <w10:wrap type="square"/>
              </v:shape>
            </w:pict>
          </mc:Fallback>
        </mc:AlternateContent>
      </w:r>
      <w:r>
        <w:t>The t</w:t>
      </w:r>
      <w:r w:rsidR="00D12320">
        <w:t>hrough</w:t>
      </w:r>
      <w:r w:rsidR="00A65995">
        <w:t xml:space="preserve"> </w:t>
      </w:r>
      <w:r w:rsidR="00D12320">
        <w:t>line from needs assessment            root cause analysis            strategies benchmarks/indicators             monitoring/assessment plans</w:t>
      </w:r>
    </w:p>
    <w:p w14:paraId="1CB81C7E" w14:textId="77777777" w:rsidR="00D12320" w:rsidRDefault="00D12320" w:rsidP="00441719"/>
    <w:p w14:paraId="5E29C96A" w14:textId="77777777" w:rsidR="00D12320" w:rsidRDefault="0044010B" w:rsidP="0044010B">
      <w:pPr>
        <w:pStyle w:val="Heading2"/>
        <w:rPr>
          <w:rStyle w:val="SubtleEmphasis"/>
        </w:rPr>
      </w:pPr>
      <w:r>
        <w:rPr>
          <w:rStyle w:val="SubtleEmphasis"/>
        </w:rPr>
        <w:t>F</w:t>
      </w:r>
      <w:r w:rsidR="00D12320" w:rsidRPr="0044010B">
        <w:rPr>
          <w:rStyle w:val="SubtleEmphasis"/>
        </w:rPr>
        <w:t>eedback on each section</w:t>
      </w:r>
    </w:p>
    <w:p w14:paraId="0420D7D4" w14:textId="77777777" w:rsidR="00AF7525" w:rsidRDefault="00CE1493" w:rsidP="00441719">
      <w:pPr>
        <w:spacing w:line="259" w:lineRule="auto"/>
      </w:pPr>
      <w:r>
        <w:t>The rubric</w:t>
      </w:r>
      <w:r w:rsidR="00855D85">
        <w:t xml:space="preserve"> </w:t>
      </w:r>
      <w:r>
        <w:t xml:space="preserve">is </w:t>
      </w:r>
      <w:r w:rsidR="00855D85">
        <w:t>based upon</w:t>
      </w:r>
      <w:r>
        <w:t xml:space="preserve"> the Turnaround Plan Guidance and </w:t>
      </w:r>
      <w:r w:rsidR="00855D85">
        <w:t>instructions for</w:t>
      </w:r>
      <w:r>
        <w:t xml:space="preserve"> what to write about in each section.  </w:t>
      </w:r>
      <w:r w:rsidR="00855D85">
        <w:t xml:space="preserve"> </w:t>
      </w:r>
      <w:r w:rsidR="00D12320">
        <w:t xml:space="preserve">Reviewers will </w:t>
      </w:r>
      <w:r w:rsidR="00441719">
        <w:t>assess</w:t>
      </w:r>
      <w:r w:rsidR="00D12320">
        <w:t xml:space="preserve"> how well each section of the plan meet</w:t>
      </w:r>
      <w:r w:rsidR="00480773">
        <w:t>s</w:t>
      </w:r>
      <w:r w:rsidR="00D12320">
        <w:t xml:space="preserve"> </w:t>
      </w:r>
      <w:r w:rsidR="003F27E5">
        <w:t>a set of standards/criteria (e.</w:t>
      </w:r>
      <w:r w:rsidR="00D12320">
        <w:t>g</w:t>
      </w:r>
      <w:r w:rsidR="003F27E5">
        <w:t>.,</w:t>
      </w:r>
      <w:r w:rsidR="00D12320">
        <w:t xml:space="preserve"> </w:t>
      </w:r>
      <w:r w:rsidR="00441719">
        <w:t>exceeds</w:t>
      </w:r>
      <w:r w:rsidR="00D12320">
        <w:t xml:space="preserve">, meets, </w:t>
      </w:r>
      <w:r w:rsidR="0044010B">
        <w:t>developing</w:t>
      </w:r>
      <w:r w:rsidR="00441719">
        <w:t>) for each section</w:t>
      </w:r>
      <w:r w:rsidR="00D12320">
        <w:t>.</w:t>
      </w:r>
      <w:r w:rsidR="00480773">
        <w:rPr>
          <w:rStyle w:val="FootnoteReference"/>
        </w:rPr>
        <w:footnoteReference w:id="2"/>
      </w:r>
      <w:r w:rsidR="00D12320">
        <w:t xml:space="preserve">  Ratings will be accompanied by comments/feedback/suggestions</w:t>
      </w:r>
      <w:r w:rsidR="00480773">
        <w:t xml:space="preserve"> for each section of the template.</w:t>
      </w:r>
    </w:p>
    <w:p w14:paraId="7B049E34" w14:textId="77777777" w:rsidR="0044010B" w:rsidRPr="0044010B" w:rsidRDefault="00584099" w:rsidP="0044010B">
      <w:pPr>
        <w:pStyle w:val="Heading1"/>
        <w:rPr>
          <w:b/>
        </w:rPr>
      </w:pPr>
      <w:r>
        <w:rPr>
          <w:b/>
        </w:rPr>
        <w:t>U</w:t>
      </w:r>
      <w:r w:rsidR="0044010B" w:rsidRPr="0044010B">
        <w:rPr>
          <w:b/>
        </w:rPr>
        <w:t xml:space="preserve">tilizing feedback on turnaround plans  </w:t>
      </w:r>
    </w:p>
    <w:p w14:paraId="7B3627F3" w14:textId="77777777" w:rsidR="0044010B" w:rsidRPr="0044010B" w:rsidRDefault="0044010B" w:rsidP="0044010B">
      <w:pPr>
        <w:rPr>
          <w:b/>
        </w:rPr>
      </w:pPr>
    </w:p>
    <w:p w14:paraId="67A7873E" w14:textId="77777777" w:rsidR="00570FE7" w:rsidRDefault="00570FE7" w:rsidP="00CD0DCF">
      <w:pPr>
        <w:spacing w:line="259" w:lineRule="auto"/>
      </w:pPr>
      <w:r>
        <w:t>Our</w:t>
      </w:r>
      <w:r w:rsidR="00AF7525">
        <w:t xml:space="preserve"> goal i</w:t>
      </w:r>
      <w:r w:rsidR="00A65995">
        <w:t>s</w:t>
      </w:r>
      <w:r w:rsidR="00AF7525">
        <w:t xml:space="preserve"> to </w:t>
      </w:r>
      <w:r w:rsidR="00AF7525" w:rsidRPr="00011A64">
        <w:t xml:space="preserve">provide </w:t>
      </w:r>
      <w:r w:rsidR="00AF7525">
        <w:t xml:space="preserve">schools with useful feedback that will offer advice about </w:t>
      </w:r>
      <w:r w:rsidR="00AF7525" w:rsidRPr="00011A64">
        <w:t xml:space="preserve">ways in which they can strengthen and refine their plans </w:t>
      </w:r>
      <w:r w:rsidR="00AF7525">
        <w:t xml:space="preserve">and gear up for a successful fall </w:t>
      </w:r>
      <w:r w:rsidR="00AF7525" w:rsidRPr="00011A64">
        <w:t>implementat</w:t>
      </w:r>
      <w:r w:rsidR="00AF7525">
        <w:t xml:space="preserve">ion.  </w:t>
      </w:r>
      <w:r>
        <w:t xml:space="preserve">  As a first </w:t>
      </w:r>
      <w:r w:rsidR="00CD0DCF">
        <w:t xml:space="preserve">next </w:t>
      </w:r>
      <w:r>
        <w:t>step</w:t>
      </w:r>
      <w:r w:rsidR="00A65995">
        <w:t>,</w:t>
      </w:r>
      <w:r>
        <w:t xml:space="preserve"> we recommend that district and school leadership along with the team that developed the plan read through and discuss the feedback together.   Then, depending on the substance of the feedback, </w:t>
      </w:r>
    </w:p>
    <w:p w14:paraId="20FC3A01" w14:textId="77777777" w:rsidR="0044010B" w:rsidRDefault="0044010B" w:rsidP="00956370">
      <w:pPr>
        <w:pStyle w:val="ListParagraph"/>
        <w:numPr>
          <w:ilvl w:val="0"/>
          <w:numId w:val="13"/>
        </w:numPr>
      </w:pPr>
      <w:r>
        <w:t xml:space="preserve">Over the summer, reflect upon the feedback and improve the turnaround plan to prepare for successful implementation in the fall. </w:t>
      </w:r>
    </w:p>
    <w:p w14:paraId="074A0219" w14:textId="77777777" w:rsidR="00CD0DCF" w:rsidRDefault="0044010B" w:rsidP="00956370">
      <w:pPr>
        <w:pStyle w:val="ListParagraph"/>
        <w:numPr>
          <w:ilvl w:val="0"/>
          <w:numId w:val="13"/>
        </w:numPr>
      </w:pPr>
      <w:r>
        <w:t>Set up a meeting with your Regional Assistance team to reflect upon the feedback and determine next steps.</w:t>
      </w:r>
      <w:r w:rsidR="00CD0DCF">
        <w:t xml:space="preserve"> </w:t>
      </w:r>
    </w:p>
    <w:p w14:paraId="3D3F225E" w14:textId="77777777" w:rsidR="00CD0DCF" w:rsidRDefault="00CD0DCF" w:rsidP="00CD0DCF">
      <w:r>
        <w:t xml:space="preserve">Please contact Karen Johnston at </w:t>
      </w:r>
      <w:hyperlink r:id="rId14" w:history="1">
        <w:r w:rsidRPr="00687A9C">
          <w:rPr>
            <w:rStyle w:val="Hyperlink"/>
          </w:rPr>
          <w:t>kjohnston@doe.mass.edu</w:t>
        </w:r>
      </w:hyperlink>
      <w:r>
        <w:t xml:space="preserve"> for further assistance with this new </w:t>
      </w:r>
      <w:bookmarkStart w:id="0" w:name="_GoBack"/>
      <w:r>
        <w:t xml:space="preserve">turnaround plan feedback process.  </w:t>
      </w:r>
      <w:bookmarkEnd w:id="0"/>
    </w:p>
    <w:sectPr w:rsidR="00CD0D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7BD23" w14:textId="77777777" w:rsidR="009F687E" w:rsidRDefault="009F687E" w:rsidP="00B96A06">
      <w:r>
        <w:separator/>
      </w:r>
    </w:p>
  </w:endnote>
  <w:endnote w:type="continuationSeparator" w:id="0">
    <w:p w14:paraId="7488EBD7" w14:textId="77777777" w:rsidR="009F687E" w:rsidRDefault="009F687E" w:rsidP="00B9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0BFAA" w14:textId="77777777" w:rsidR="009F687E" w:rsidRDefault="009F687E" w:rsidP="00B96A06">
      <w:r>
        <w:separator/>
      </w:r>
    </w:p>
  </w:footnote>
  <w:footnote w:type="continuationSeparator" w:id="0">
    <w:p w14:paraId="3B877CC1" w14:textId="77777777" w:rsidR="009F687E" w:rsidRDefault="009F687E" w:rsidP="00B96A06">
      <w:r>
        <w:continuationSeparator/>
      </w:r>
    </w:p>
  </w:footnote>
  <w:footnote w:id="1">
    <w:p w14:paraId="435E3E68" w14:textId="77777777" w:rsidR="00563128" w:rsidRDefault="00563128" w:rsidP="00563128">
      <w:pPr>
        <w:pStyle w:val="FootnoteText"/>
      </w:pPr>
      <w:r>
        <w:rPr>
          <w:rStyle w:val="FootnoteReference"/>
        </w:rPr>
        <w:footnoteRef/>
      </w:r>
      <w:r>
        <w:t xml:space="preserve"> The only data we are providing to reviewers about schools are:  the name of the district in which it is located; its grade configuration; the reason it is de</w:t>
      </w:r>
      <w:r w:rsidR="003F27E5">
        <w:t xml:space="preserve">signated as in need of </w:t>
      </w:r>
      <w:r>
        <w:t>assistance (e.g., performing in lowest 10 percentile; low performing subgroup; low graduation rate); its school percentile; and a list of low performing student subgroups (if relevant).</w:t>
      </w:r>
    </w:p>
  </w:footnote>
  <w:footnote w:id="2">
    <w:p w14:paraId="118CEB49" w14:textId="77777777" w:rsidR="00480773" w:rsidRPr="00CD0DCF" w:rsidRDefault="00480773" w:rsidP="00CD0DCF">
      <w:pPr>
        <w:spacing w:before="100" w:beforeAutospacing="1" w:after="100" w:afterAutospacing="1"/>
        <w:rPr>
          <w:rFonts w:eastAsia="Times New Roman"/>
          <w:color w:val="000000"/>
          <w:sz w:val="20"/>
          <w:szCs w:val="20"/>
        </w:rPr>
      </w:pPr>
      <w:r>
        <w:rPr>
          <w:rStyle w:val="FootnoteReference"/>
        </w:rPr>
        <w:footnoteRef/>
      </w:r>
      <w:r>
        <w:t xml:space="preserve"> </w:t>
      </w:r>
      <w:r w:rsidRPr="00480773">
        <w:rPr>
          <w:rFonts w:eastAsia="Times New Roman"/>
          <w:color w:val="000000"/>
          <w:sz w:val="20"/>
          <w:szCs w:val="20"/>
        </w:rPr>
        <w:t xml:space="preserve">The criteria against which plans will be reviewed will be posted to the </w:t>
      </w:r>
      <w:hyperlink r:id="rId1" w:history="1">
        <w:r w:rsidRPr="00480773">
          <w:rPr>
            <w:rStyle w:val="Hyperlink"/>
            <w:rFonts w:eastAsia="Times New Roman"/>
            <w:sz w:val="20"/>
            <w:szCs w:val="20"/>
          </w:rPr>
          <w:t>Statewide System of Support</w:t>
        </w:r>
      </w:hyperlink>
      <w:r w:rsidRPr="00480773">
        <w:rPr>
          <w:rFonts w:eastAsia="Times New Roman"/>
          <w:color w:val="000000"/>
          <w:sz w:val="20"/>
          <w:szCs w:val="20"/>
        </w:rPr>
        <w:t xml:space="preserve"> website as soon as it is finalized.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11D0A"/>
    <w:multiLevelType w:val="hybridMultilevel"/>
    <w:tmpl w:val="7018E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B7C02"/>
    <w:multiLevelType w:val="hybridMultilevel"/>
    <w:tmpl w:val="4DF66A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E25FB9"/>
    <w:multiLevelType w:val="hybridMultilevel"/>
    <w:tmpl w:val="1D408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D3122"/>
    <w:multiLevelType w:val="hybridMultilevel"/>
    <w:tmpl w:val="38F2258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33AA4CA9"/>
    <w:multiLevelType w:val="hybridMultilevel"/>
    <w:tmpl w:val="25AC8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68490B"/>
    <w:multiLevelType w:val="hybridMultilevel"/>
    <w:tmpl w:val="DAA6D438"/>
    <w:lvl w:ilvl="0" w:tplc="DA6C136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5D32169"/>
    <w:multiLevelType w:val="hybridMultilevel"/>
    <w:tmpl w:val="D79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4C15B1"/>
    <w:multiLevelType w:val="hybridMultilevel"/>
    <w:tmpl w:val="A24229A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3EC30713"/>
    <w:multiLevelType w:val="hybridMultilevel"/>
    <w:tmpl w:val="4ADAD9D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405408DF"/>
    <w:multiLevelType w:val="hybridMultilevel"/>
    <w:tmpl w:val="EF5C3990"/>
    <w:lvl w:ilvl="0" w:tplc="D55CDF5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990AA7"/>
    <w:multiLevelType w:val="hybridMultilevel"/>
    <w:tmpl w:val="C100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8B2D0D"/>
    <w:multiLevelType w:val="hybridMultilevel"/>
    <w:tmpl w:val="F822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E5794E"/>
    <w:multiLevelType w:val="hybridMultilevel"/>
    <w:tmpl w:val="E110E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7"/>
  </w:num>
  <w:num w:numId="5">
    <w:abstractNumId w:val="12"/>
  </w:num>
  <w:num w:numId="6">
    <w:abstractNumId w:val="3"/>
  </w:num>
  <w:num w:numId="7">
    <w:abstractNumId w:val="1"/>
  </w:num>
  <w:num w:numId="8">
    <w:abstractNumId w:val="2"/>
  </w:num>
  <w:num w:numId="9">
    <w:abstractNumId w:val="11"/>
  </w:num>
  <w:num w:numId="10">
    <w:abstractNumId w:val="6"/>
  </w:num>
  <w:num w:numId="11">
    <w:abstractNumId w:val="8"/>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57"/>
    <w:rsid w:val="00096148"/>
    <w:rsid w:val="000B42F5"/>
    <w:rsid w:val="00114B07"/>
    <w:rsid w:val="003F27E5"/>
    <w:rsid w:val="0043550C"/>
    <w:rsid w:val="0044010B"/>
    <w:rsid w:val="00441719"/>
    <w:rsid w:val="00480773"/>
    <w:rsid w:val="004964C3"/>
    <w:rsid w:val="00563128"/>
    <w:rsid w:val="00570FE7"/>
    <w:rsid w:val="00573DB9"/>
    <w:rsid w:val="00584099"/>
    <w:rsid w:val="005B4D4E"/>
    <w:rsid w:val="0061063C"/>
    <w:rsid w:val="00613F2C"/>
    <w:rsid w:val="006B44B4"/>
    <w:rsid w:val="006C14D4"/>
    <w:rsid w:val="006E4C82"/>
    <w:rsid w:val="00700D04"/>
    <w:rsid w:val="008008D1"/>
    <w:rsid w:val="00801EE9"/>
    <w:rsid w:val="00855D85"/>
    <w:rsid w:val="00905882"/>
    <w:rsid w:val="00920699"/>
    <w:rsid w:val="00956370"/>
    <w:rsid w:val="00996B56"/>
    <w:rsid w:val="009A1348"/>
    <w:rsid w:val="009E361F"/>
    <w:rsid w:val="009F687E"/>
    <w:rsid w:val="00A65995"/>
    <w:rsid w:val="00AC34A5"/>
    <w:rsid w:val="00AF7525"/>
    <w:rsid w:val="00B901DE"/>
    <w:rsid w:val="00B96A06"/>
    <w:rsid w:val="00BF24B5"/>
    <w:rsid w:val="00C56457"/>
    <w:rsid w:val="00CD0DCF"/>
    <w:rsid w:val="00CE1493"/>
    <w:rsid w:val="00D12320"/>
    <w:rsid w:val="00DA23AB"/>
    <w:rsid w:val="00E21484"/>
    <w:rsid w:val="00E24A26"/>
    <w:rsid w:val="00E8413A"/>
    <w:rsid w:val="00F83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ED585"/>
  <w15:chartTrackingRefBased/>
  <w15:docId w15:val="{7B992697-4E70-40AC-9AE5-7EC4802D2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457"/>
    <w:pPr>
      <w:spacing w:after="0" w:line="240" w:lineRule="auto"/>
    </w:pPr>
    <w:rPr>
      <w:rFonts w:ascii="Calibri" w:hAnsi="Calibri" w:cs="Calibri"/>
    </w:rPr>
  </w:style>
  <w:style w:type="paragraph" w:styleId="Heading1">
    <w:name w:val="heading 1"/>
    <w:basedOn w:val="Normal"/>
    <w:next w:val="Normal"/>
    <w:link w:val="Heading1Char"/>
    <w:uiPriority w:val="9"/>
    <w:qFormat/>
    <w:rsid w:val="0044010B"/>
    <w:pPr>
      <w:keepNext/>
      <w:keepLines/>
      <w:spacing w:before="240"/>
      <w:outlineLvl w:val="0"/>
    </w:pPr>
    <w:rPr>
      <w:rFonts w:asciiTheme="majorHAnsi" w:eastAsiaTheme="majorEastAsia" w:hAnsiTheme="majorHAnsi" w:cstheme="majorBidi"/>
      <w:color w:val="0070C0"/>
      <w:sz w:val="28"/>
      <w:szCs w:val="32"/>
    </w:rPr>
  </w:style>
  <w:style w:type="paragraph" w:styleId="Heading2">
    <w:name w:val="heading 2"/>
    <w:basedOn w:val="Normal"/>
    <w:next w:val="Normal"/>
    <w:link w:val="Heading2Char"/>
    <w:uiPriority w:val="9"/>
    <w:unhideWhenUsed/>
    <w:qFormat/>
    <w:rsid w:val="0044010B"/>
    <w:pPr>
      <w:keepNext/>
      <w:keepLines/>
      <w:spacing w:before="4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457"/>
    <w:pPr>
      <w:spacing w:after="160" w:line="252" w:lineRule="auto"/>
      <w:ind w:left="720"/>
      <w:contextualSpacing/>
    </w:pPr>
  </w:style>
  <w:style w:type="character" w:styleId="Hyperlink">
    <w:name w:val="Hyperlink"/>
    <w:basedOn w:val="DefaultParagraphFont"/>
    <w:uiPriority w:val="99"/>
    <w:unhideWhenUsed/>
    <w:rsid w:val="00C56457"/>
    <w:rPr>
      <w:color w:val="0563C1"/>
      <w:u w:val="single"/>
    </w:rPr>
  </w:style>
  <w:style w:type="paragraph" w:styleId="FootnoteText">
    <w:name w:val="footnote text"/>
    <w:basedOn w:val="Normal"/>
    <w:link w:val="FootnoteTextChar"/>
    <w:uiPriority w:val="99"/>
    <w:semiHidden/>
    <w:unhideWhenUsed/>
    <w:rsid w:val="00B96A06"/>
    <w:rPr>
      <w:sz w:val="20"/>
      <w:szCs w:val="20"/>
    </w:rPr>
  </w:style>
  <w:style w:type="character" w:customStyle="1" w:styleId="FootnoteTextChar">
    <w:name w:val="Footnote Text Char"/>
    <w:basedOn w:val="DefaultParagraphFont"/>
    <w:link w:val="FootnoteText"/>
    <w:uiPriority w:val="99"/>
    <w:semiHidden/>
    <w:rsid w:val="00B96A06"/>
    <w:rPr>
      <w:rFonts w:ascii="Calibri" w:hAnsi="Calibri" w:cs="Calibri"/>
      <w:sz w:val="20"/>
      <w:szCs w:val="20"/>
    </w:rPr>
  </w:style>
  <w:style w:type="character" w:styleId="FootnoteReference">
    <w:name w:val="footnote reference"/>
    <w:basedOn w:val="DefaultParagraphFont"/>
    <w:uiPriority w:val="99"/>
    <w:semiHidden/>
    <w:unhideWhenUsed/>
    <w:rsid w:val="00B96A06"/>
    <w:rPr>
      <w:vertAlign w:val="superscript"/>
    </w:rPr>
  </w:style>
  <w:style w:type="character" w:customStyle="1" w:styleId="Heading1Char">
    <w:name w:val="Heading 1 Char"/>
    <w:basedOn w:val="DefaultParagraphFont"/>
    <w:link w:val="Heading1"/>
    <w:uiPriority w:val="9"/>
    <w:rsid w:val="0044010B"/>
    <w:rPr>
      <w:rFonts w:asciiTheme="majorHAnsi" w:eastAsiaTheme="majorEastAsia" w:hAnsiTheme="majorHAnsi" w:cstheme="majorBidi"/>
      <w:color w:val="0070C0"/>
      <w:sz w:val="28"/>
      <w:szCs w:val="32"/>
    </w:rPr>
  </w:style>
  <w:style w:type="character" w:customStyle="1" w:styleId="Heading2Char">
    <w:name w:val="Heading 2 Char"/>
    <w:basedOn w:val="DefaultParagraphFont"/>
    <w:link w:val="Heading2"/>
    <w:uiPriority w:val="9"/>
    <w:rsid w:val="0044010B"/>
    <w:rPr>
      <w:rFonts w:asciiTheme="majorHAnsi" w:eastAsiaTheme="majorEastAsia" w:hAnsiTheme="majorHAnsi" w:cstheme="majorBidi"/>
      <w:sz w:val="26"/>
      <w:szCs w:val="26"/>
    </w:rPr>
  </w:style>
  <w:style w:type="paragraph" w:styleId="Title">
    <w:name w:val="Title"/>
    <w:basedOn w:val="Normal"/>
    <w:next w:val="Normal"/>
    <w:link w:val="TitleChar"/>
    <w:uiPriority w:val="10"/>
    <w:qFormat/>
    <w:rsid w:val="0044010B"/>
    <w:pPr>
      <w:contextualSpacing/>
    </w:pPr>
    <w:rPr>
      <w:rFonts w:asciiTheme="majorHAnsi" w:eastAsiaTheme="majorEastAsia" w:hAnsiTheme="majorHAnsi" w:cstheme="majorBidi"/>
      <w:smallCaps/>
      <w:color w:val="000000" w:themeColor="text1"/>
      <w:spacing w:val="-10"/>
      <w:kern w:val="28"/>
      <w:sz w:val="32"/>
      <w:szCs w:val="56"/>
    </w:rPr>
  </w:style>
  <w:style w:type="character" w:customStyle="1" w:styleId="TitleChar">
    <w:name w:val="Title Char"/>
    <w:basedOn w:val="DefaultParagraphFont"/>
    <w:link w:val="Title"/>
    <w:uiPriority w:val="10"/>
    <w:rsid w:val="0044010B"/>
    <w:rPr>
      <w:rFonts w:asciiTheme="majorHAnsi" w:eastAsiaTheme="majorEastAsia" w:hAnsiTheme="majorHAnsi" w:cstheme="majorBidi"/>
      <w:smallCaps/>
      <w:color w:val="000000" w:themeColor="text1"/>
      <w:spacing w:val="-10"/>
      <w:kern w:val="28"/>
      <w:sz w:val="32"/>
      <w:szCs w:val="56"/>
    </w:rPr>
  </w:style>
  <w:style w:type="character" w:styleId="SubtleEmphasis">
    <w:name w:val="Subtle Emphasis"/>
    <w:basedOn w:val="DefaultParagraphFont"/>
    <w:uiPriority w:val="19"/>
    <w:qFormat/>
    <w:rsid w:val="0044010B"/>
    <w:rPr>
      <w:i/>
      <w:iCs/>
      <w:color w:val="404040" w:themeColor="text1" w:themeTint="BF"/>
    </w:rPr>
  </w:style>
  <w:style w:type="character" w:styleId="CommentReference">
    <w:name w:val="annotation reference"/>
    <w:basedOn w:val="DefaultParagraphFont"/>
    <w:uiPriority w:val="99"/>
    <w:semiHidden/>
    <w:unhideWhenUsed/>
    <w:rsid w:val="00570FE7"/>
    <w:rPr>
      <w:sz w:val="16"/>
      <w:szCs w:val="16"/>
    </w:rPr>
  </w:style>
  <w:style w:type="paragraph" w:styleId="CommentText">
    <w:name w:val="annotation text"/>
    <w:basedOn w:val="Normal"/>
    <w:link w:val="CommentTextChar"/>
    <w:uiPriority w:val="99"/>
    <w:semiHidden/>
    <w:unhideWhenUsed/>
    <w:rsid w:val="00570FE7"/>
    <w:rPr>
      <w:sz w:val="20"/>
      <w:szCs w:val="20"/>
    </w:rPr>
  </w:style>
  <w:style w:type="character" w:customStyle="1" w:styleId="CommentTextChar">
    <w:name w:val="Comment Text Char"/>
    <w:basedOn w:val="DefaultParagraphFont"/>
    <w:link w:val="CommentText"/>
    <w:uiPriority w:val="99"/>
    <w:semiHidden/>
    <w:rsid w:val="00570FE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70FE7"/>
    <w:rPr>
      <w:b/>
      <w:bCs/>
    </w:rPr>
  </w:style>
  <w:style w:type="character" w:customStyle="1" w:styleId="CommentSubjectChar">
    <w:name w:val="Comment Subject Char"/>
    <w:basedOn w:val="CommentTextChar"/>
    <w:link w:val="CommentSubject"/>
    <w:uiPriority w:val="99"/>
    <w:semiHidden/>
    <w:rsid w:val="00570FE7"/>
    <w:rPr>
      <w:rFonts w:ascii="Calibri" w:hAnsi="Calibri" w:cs="Calibri"/>
      <w:b/>
      <w:bCs/>
      <w:sz w:val="20"/>
      <w:szCs w:val="20"/>
    </w:rPr>
  </w:style>
  <w:style w:type="paragraph" w:styleId="BalloonText">
    <w:name w:val="Balloon Text"/>
    <w:basedOn w:val="Normal"/>
    <w:link w:val="BalloonTextChar"/>
    <w:uiPriority w:val="99"/>
    <w:semiHidden/>
    <w:unhideWhenUsed/>
    <w:rsid w:val="00570F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FE7"/>
    <w:rPr>
      <w:rFonts w:ascii="Segoe UI" w:hAnsi="Segoe UI" w:cs="Segoe UI"/>
      <w:sz w:val="18"/>
      <w:szCs w:val="18"/>
    </w:rPr>
  </w:style>
  <w:style w:type="paragraph" w:styleId="TOC1">
    <w:name w:val="toc 1"/>
    <w:basedOn w:val="Normal"/>
    <w:next w:val="Normal"/>
    <w:autoRedefine/>
    <w:uiPriority w:val="39"/>
    <w:unhideWhenUsed/>
    <w:rsid w:val="00584099"/>
    <w:pPr>
      <w:spacing w:after="100"/>
    </w:pPr>
  </w:style>
  <w:style w:type="paragraph" w:styleId="TOC2">
    <w:name w:val="toc 2"/>
    <w:basedOn w:val="Normal"/>
    <w:next w:val="Normal"/>
    <w:autoRedefine/>
    <w:uiPriority w:val="39"/>
    <w:unhideWhenUsed/>
    <w:rsid w:val="0058409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turnaround/level4/guidance.html?section=summar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SoS1@doe.mass.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johnston@doe.mass.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turnaround/level4/guid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DESE-231-52281</_dlc_DocId>
    <_dlc_DocIdUrl xmlns="733efe1c-5bbe-4968-87dc-d400e65c879f">
      <Url>https://sharepoint.doemass.org/ese/webteam/cps/_layouts/DocIdRedir.aspx?ID=DESE-231-52281</Url>
      <Description>DESE-231-52281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833FF-EE4E-40C4-8055-C49DF495764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6F851500-03B0-4D8C-B547-0E41665DC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BA8DC7-CABD-4302-BBB4-996F42C22BA8}">
  <ds:schemaRefs>
    <ds:schemaRef ds:uri="http://schemas.microsoft.com/sharepoint/events"/>
  </ds:schemaRefs>
</ds:datastoreItem>
</file>

<file path=customXml/itemProps4.xml><?xml version="1.0" encoding="utf-8"?>
<ds:datastoreItem xmlns:ds="http://schemas.openxmlformats.org/officeDocument/2006/customXml" ds:itemID="{270CD03D-CD8E-43F7-BECA-64C1543ABB5C}">
  <ds:schemaRefs>
    <ds:schemaRef ds:uri="http://schemas.microsoft.com/sharepoint/v3/contenttype/forms"/>
  </ds:schemaRefs>
</ds:datastoreItem>
</file>

<file path=customXml/itemProps5.xml><?xml version="1.0" encoding="utf-8"?>
<ds:datastoreItem xmlns:ds="http://schemas.openxmlformats.org/officeDocument/2006/customXml" ds:itemID="{31F280B8-9F59-4A50-A6E5-B9DB661A4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778</Words>
  <Characters>4284</Characters>
  <Application>Microsoft Office Word</Application>
  <DocSecurity>0</DocSecurity>
  <Lines>77</Lines>
  <Paragraphs>38</Paragraphs>
  <ScaleCrop>false</ScaleCrop>
  <HeadingPairs>
    <vt:vector size="2" baseType="variant">
      <vt:variant>
        <vt:lpstr>Title</vt:lpstr>
      </vt:variant>
      <vt:variant>
        <vt:i4>1</vt:i4>
      </vt:variant>
    </vt:vector>
  </HeadingPairs>
  <TitlesOfParts>
    <vt:vector size="1" baseType="lpstr">
      <vt:lpstr>OVERVIEW OF THE TURNAROUND PLAN REVIEW AND FEEDBACK PROCESS</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TURNAROUND PLAN REVIEW AND FEEDBACK PROCESS</dc:title>
  <dc:subject>OVERVIEW OF THE TURNAROUND PLAN REVIEW AND FEEDBACK PROCESS</dc:subject>
  <dc:creator>Johnston, Karen (DESE)</dc:creator>
  <cp:keywords/>
  <dc:description/>
  <cp:lastModifiedBy>O'Brien-Driscoll, Courtney (EOE)</cp:lastModifiedBy>
  <cp:revision>3</cp:revision>
  <cp:lastPrinted>2019-04-22T12:27:00Z</cp:lastPrinted>
  <dcterms:created xsi:type="dcterms:W3CDTF">2019-06-17T19:26:00Z</dcterms:created>
  <dcterms:modified xsi:type="dcterms:W3CDTF">2019-06-18T20:09:00Z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4c9aa6f7-1580-46b1-b9de-e95b6c0b2ac4</vt:lpwstr>
  </property>
  <property fmtid="{D5CDD505-2E9C-101B-9397-08002B2CF9AE}" pid="4" name="metadate">
    <vt:lpwstr>June 17 2019</vt:lpwstr>
  </property>
</Properties>
</file>