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192B2" w14:textId="2B323F05" w:rsidR="00131B02" w:rsidRDefault="00131B02" w:rsidP="00131B02">
      <w:pPr>
        <w:jc w:val="center"/>
        <w:rPr>
          <w:rFonts w:asciiTheme="minorHAnsi" w:hAnsiTheme="minorHAnsi" w:cstheme="minorHAnsi"/>
          <w:b/>
          <w:smallCaps/>
          <w:sz w:val="30"/>
          <w:szCs w:val="30"/>
        </w:rPr>
      </w:pPr>
      <w:bookmarkStart w:id="0" w:name="_GoBack"/>
      <w:bookmarkEnd w:id="0"/>
      <w:r w:rsidRPr="00131B02">
        <w:rPr>
          <w:rFonts w:asciiTheme="minorHAnsi" w:hAnsiTheme="minorHAnsi" w:cstheme="minorHAnsi"/>
          <w:b/>
          <w:smallCaps/>
          <w:sz w:val="30"/>
          <w:szCs w:val="30"/>
        </w:rPr>
        <w:t xml:space="preserve">Turnaround Plan Template </w:t>
      </w:r>
      <w:r w:rsidR="004A51DF">
        <w:rPr>
          <w:rFonts w:asciiTheme="minorHAnsi" w:hAnsiTheme="minorHAnsi" w:cstheme="minorHAnsi"/>
          <w:b/>
          <w:smallCaps/>
          <w:sz w:val="30"/>
          <w:szCs w:val="30"/>
        </w:rPr>
        <w:t>at a Glance</w:t>
      </w:r>
    </w:p>
    <w:p w14:paraId="5A1B97B3" w14:textId="77777777" w:rsidR="00131B02" w:rsidRDefault="00131B02"/>
    <w:tbl>
      <w:tblPr>
        <w:tblStyle w:val="TableGrid"/>
        <w:tblW w:w="0" w:type="auto"/>
        <w:tblLook w:val="04A0" w:firstRow="1" w:lastRow="0" w:firstColumn="1" w:lastColumn="0" w:noHBand="0" w:noVBand="1"/>
        <w:tblCaption w:val="Turnaround Plan Template at a Glance"/>
        <w:tblDescription w:val="This is a table of turnaround plan template"/>
      </w:tblPr>
      <w:tblGrid>
        <w:gridCol w:w="2155"/>
        <w:gridCol w:w="7650"/>
      </w:tblGrid>
      <w:tr w:rsidR="00782FBD" w14:paraId="1F6B9CC5" w14:textId="77777777" w:rsidTr="0073481B">
        <w:trPr>
          <w:tblHeader/>
        </w:trPr>
        <w:tc>
          <w:tcPr>
            <w:tcW w:w="2155" w:type="dxa"/>
          </w:tcPr>
          <w:p w14:paraId="6F978624" w14:textId="77777777" w:rsidR="00782FBD" w:rsidRPr="00782FBD" w:rsidRDefault="00243BA4">
            <w:pPr>
              <w:rPr>
                <w:rFonts w:asciiTheme="minorHAnsi" w:hAnsiTheme="minorHAnsi"/>
                <w:b/>
              </w:rPr>
            </w:pPr>
            <w:r w:rsidRPr="00243BA4">
              <w:rPr>
                <w:rFonts w:asciiTheme="minorHAnsi" w:hAnsiTheme="minorHAnsi"/>
                <w:b/>
                <w:color w:val="FF0000"/>
              </w:rPr>
              <w:t>SECTION I:</w:t>
            </w:r>
            <w:r w:rsidRPr="00243BA4">
              <w:rPr>
                <w:rFonts w:asciiTheme="minorHAnsi" w:hAnsiTheme="minorHAnsi"/>
                <w:color w:val="FF0000"/>
              </w:rPr>
              <w:t xml:space="preserve"> </w:t>
            </w:r>
            <w:r w:rsidR="00782FBD" w:rsidRPr="00782FBD">
              <w:rPr>
                <w:rFonts w:asciiTheme="minorHAnsi" w:hAnsiTheme="minorHAnsi"/>
                <w:b/>
              </w:rPr>
              <w:t>Executive Summary</w:t>
            </w:r>
          </w:p>
        </w:tc>
        <w:tc>
          <w:tcPr>
            <w:tcW w:w="7650" w:type="dxa"/>
          </w:tcPr>
          <w:p w14:paraId="2302044C" w14:textId="01F9C48C" w:rsidR="00782FBD" w:rsidRPr="00A548DC" w:rsidRDefault="00553114" w:rsidP="004A51DF">
            <w:pPr>
              <w:rPr>
                <w:sz w:val="23"/>
                <w:szCs w:val="23"/>
              </w:rPr>
            </w:pPr>
            <w:r w:rsidRPr="00A548DC">
              <w:rPr>
                <w:rFonts w:ascii="Calibri" w:eastAsia="Calibri" w:hAnsi="Calibri" w:cs="Calibri"/>
                <w:sz w:val="23"/>
                <w:szCs w:val="23"/>
              </w:rPr>
              <w:t xml:space="preserve">The Executive Summary offers a concise description of the turnaround plan that: provides a snapshot of the school, articulates </w:t>
            </w:r>
            <w:r w:rsidR="004A51DF" w:rsidRPr="00A548DC">
              <w:rPr>
                <w:rFonts w:ascii="Calibri" w:eastAsia="Calibri" w:hAnsi="Calibri" w:cs="Calibri"/>
                <w:sz w:val="23"/>
                <w:szCs w:val="23"/>
              </w:rPr>
              <w:t>its</w:t>
            </w:r>
            <w:r w:rsidRPr="00A548DC">
              <w:rPr>
                <w:rFonts w:ascii="Calibri" w:eastAsia="Calibri" w:hAnsi="Calibri" w:cs="Calibri"/>
                <w:sz w:val="23"/>
                <w:szCs w:val="23"/>
              </w:rPr>
              <w:t xml:space="preserve"> vision, outlines key i</w:t>
            </w:r>
            <w:r w:rsidR="004A51DF" w:rsidRPr="00A548DC">
              <w:rPr>
                <w:rFonts w:ascii="Calibri" w:eastAsia="Calibri" w:hAnsi="Calibri" w:cs="Calibri"/>
                <w:sz w:val="23"/>
                <w:szCs w:val="23"/>
              </w:rPr>
              <w:t>mprovement strategies and goals,</w:t>
            </w:r>
            <w:r w:rsidRPr="00A548DC">
              <w:rPr>
                <w:rFonts w:ascii="Calibri" w:eastAsia="Calibri" w:hAnsi="Calibri" w:cs="Calibri"/>
                <w:sz w:val="23"/>
                <w:szCs w:val="23"/>
              </w:rPr>
              <w:t xml:space="preserve"> </w:t>
            </w:r>
            <w:r w:rsidR="004A51DF" w:rsidRPr="00A548DC">
              <w:rPr>
                <w:rFonts w:ascii="Calibri" w:eastAsia="Calibri" w:hAnsi="Calibri" w:cs="Calibri"/>
                <w:sz w:val="23"/>
                <w:szCs w:val="23"/>
              </w:rPr>
              <w:t>indicates how success will be measured,</w:t>
            </w:r>
            <w:r w:rsidRPr="00A548DC">
              <w:rPr>
                <w:rFonts w:ascii="Calibri" w:eastAsia="Calibri" w:hAnsi="Calibri" w:cs="Calibri"/>
                <w:sz w:val="23"/>
                <w:szCs w:val="23"/>
              </w:rPr>
              <w:t xml:space="preserve"> </w:t>
            </w:r>
            <w:r w:rsidR="004A51DF" w:rsidRPr="00A548DC">
              <w:rPr>
                <w:rFonts w:ascii="Calibri" w:eastAsia="Calibri" w:hAnsi="Calibri" w:cs="Calibri"/>
                <w:sz w:val="23"/>
                <w:szCs w:val="23"/>
              </w:rPr>
              <w:t xml:space="preserve">and highlights </w:t>
            </w:r>
            <w:r w:rsidRPr="00A548DC">
              <w:rPr>
                <w:rFonts w:ascii="Calibri" w:eastAsia="Calibri" w:hAnsi="Calibri" w:cs="Calibri"/>
                <w:sz w:val="23"/>
                <w:szCs w:val="23"/>
              </w:rPr>
              <w:t>what makes th</w:t>
            </w:r>
            <w:r w:rsidR="004A51DF" w:rsidRPr="00A548DC">
              <w:rPr>
                <w:rFonts w:ascii="Calibri" w:eastAsia="Calibri" w:hAnsi="Calibri" w:cs="Calibri"/>
                <w:sz w:val="23"/>
                <w:szCs w:val="23"/>
              </w:rPr>
              <w:t>is</w:t>
            </w:r>
            <w:r w:rsidRPr="00A548DC">
              <w:rPr>
                <w:rFonts w:ascii="Calibri" w:eastAsia="Calibri" w:hAnsi="Calibri" w:cs="Calibri"/>
                <w:sz w:val="23"/>
                <w:szCs w:val="23"/>
              </w:rPr>
              <w:t xml:space="preserve"> approach </w:t>
            </w:r>
            <w:r w:rsidR="004A51DF" w:rsidRPr="00A548DC">
              <w:rPr>
                <w:rFonts w:ascii="Calibri" w:eastAsia="Calibri" w:hAnsi="Calibri" w:cs="Calibri"/>
                <w:sz w:val="23"/>
                <w:szCs w:val="23"/>
              </w:rPr>
              <w:t xml:space="preserve">to improvement </w:t>
            </w:r>
            <w:r w:rsidRPr="00A548DC">
              <w:rPr>
                <w:rFonts w:ascii="Calibri" w:eastAsia="Calibri" w:hAnsi="Calibri" w:cs="Calibri"/>
                <w:sz w:val="23"/>
                <w:szCs w:val="23"/>
              </w:rPr>
              <w:t>bold and new. S</w:t>
            </w:r>
            <w:r w:rsidR="00782FBD" w:rsidRPr="00A548DC">
              <w:rPr>
                <w:rFonts w:ascii="Calibri" w:eastAsia="Calibri" w:hAnsi="Calibri" w:cs="Calibri"/>
                <w:sz w:val="23"/>
                <w:szCs w:val="23"/>
              </w:rPr>
              <w:t xml:space="preserve">omeone should be able to read the Executive Summary and understand the essence of the turnaround plan without having to read the whole plan.  </w:t>
            </w:r>
          </w:p>
        </w:tc>
      </w:tr>
      <w:tr w:rsidR="00782FBD" w14:paraId="2D6C12F6" w14:textId="77777777" w:rsidTr="0073481B">
        <w:trPr>
          <w:tblHeader/>
        </w:trPr>
        <w:tc>
          <w:tcPr>
            <w:tcW w:w="2155" w:type="dxa"/>
          </w:tcPr>
          <w:p w14:paraId="7E69FE24" w14:textId="77777777" w:rsidR="00782FBD" w:rsidRPr="00782FBD" w:rsidRDefault="00243BA4">
            <w:pPr>
              <w:rPr>
                <w:rFonts w:asciiTheme="minorHAnsi" w:hAnsiTheme="minorHAnsi"/>
                <w:b/>
              </w:rPr>
            </w:pPr>
            <w:r w:rsidRPr="00243BA4">
              <w:rPr>
                <w:rFonts w:asciiTheme="minorHAnsi" w:hAnsiTheme="minorHAnsi"/>
                <w:b/>
                <w:color w:val="FF0000"/>
              </w:rPr>
              <w:t>SECTION II:</w:t>
            </w:r>
            <w:r w:rsidRPr="00243BA4">
              <w:rPr>
                <w:rFonts w:asciiTheme="minorHAnsi" w:hAnsiTheme="minorHAnsi"/>
                <w:color w:val="FF0000"/>
              </w:rPr>
              <w:t xml:space="preserve"> </w:t>
            </w:r>
            <w:r w:rsidR="00782FBD" w:rsidRPr="00782FBD">
              <w:rPr>
                <w:rFonts w:asciiTheme="minorHAnsi" w:hAnsiTheme="minorHAnsi"/>
                <w:b/>
              </w:rPr>
              <w:t>Stakeholder Engagement</w:t>
            </w:r>
          </w:p>
        </w:tc>
        <w:tc>
          <w:tcPr>
            <w:tcW w:w="7650" w:type="dxa"/>
          </w:tcPr>
          <w:p w14:paraId="43479D58" w14:textId="6F83B748" w:rsidR="00782FBD" w:rsidRPr="00A548DC" w:rsidRDefault="00337C3A" w:rsidP="004A51DF">
            <w:pPr>
              <w:pBdr>
                <w:top w:val="nil"/>
                <w:left w:val="nil"/>
                <w:bottom w:val="nil"/>
                <w:right w:val="nil"/>
                <w:between w:val="nil"/>
              </w:pBdr>
              <w:rPr>
                <w:sz w:val="23"/>
                <w:szCs w:val="23"/>
              </w:rPr>
            </w:pPr>
            <w:r w:rsidRPr="00A548DC">
              <w:rPr>
                <w:rFonts w:ascii="Calibri" w:eastAsia="Calibri" w:hAnsi="Calibri" w:cs="Calibri"/>
                <w:sz w:val="23"/>
                <w:szCs w:val="23"/>
              </w:rPr>
              <w:t>S</w:t>
            </w:r>
            <w:r w:rsidR="00553114" w:rsidRPr="00A548DC">
              <w:rPr>
                <w:rFonts w:ascii="Calibri" w:eastAsia="Calibri" w:hAnsi="Calibri" w:cs="Calibri"/>
                <w:sz w:val="23"/>
                <w:szCs w:val="23"/>
              </w:rPr>
              <w:t xml:space="preserve">takeholders serve a key advisory role </w:t>
            </w:r>
            <w:r w:rsidR="00711B07" w:rsidRPr="00A548DC">
              <w:rPr>
                <w:rFonts w:ascii="Calibri" w:eastAsia="Calibri" w:hAnsi="Calibri" w:cs="Calibri"/>
                <w:sz w:val="23"/>
                <w:szCs w:val="23"/>
              </w:rPr>
              <w:t xml:space="preserve">in the turnaround process </w:t>
            </w:r>
            <w:r w:rsidR="00553114" w:rsidRPr="00A548DC">
              <w:rPr>
                <w:rFonts w:ascii="Calibri" w:eastAsia="Calibri" w:hAnsi="Calibri" w:cs="Calibri"/>
                <w:sz w:val="23"/>
                <w:szCs w:val="23"/>
              </w:rPr>
              <w:t xml:space="preserve">by offering their perspectives, feedback, and broad recommendations on how to address the school’s challenges. </w:t>
            </w:r>
            <w:r w:rsidR="004A51DF" w:rsidRPr="00A548DC">
              <w:rPr>
                <w:rFonts w:ascii="Calibri" w:eastAsia="Calibri" w:hAnsi="Calibri" w:cs="Calibri"/>
                <w:sz w:val="23"/>
                <w:szCs w:val="23"/>
              </w:rPr>
              <w:t xml:space="preserve"> The turnaround </w:t>
            </w:r>
            <w:r w:rsidR="00C34AF7" w:rsidRPr="00A548DC">
              <w:rPr>
                <w:rFonts w:ascii="Calibri" w:eastAsia="Calibri" w:hAnsi="Calibri" w:cs="Calibri"/>
                <w:sz w:val="23"/>
                <w:szCs w:val="23"/>
              </w:rPr>
              <w:t>plan should describe</w:t>
            </w:r>
            <w:r w:rsidR="00553114" w:rsidRPr="00A548DC">
              <w:rPr>
                <w:rFonts w:ascii="Calibri" w:eastAsia="Calibri" w:hAnsi="Calibri" w:cs="Calibri"/>
                <w:sz w:val="23"/>
                <w:szCs w:val="23"/>
              </w:rPr>
              <w:t xml:space="preserve"> </w:t>
            </w:r>
            <w:r w:rsidR="00553114" w:rsidRPr="00A548DC">
              <w:rPr>
                <w:rFonts w:ascii="Calibri" w:eastAsia="Calibri" w:hAnsi="Calibri" w:cs="Calibri"/>
                <w:color w:val="000000"/>
                <w:sz w:val="23"/>
                <w:szCs w:val="23"/>
              </w:rPr>
              <w:t xml:space="preserve">the composition of the stakeholder group; the process used to gather meaningful input; recommendations made by stakeholders and where they are reflected in </w:t>
            </w:r>
            <w:r w:rsidR="004A51DF" w:rsidRPr="00A548DC">
              <w:rPr>
                <w:rFonts w:ascii="Calibri" w:eastAsia="Calibri" w:hAnsi="Calibri" w:cs="Calibri"/>
                <w:color w:val="000000"/>
                <w:sz w:val="23"/>
                <w:szCs w:val="23"/>
              </w:rPr>
              <w:t>the</w:t>
            </w:r>
            <w:r w:rsidR="00553114" w:rsidRPr="00A548DC">
              <w:rPr>
                <w:rFonts w:ascii="Calibri" w:eastAsia="Calibri" w:hAnsi="Calibri" w:cs="Calibri"/>
                <w:color w:val="000000"/>
                <w:sz w:val="23"/>
                <w:szCs w:val="23"/>
              </w:rPr>
              <w:t xml:space="preserve"> </w:t>
            </w:r>
            <w:r w:rsidR="00553114" w:rsidRPr="00A548DC">
              <w:rPr>
                <w:rFonts w:ascii="Calibri" w:eastAsia="Calibri" w:hAnsi="Calibri" w:cs="Calibri"/>
                <w:sz w:val="23"/>
                <w:szCs w:val="23"/>
              </w:rPr>
              <w:t>t</w:t>
            </w:r>
            <w:r w:rsidR="00553114" w:rsidRPr="00A548DC">
              <w:rPr>
                <w:rFonts w:ascii="Calibri" w:eastAsia="Calibri" w:hAnsi="Calibri" w:cs="Calibri"/>
                <w:color w:val="000000"/>
                <w:sz w:val="23"/>
                <w:szCs w:val="23"/>
              </w:rPr>
              <w:t xml:space="preserve">urnaround </w:t>
            </w:r>
            <w:r w:rsidR="00553114" w:rsidRPr="00A548DC">
              <w:rPr>
                <w:rFonts w:ascii="Calibri" w:eastAsia="Calibri" w:hAnsi="Calibri" w:cs="Calibri"/>
                <w:sz w:val="23"/>
                <w:szCs w:val="23"/>
              </w:rPr>
              <w:t>p</w:t>
            </w:r>
            <w:r w:rsidR="00553114" w:rsidRPr="00A548DC">
              <w:rPr>
                <w:rFonts w:ascii="Calibri" w:eastAsia="Calibri" w:hAnsi="Calibri" w:cs="Calibri"/>
                <w:color w:val="000000"/>
                <w:sz w:val="23"/>
                <w:szCs w:val="23"/>
              </w:rPr>
              <w:t xml:space="preserve">lan; and </w:t>
            </w:r>
            <w:r w:rsidR="004A51DF" w:rsidRPr="00A548DC">
              <w:rPr>
                <w:rFonts w:ascii="Calibri" w:eastAsia="Calibri" w:hAnsi="Calibri" w:cs="Calibri"/>
                <w:color w:val="000000"/>
                <w:sz w:val="23"/>
                <w:szCs w:val="23"/>
              </w:rPr>
              <w:t>the</w:t>
            </w:r>
            <w:r w:rsidR="00553114" w:rsidRPr="00A548DC">
              <w:rPr>
                <w:rFonts w:ascii="Calibri" w:eastAsia="Calibri" w:hAnsi="Calibri" w:cs="Calibri"/>
                <w:color w:val="000000"/>
                <w:sz w:val="23"/>
                <w:szCs w:val="23"/>
              </w:rPr>
              <w:t xml:space="preserve"> school’s plans for ensuring regular, ongoing engagement with the </w:t>
            </w:r>
            <w:r w:rsidRPr="00A548DC">
              <w:rPr>
                <w:rFonts w:ascii="Calibri" w:eastAsia="Calibri" w:hAnsi="Calibri" w:cs="Calibri"/>
                <w:color w:val="000000"/>
                <w:sz w:val="23"/>
                <w:szCs w:val="23"/>
              </w:rPr>
              <w:t xml:space="preserve">stakeholder </w:t>
            </w:r>
            <w:r w:rsidR="00553114" w:rsidRPr="00A548DC">
              <w:rPr>
                <w:rFonts w:ascii="Calibri" w:eastAsia="Calibri" w:hAnsi="Calibri" w:cs="Calibri"/>
                <w:color w:val="000000"/>
                <w:sz w:val="23"/>
                <w:szCs w:val="23"/>
              </w:rPr>
              <w:t>group</w:t>
            </w:r>
            <w:r w:rsidRPr="00A548DC">
              <w:rPr>
                <w:rFonts w:ascii="Calibri" w:eastAsia="Calibri" w:hAnsi="Calibri" w:cs="Calibri"/>
                <w:color w:val="000000"/>
                <w:sz w:val="23"/>
                <w:szCs w:val="23"/>
              </w:rPr>
              <w:t>.</w:t>
            </w:r>
            <w:r w:rsidR="00553114" w:rsidRPr="00A548DC">
              <w:rPr>
                <w:rFonts w:ascii="Calibri" w:eastAsia="Calibri" w:hAnsi="Calibri" w:cs="Calibri"/>
                <w:color w:val="000000"/>
                <w:sz w:val="23"/>
                <w:szCs w:val="23"/>
              </w:rPr>
              <w:t xml:space="preserve"> </w:t>
            </w:r>
          </w:p>
        </w:tc>
      </w:tr>
      <w:tr w:rsidR="00782FBD" w14:paraId="6330F20C" w14:textId="77777777" w:rsidTr="0073481B">
        <w:trPr>
          <w:tblHeader/>
        </w:trPr>
        <w:tc>
          <w:tcPr>
            <w:tcW w:w="2155" w:type="dxa"/>
          </w:tcPr>
          <w:p w14:paraId="2620209D" w14:textId="77777777" w:rsidR="00782FBD" w:rsidRPr="00782FBD" w:rsidRDefault="00243BA4">
            <w:pPr>
              <w:rPr>
                <w:rFonts w:asciiTheme="minorHAnsi" w:hAnsiTheme="minorHAnsi"/>
                <w:b/>
              </w:rPr>
            </w:pPr>
            <w:r w:rsidRPr="00243BA4">
              <w:rPr>
                <w:rFonts w:asciiTheme="minorHAnsi" w:hAnsiTheme="minorHAnsi"/>
                <w:b/>
                <w:color w:val="FF0000"/>
              </w:rPr>
              <w:t>SECTION III:</w:t>
            </w:r>
            <w:r w:rsidRPr="00243BA4">
              <w:rPr>
                <w:rFonts w:asciiTheme="minorHAnsi" w:hAnsiTheme="minorHAnsi"/>
                <w:color w:val="FF0000"/>
              </w:rPr>
              <w:t xml:space="preserve"> </w:t>
            </w:r>
            <w:r w:rsidR="00782FBD" w:rsidRPr="00782FBD">
              <w:rPr>
                <w:rFonts w:asciiTheme="minorHAnsi" w:hAnsiTheme="minorHAnsi"/>
                <w:b/>
              </w:rPr>
              <w:t>Envision the Future</w:t>
            </w:r>
          </w:p>
        </w:tc>
        <w:tc>
          <w:tcPr>
            <w:tcW w:w="7650" w:type="dxa"/>
          </w:tcPr>
          <w:p w14:paraId="398FF82F" w14:textId="04C219EC" w:rsidR="00782FBD" w:rsidRPr="00A548DC" w:rsidRDefault="00782FBD" w:rsidP="00711B07">
            <w:pPr>
              <w:rPr>
                <w:sz w:val="23"/>
                <w:szCs w:val="23"/>
              </w:rPr>
            </w:pPr>
            <w:r w:rsidRPr="00A548DC">
              <w:rPr>
                <w:rFonts w:ascii="Calibri" w:eastAsia="Calibri" w:hAnsi="Calibri" w:cs="Calibri"/>
                <w:sz w:val="23"/>
                <w:szCs w:val="23"/>
              </w:rPr>
              <w:t xml:space="preserve">Envisioning the future is a powerful and effective early step in the planning process. Inviting participation in the visioning process will build ownership and advocacy for the resulting plan among both educators and the </w:t>
            </w:r>
            <w:r w:rsidR="00711B07" w:rsidRPr="00A548DC">
              <w:rPr>
                <w:rFonts w:ascii="Calibri" w:eastAsia="Calibri" w:hAnsi="Calibri" w:cs="Calibri"/>
                <w:sz w:val="23"/>
                <w:szCs w:val="23"/>
              </w:rPr>
              <w:t xml:space="preserve">stakeholder </w:t>
            </w:r>
            <w:r w:rsidRPr="00A548DC">
              <w:rPr>
                <w:rFonts w:ascii="Calibri" w:eastAsia="Calibri" w:hAnsi="Calibri" w:cs="Calibri"/>
                <w:sz w:val="23"/>
                <w:szCs w:val="23"/>
              </w:rPr>
              <w:t xml:space="preserve">community. </w:t>
            </w:r>
            <w:r w:rsidR="004A51DF" w:rsidRPr="00A548DC">
              <w:rPr>
                <w:rFonts w:ascii="Calibri" w:eastAsia="Calibri" w:hAnsi="Calibri" w:cs="Calibri"/>
                <w:sz w:val="23"/>
                <w:szCs w:val="23"/>
              </w:rPr>
              <w:t>The t</w:t>
            </w:r>
            <w:r w:rsidR="00337C3A" w:rsidRPr="00A548DC">
              <w:rPr>
                <w:rFonts w:ascii="Calibri" w:eastAsia="Calibri" w:hAnsi="Calibri" w:cs="Calibri"/>
                <w:sz w:val="23"/>
                <w:szCs w:val="23"/>
              </w:rPr>
              <w:t xml:space="preserve">urnaround plan should </w:t>
            </w:r>
            <w:r w:rsidR="00FD5D5E" w:rsidRPr="00A548DC">
              <w:rPr>
                <w:rFonts w:ascii="Calibri" w:eastAsia="Calibri" w:hAnsi="Calibri" w:cs="Calibri"/>
                <w:sz w:val="23"/>
                <w:szCs w:val="23"/>
              </w:rPr>
              <w:t xml:space="preserve">articulate what </w:t>
            </w:r>
            <w:r w:rsidR="00337C3A" w:rsidRPr="00A548DC">
              <w:rPr>
                <w:rFonts w:ascii="Calibri" w:eastAsia="Calibri" w:hAnsi="Calibri" w:cs="Calibri"/>
                <w:sz w:val="23"/>
                <w:szCs w:val="23"/>
              </w:rPr>
              <w:t>the school’s long-term vision of success will look like, sound like, and feel like when</w:t>
            </w:r>
            <w:r w:rsidR="00711B07" w:rsidRPr="00A548DC">
              <w:rPr>
                <w:rFonts w:ascii="Calibri" w:eastAsia="Calibri" w:hAnsi="Calibri" w:cs="Calibri"/>
                <w:sz w:val="23"/>
                <w:szCs w:val="23"/>
              </w:rPr>
              <w:t xml:space="preserve"> the school</w:t>
            </w:r>
            <w:r w:rsidR="004A51DF" w:rsidRPr="00A548DC">
              <w:rPr>
                <w:rFonts w:ascii="Calibri" w:eastAsia="Calibri" w:hAnsi="Calibri" w:cs="Calibri"/>
                <w:sz w:val="23"/>
                <w:szCs w:val="23"/>
              </w:rPr>
              <w:t xml:space="preserve"> successfully reaches its goals.</w:t>
            </w:r>
          </w:p>
        </w:tc>
      </w:tr>
      <w:tr w:rsidR="00782FBD" w14:paraId="7A920C33" w14:textId="77777777" w:rsidTr="0073481B">
        <w:trPr>
          <w:tblHeader/>
        </w:trPr>
        <w:tc>
          <w:tcPr>
            <w:tcW w:w="2155" w:type="dxa"/>
          </w:tcPr>
          <w:p w14:paraId="67C2A16E" w14:textId="77777777" w:rsidR="00131B02" w:rsidRDefault="00782FBD" w:rsidP="00553114">
            <w:pPr>
              <w:rPr>
                <w:rFonts w:asciiTheme="minorHAnsi" w:hAnsiTheme="minorHAnsi"/>
                <w:b/>
                <w:color w:val="FF0000"/>
              </w:rPr>
            </w:pPr>
            <w:r w:rsidRPr="00553114">
              <w:rPr>
                <w:rFonts w:asciiTheme="minorHAnsi" w:hAnsiTheme="minorHAnsi"/>
                <w:b/>
                <w:color w:val="FF0000"/>
              </w:rPr>
              <w:t xml:space="preserve">SECTION IV: </w:t>
            </w:r>
          </w:p>
          <w:p w14:paraId="30B7E875" w14:textId="2569271C" w:rsidR="00782FBD" w:rsidRPr="00553114" w:rsidRDefault="00782FBD" w:rsidP="00553114">
            <w:pPr>
              <w:rPr>
                <w:rFonts w:asciiTheme="minorHAnsi" w:hAnsiTheme="minorHAnsi"/>
                <w:b/>
              </w:rPr>
            </w:pPr>
            <w:r w:rsidRPr="00553114">
              <w:rPr>
                <w:rFonts w:asciiTheme="minorHAnsi" w:hAnsiTheme="minorHAnsi"/>
                <w:b/>
              </w:rPr>
              <w:t xml:space="preserve">Assessment of Assets and Challenges </w:t>
            </w:r>
          </w:p>
          <w:p w14:paraId="1A5D8EC6" w14:textId="77777777" w:rsidR="00782FBD" w:rsidRPr="00553114" w:rsidRDefault="00782FBD" w:rsidP="00553114">
            <w:pPr>
              <w:rPr>
                <w:rFonts w:asciiTheme="minorHAnsi" w:hAnsiTheme="minorHAnsi"/>
                <w:b/>
              </w:rPr>
            </w:pPr>
          </w:p>
        </w:tc>
        <w:tc>
          <w:tcPr>
            <w:tcW w:w="7650" w:type="dxa"/>
          </w:tcPr>
          <w:p w14:paraId="123AF33C" w14:textId="4E0E35BD" w:rsidR="00782FBD" w:rsidRPr="00A548DC" w:rsidRDefault="002B1FD5" w:rsidP="004A51DF">
            <w:pPr>
              <w:rPr>
                <w:sz w:val="23"/>
                <w:szCs w:val="23"/>
              </w:rPr>
            </w:pPr>
            <w:r w:rsidRPr="00A548DC">
              <w:rPr>
                <w:rFonts w:ascii="Calibri" w:eastAsia="Calibri" w:hAnsi="Calibri" w:cs="Calibri"/>
                <w:sz w:val="23"/>
                <w:szCs w:val="23"/>
              </w:rPr>
              <w:t>Before identifying strategies and approaches to implement, t</w:t>
            </w:r>
            <w:r w:rsidR="00782FBD" w:rsidRPr="00A548DC">
              <w:rPr>
                <w:rFonts w:ascii="Calibri" w:eastAsia="Calibri" w:hAnsi="Calibri" w:cs="Calibri"/>
                <w:sz w:val="23"/>
                <w:szCs w:val="23"/>
              </w:rPr>
              <w:t xml:space="preserve">he school needs </w:t>
            </w:r>
            <w:r w:rsidRPr="00A548DC">
              <w:rPr>
                <w:rFonts w:ascii="Calibri" w:eastAsia="Calibri" w:hAnsi="Calibri" w:cs="Calibri"/>
                <w:sz w:val="23"/>
                <w:szCs w:val="23"/>
              </w:rPr>
              <w:t xml:space="preserve">to </w:t>
            </w:r>
            <w:r w:rsidR="00782FBD" w:rsidRPr="00A548DC">
              <w:rPr>
                <w:rFonts w:ascii="Calibri" w:eastAsia="Calibri" w:hAnsi="Calibri" w:cs="Calibri"/>
                <w:sz w:val="23"/>
                <w:szCs w:val="23"/>
              </w:rPr>
              <w:t>ground</w:t>
            </w:r>
            <w:r w:rsidRPr="00A548DC">
              <w:rPr>
                <w:rFonts w:ascii="Calibri" w:eastAsia="Calibri" w:hAnsi="Calibri" w:cs="Calibri"/>
                <w:sz w:val="23"/>
                <w:szCs w:val="23"/>
              </w:rPr>
              <w:t xml:space="preserve"> itself </w:t>
            </w:r>
            <w:r w:rsidR="00782FBD" w:rsidRPr="00A548DC">
              <w:rPr>
                <w:rFonts w:ascii="Calibri" w:eastAsia="Calibri" w:hAnsi="Calibri" w:cs="Calibri"/>
                <w:sz w:val="23"/>
                <w:szCs w:val="23"/>
              </w:rPr>
              <w:t xml:space="preserve">in a thorough analysis of data </w:t>
            </w:r>
            <w:r w:rsidRPr="00A548DC">
              <w:rPr>
                <w:rFonts w:ascii="Calibri" w:eastAsia="Calibri" w:hAnsi="Calibri" w:cs="Calibri"/>
                <w:sz w:val="23"/>
                <w:szCs w:val="23"/>
              </w:rPr>
              <w:t xml:space="preserve">to </w:t>
            </w:r>
            <w:r w:rsidR="00782FBD" w:rsidRPr="00A548DC">
              <w:rPr>
                <w:rFonts w:ascii="Calibri" w:eastAsia="Calibri" w:hAnsi="Calibri" w:cs="Calibri"/>
                <w:sz w:val="23"/>
                <w:szCs w:val="23"/>
              </w:rPr>
              <w:t xml:space="preserve">take stock of the school’s strengths and challenges and develop a common understanding of what needs to change in order to achieve the school’s vision for success. </w:t>
            </w:r>
            <w:r w:rsidR="004A51DF" w:rsidRPr="00A548DC">
              <w:rPr>
                <w:rFonts w:ascii="Calibri" w:eastAsia="Calibri" w:hAnsi="Calibri" w:cs="Calibri"/>
                <w:sz w:val="23"/>
                <w:szCs w:val="23"/>
              </w:rPr>
              <w:t>The turnaround plan</w:t>
            </w:r>
            <w:r w:rsidR="00337C3A" w:rsidRPr="00A548DC">
              <w:rPr>
                <w:rFonts w:ascii="Calibri" w:eastAsia="Calibri" w:hAnsi="Calibri" w:cs="Calibri"/>
                <w:sz w:val="23"/>
                <w:szCs w:val="23"/>
              </w:rPr>
              <w:t xml:space="preserve"> should </w:t>
            </w:r>
            <w:r w:rsidRPr="00A548DC">
              <w:rPr>
                <w:rFonts w:ascii="Calibri" w:eastAsia="Calibri" w:hAnsi="Calibri" w:cs="Calibri"/>
                <w:sz w:val="23"/>
                <w:szCs w:val="23"/>
              </w:rPr>
              <w:t xml:space="preserve">describe 2-5 key assets and challenges </w:t>
            </w:r>
            <w:r w:rsidR="004A51DF" w:rsidRPr="00A548DC">
              <w:rPr>
                <w:rFonts w:ascii="Calibri" w:eastAsia="Calibri" w:hAnsi="Calibri" w:cs="Calibri"/>
                <w:sz w:val="23"/>
                <w:szCs w:val="23"/>
              </w:rPr>
              <w:t xml:space="preserve">the school will </w:t>
            </w:r>
            <w:r w:rsidRPr="00A548DC">
              <w:rPr>
                <w:rFonts w:ascii="Calibri" w:eastAsia="Calibri" w:hAnsi="Calibri" w:cs="Calibri"/>
                <w:sz w:val="23"/>
                <w:szCs w:val="23"/>
              </w:rPr>
              <w:t>address, along with a summary of the data analyzed and process</w:t>
            </w:r>
            <w:r w:rsidR="00711B07" w:rsidRPr="00A548DC">
              <w:rPr>
                <w:rFonts w:ascii="Calibri" w:eastAsia="Calibri" w:hAnsi="Calibri" w:cs="Calibri"/>
                <w:sz w:val="23"/>
                <w:szCs w:val="23"/>
              </w:rPr>
              <w:t>es</w:t>
            </w:r>
            <w:r w:rsidRPr="00A548DC">
              <w:rPr>
                <w:rFonts w:ascii="Calibri" w:eastAsia="Calibri" w:hAnsi="Calibri" w:cs="Calibri"/>
                <w:sz w:val="23"/>
                <w:szCs w:val="23"/>
              </w:rPr>
              <w:t xml:space="preserve"> and procedures </w:t>
            </w:r>
            <w:r w:rsidR="004A51DF" w:rsidRPr="00A548DC">
              <w:rPr>
                <w:rFonts w:ascii="Calibri" w:eastAsia="Calibri" w:hAnsi="Calibri" w:cs="Calibri"/>
                <w:sz w:val="23"/>
                <w:szCs w:val="23"/>
              </w:rPr>
              <w:t xml:space="preserve">used to identify them </w:t>
            </w:r>
            <w:r w:rsidR="00711B07" w:rsidRPr="00A548DC">
              <w:rPr>
                <w:rFonts w:ascii="Calibri" w:eastAsia="Calibri" w:hAnsi="Calibri" w:cs="Calibri"/>
                <w:sz w:val="23"/>
                <w:szCs w:val="23"/>
              </w:rPr>
              <w:t>as being the most critical.</w:t>
            </w:r>
          </w:p>
        </w:tc>
      </w:tr>
      <w:tr w:rsidR="00782FBD" w14:paraId="0B43F201" w14:textId="77777777" w:rsidTr="0073481B">
        <w:trPr>
          <w:tblHeader/>
        </w:trPr>
        <w:tc>
          <w:tcPr>
            <w:tcW w:w="2155" w:type="dxa"/>
          </w:tcPr>
          <w:p w14:paraId="4FEB04B3" w14:textId="77777777" w:rsidR="00131B02" w:rsidRDefault="00782FBD" w:rsidP="00553114">
            <w:pPr>
              <w:rPr>
                <w:rFonts w:asciiTheme="minorHAnsi" w:hAnsiTheme="minorHAnsi"/>
                <w:b/>
              </w:rPr>
            </w:pPr>
            <w:r w:rsidRPr="00553114">
              <w:rPr>
                <w:rFonts w:asciiTheme="minorHAnsi" w:hAnsiTheme="minorHAnsi"/>
                <w:b/>
                <w:color w:val="FF0000"/>
              </w:rPr>
              <w:t>SECTION V:</w:t>
            </w:r>
            <w:r w:rsidRPr="00553114">
              <w:rPr>
                <w:rFonts w:asciiTheme="minorHAnsi" w:hAnsiTheme="minorHAnsi"/>
                <w:b/>
              </w:rPr>
              <w:t xml:space="preserve"> </w:t>
            </w:r>
          </w:p>
          <w:p w14:paraId="062030C1" w14:textId="77777777" w:rsidR="00782FBD" w:rsidRPr="00553114" w:rsidRDefault="00782FBD" w:rsidP="00553114">
            <w:pPr>
              <w:rPr>
                <w:rFonts w:asciiTheme="minorHAnsi" w:hAnsiTheme="minorHAnsi"/>
                <w:b/>
              </w:rPr>
            </w:pPr>
            <w:r w:rsidRPr="00553114">
              <w:rPr>
                <w:rFonts w:asciiTheme="minorHAnsi" w:hAnsiTheme="minorHAnsi"/>
                <w:b/>
              </w:rPr>
              <w:t>Strategic Objectives and Initiatives Aligned to Turnaround Practices</w:t>
            </w:r>
          </w:p>
        </w:tc>
        <w:tc>
          <w:tcPr>
            <w:tcW w:w="7650" w:type="dxa"/>
          </w:tcPr>
          <w:p w14:paraId="1BFB1AE8" w14:textId="1083A317" w:rsidR="00782FBD" w:rsidRPr="00A548DC" w:rsidRDefault="00782FBD" w:rsidP="00D82EA1">
            <w:pPr>
              <w:rPr>
                <w:rFonts w:ascii="Calibri" w:eastAsia="Calibri" w:hAnsi="Calibri" w:cs="Calibri"/>
                <w:sz w:val="23"/>
                <w:szCs w:val="23"/>
              </w:rPr>
            </w:pPr>
            <w:r w:rsidRPr="00A548DC">
              <w:rPr>
                <w:rFonts w:ascii="Calibri" w:eastAsia="Calibri" w:hAnsi="Calibri" w:cs="Calibri"/>
                <w:sz w:val="23"/>
                <w:szCs w:val="23"/>
              </w:rPr>
              <w:t>The strategic objectives an</w:t>
            </w:r>
            <w:r w:rsidR="00553114" w:rsidRPr="00A548DC">
              <w:rPr>
                <w:rFonts w:ascii="Calibri" w:eastAsia="Calibri" w:hAnsi="Calibri" w:cs="Calibri"/>
                <w:sz w:val="23"/>
                <w:szCs w:val="23"/>
              </w:rPr>
              <w:t xml:space="preserve">d initiatives reflected in </w:t>
            </w:r>
            <w:r w:rsidR="004A51DF" w:rsidRPr="00A548DC">
              <w:rPr>
                <w:rFonts w:ascii="Calibri" w:eastAsia="Calibri" w:hAnsi="Calibri" w:cs="Calibri"/>
                <w:sz w:val="23"/>
                <w:szCs w:val="23"/>
              </w:rPr>
              <w:t>the</w:t>
            </w:r>
            <w:r w:rsidR="00553114" w:rsidRPr="00A548DC">
              <w:rPr>
                <w:rFonts w:ascii="Calibri" w:eastAsia="Calibri" w:hAnsi="Calibri" w:cs="Calibri"/>
                <w:sz w:val="23"/>
                <w:szCs w:val="23"/>
              </w:rPr>
              <w:t xml:space="preserve"> </w:t>
            </w:r>
            <w:r w:rsidRPr="00A548DC">
              <w:rPr>
                <w:rFonts w:ascii="Calibri" w:eastAsia="Calibri" w:hAnsi="Calibri" w:cs="Calibri"/>
                <w:sz w:val="23"/>
                <w:szCs w:val="23"/>
              </w:rPr>
              <w:t xml:space="preserve">turnaround plan are the coherent </w:t>
            </w:r>
            <w:r w:rsidR="00711B07" w:rsidRPr="00A548DC">
              <w:rPr>
                <w:rFonts w:ascii="Calibri" w:eastAsia="Calibri" w:hAnsi="Calibri" w:cs="Calibri"/>
                <w:sz w:val="23"/>
                <w:szCs w:val="23"/>
              </w:rPr>
              <w:t xml:space="preserve">set </w:t>
            </w:r>
            <w:r w:rsidRPr="00A548DC">
              <w:rPr>
                <w:rFonts w:ascii="Calibri" w:eastAsia="Calibri" w:hAnsi="Calibri" w:cs="Calibri"/>
                <w:sz w:val="23"/>
                <w:szCs w:val="23"/>
              </w:rPr>
              <w:t xml:space="preserve">of </w:t>
            </w:r>
            <w:r w:rsidR="00711B07" w:rsidRPr="00A548DC">
              <w:rPr>
                <w:rFonts w:ascii="Calibri" w:eastAsia="Calibri" w:hAnsi="Calibri" w:cs="Calibri"/>
                <w:sz w:val="23"/>
                <w:szCs w:val="23"/>
              </w:rPr>
              <w:t xml:space="preserve">key approaches </w:t>
            </w:r>
            <w:r w:rsidRPr="00A548DC">
              <w:rPr>
                <w:rFonts w:ascii="Calibri" w:eastAsia="Calibri" w:hAnsi="Calibri" w:cs="Calibri"/>
                <w:sz w:val="23"/>
                <w:szCs w:val="23"/>
              </w:rPr>
              <w:t>and levers</w:t>
            </w:r>
            <w:r w:rsidR="00711B07" w:rsidRPr="00A548DC">
              <w:rPr>
                <w:rFonts w:ascii="Calibri" w:eastAsia="Calibri" w:hAnsi="Calibri" w:cs="Calibri"/>
                <w:sz w:val="23"/>
                <w:szCs w:val="23"/>
              </w:rPr>
              <w:t xml:space="preserve"> for change</w:t>
            </w:r>
            <w:r w:rsidRPr="00A548DC">
              <w:rPr>
                <w:rFonts w:ascii="Calibri" w:eastAsia="Calibri" w:hAnsi="Calibri" w:cs="Calibri"/>
                <w:sz w:val="23"/>
                <w:szCs w:val="23"/>
              </w:rPr>
              <w:t xml:space="preserve"> </w:t>
            </w:r>
            <w:r w:rsidR="008F1536" w:rsidRPr="00A548DC">
              <w:rPr>
                <w:rFonts w:ascii="Calibri" w:eastAsia="Calibri" w:hAnsi="Calibri" w:cs="Calibri"/>
                <w:sz w:val="23"/>
                <w:szCs w:val="23"/>
              </w:rPr>
              <w:t xml:space="preserve">aligned to the Massachusetts Turnaround Practices </w:t>
            </w:r>
            <w:r w:rsidRPr="00A548DC">
              <w:rPr>
                <w:rFonts w:ascii="Calibri" w:eastAsia="Calibri" w:hAnsi="Calibri" w:cs="Calibri"/>
                <w:sz w:val="23"/>
                <w:szCs w:val="23"/>
              </w:rPr>
              <w:t>that</w:t>
            </w:r>
            <w:r w:rsidR="00D82EA1" w:rsidRPr="00A548DC">
              <w:rPr>
                <w:rFonts w:ascii="Calibri" w:eastAsia="Calibri" w:hAnsi="Calibri" w:cs="Calibri"/>
                <w:sz w:val="23"/>
                <w:szCs w:val="23"/>
              </w:rPr>
              <w:t xml:space="preserve"> address the key challenges and strengths of the school identified in Section IV. This integrated set of strategies is one that </w:t>
            </w:r>
            <w:r w:rsidR="00711B07" w:rsidRPr="00A548DC">
              <w:rPr>
                <w:rFonts w:ascii="Calibri" w:eastAsia="Calibri" w:hAnsi="Calibri" w:cs="Calibri"/>
                <w:sz w:val="23"/>
                <w:szCs w:val="23"/>
              </w:rPr>
              <w:t xml:space="preserve">the school expects </w:t>
            </w:r>
            <w:r w:rsidR="00D82EA1" w:rsidRPr="00A548DC">
              <w:rPr>
                <w:rFonts w:ascii="Calibri" w:eastAsia="Calibri" w:hAnsi="Calibri" w:cs="Calibri"/>
                <w:sz w:val="23"/>
                <w:szCs w:val="23"/>
              </w:rPr>
              <w:t>will lead to rapid improvement</w:t>
            </w:r>
            <w:r w:rsidRPr="00A548DC">
              <w:rPr>
                <w:rFonts w:ascii="Calibri" w:eastAsia="Calibri" w:hAnsi="Calibri" w:cs="Calibri"/>
                <w:sz w:val="23"/>
                <w:szCs w:val="23"/>
              </w:rPr>
              <w:t>. The strategies should outline a multi-year roadmap that will guide the work of the school for at least the next three years.</w:t>
            </w:r>
          </w:p>
        </w:tc>
      </w:tr>
      <w:tr w:rsidR="00782FBD" w14:paraId="6AB29550" w14:textId="77777777" w:rsidTr="0073481B">
        <w:trPr>
          <w:tblHeader/>
        </w:trPr>
        <w:tc>
          <w:tcPr>
            <w:tcW w:w="2155" w:type="dxa"/>
          </w:tcPr>
          <w:p w14:paraId="48A7BAEC" w14:textId="77777777" w:rsidR="00131B02" w:rsidRDefault="002F744A" w:rsidP="00553114">
            <w:pPr>
              <w:rPr>
                <w:rFonts w:asciiTheme="minorHAnsi" w:hAnsiTheme="minorHAnsi"/>
                <w:b/>
              </w:rPr>
            </w:pPr>
            <w:r w:rsidRPr="00553114">
              <w:rPr>
                <w:rFonts w:asciiTheme="minorHAnsi" w:hAnsiTheme="minorHAnsi"/>
                <w:b/>
                <w:color w:val="FF0000"/>
              </w:rPr>
              <w:t>SECTION VI:</w:t>
            </w:r>
            <w:r w:rsidRPr="00553114">
              <w:rPr>
                <w:rFonts w:asciiTheme="minorHAnsi" w:hAnsiTheme="minorHAnsi"/>
                <w:b/>
              </w:rPr>
              <w:t xml:space="preserve"> </w:t>
            </w:r>
          </w:p>
          <w:p w14:paraId="65BAD02A" w14:textId="77777777" w:rsidR="002F744A" w:rsidRPr="00553114" w:rsidRDefault="002F744A" w:rsidP="00553114">
            <w:pPr>
              <w:rPr>
                <w:rFonts w:asciiTheme="minorHAnsi" w:hAnsiTheme="minorHAnsi"/>
                <w:b/>
              </w:rPr>
            </w:pPr>
            <w:r w:rsidRPr="00553114">
              <w:rPr>
                <w:rFonts w:asciiTheme="minorHAnsi" w:hAnsiTheme="minorHAnsi"/>
                <w:b/>
              </w:rPr>
              <w:t xml:space="preserve">District Systems </w:t>
            </w:r>
          </w:p>
          <w:p w14:paraId="4AD0D2B1" w14:textId="77777777" w:rsidR="00782FBD" w:rsidRPr="00553114" w:rsidRDefault="00782FBD" w:rsidP="00553114">
            <w:pPr>
              <w:rPr>
                <w:rFonts w:asciiTheme="minorHAnsi" w:hAnsiTheme="minorHAnsi"/>
                <w:b/>
              </w:rPr>
            </w:pPr>
          </w:p>
        </w:tc>
        <w:tc>
          <w:tcPr>
            <w:tcW w:w="7650" w:type="dxa"/>
          </w:tcPr>
          <w:p w14:paraId="482FBEAC" w14:textId="4407AB76" w:rsidR="00782FBD" w:rsidRPr="00A548DC" w:rsidRDefault="002F744A" w:rsidP="008902B9">
            <w:pPr>
              <w:rPr>
                <w:rFonts w:ascii="Calibri" w:eastAsia="Calibri" w:hAnsi="Calibri" w:cs="Calibri"/>
                <w:sz w:val="23"/>
                <w:szCs w:val="23"/>
              </w:rPr>
            </w:pPr>
            <w:r w:rsidRPr="00A548DC">
              <w:rPr>
                <w:rFonts w:ascii="Calibri" w:eastAsia="Calibri" w:hAnsi="Calibri" w:cs="Calibri"/>
                <w:sz w:val="23"/>
                <w:szCs w:val="23"/>
              </w:rPr>
              <w:t>Districts play a critical role</w:t>
            </w:r>
            <w:r w:rsidR="00553114" w:rsidRPr="00A548DC">
              <w:rPr>
                <w:rFonts w:ascii="Calibri" w:eastAsia="Calibri" w:hAnsi="Calibri" w:cs="Calibri"/>
                <w:sz w:val="23"/>
                <w:szCs w:val="23"/>
              </w:rPr>
              <w:t xml:space="preserve"> in supporting and facilitating s</w:t>
            </w:r>
            <w:r w:rsidRPr="00A548DC">
              <w:rPr>
                <w:rFonts w:ascii="Calibri" w:eastAsia="Calibri" w:hAnsi="Calibri" w:cs="Calibri"/>
                <w:sz w:val="23"/>
                <w:szCs w:val="23"/>
              </w:rPr>
              <w:t>chool turnaround and ensuring conditions are in place for schools to improve and sustain that improvement.</w:t>
            </w:r>
            <w:r w:rsidR="008902B9" w:rsidRPr="00A548DC">
              <w:rPr>
                <w:rFonts w:ascii="Calibri" w:eastAsia="Calibri" w:hAnsi="Calibri" w:cs="Calibri"/>
                <w:sz w:val="23"/>
                <w:szCs w:val="23"/>
              </w:rPr>
              <w:t xml:space="preserve"> The turnaround plan should</w:t>
            </w:r>
            <w:r w:rsidR="00553114" w:rsidRPr="00A548DC">
              <w:rPr>
                <w:rFonts w:ascii="Calibri" w:eastAsia="Calibri" w:hAnsi="Calibri" w:cs="Calibri"/>
                <w:sz w:val="23"/>
                <w:szCs w:val="23"/>
              </w:rPr>
              <w:t xml:space="preserve"> describe</w:t>
            </w:r>
            <w:r w:rsidR="00782FBD" w:rsidRPr="00A548DC">
              <w:rPr>
                <w:rFonts w:ascii="Calibri" w:eastAsia="Calibri" w:hAnsi="Calibri" w:cs="Calibri"/>
                <w:sz w:val="23"/>
                <w:szCs w:val="23"/>
              </w:rPr>
              <w:t xml:space="preserve"> the actions that</w:t>
            </w:r>
            <w:r w:rsidR="008902B9" w:rsidRPr="00A548DC">
              <w:rPr>
                <w:rFonts w:ascii="Calibri" w:eastAsia="Calibri" w:hAnsi="Calibri" w:cs="Calibri"/>
                <w:sz w:val="23"/>
                <w:szCs w:val="23"/>
              </w:rPr>
              <w:t xml:space="preserve"> the district</w:t>
            </w:r>
            <w:r w:rsidR="00782FBD" w:rsidRPr="00A548DC">
              <w:rPr>
                <w:rFonts w:ascii="Calibri" w:eastAsia="Calibri" w:hAnsi="Calibri" w:cs="Calibri"/>
                <w:sz w:val="23"/>
                <w:szCs w:val="23"/>
              </w:rPr>
              <w:t xml:space="preserve"> will take to support the school’s plan</w:t>
            </w:r>
            <w:r w:rsidR="008902B9" w:rsidRPr="00A548DC">
              <w:rPr>
                <w:rFonts w:ascii="Calibri" w:eastAsia="Calibri" w:hAnsi="Calibri" w:cs="Calibri"/>
                <w:sz w:val="23"/>
                <w:szCs w:val="23"/>
              </w:rPr>
              <w:t>.</w:t>
            </w:r>
          </w:p>
        </w:tc>
      </w:tr>
      <w:tr w:rsidR="00553114" w14:paraId="785A84C5" w14:textId="77777777" w:rsidTr="0073481B">
        <w:trPr>
          <w:tblHeader/>
        </w:trPr>
        <w:tc>
          <w:tcPr>
            <w:tcW w:w="2155" w:type="dxa"/>
          </w:tcPr>
          <w:p w14:paraId="60170D2E" w14:textId="4B431FE0" w:rsidR="00553114" w:rsidRPr="00131B02" w:rsidRDefault="00553114" w:rsidP="002F744A">
            <w:pPr>
              <w:pStyle w:val="Heading2"/>
              <w:outlineLvl w:val="1"/>
              <w:rPr>
                <w:rFonts w:asciiTheme="minorHAnsi" w:hAnsiTheme="minorHAnsi"/>
                <w:color w:val="FF0000"/>
                <w:sz w:val="24"/>
                <w:szCs w:val="24"/>
              </w:rPr>
            </w:pPr>
            <w:r w:rsidRPr="00243BA4">
              <w:rPr>
                <w:rFonts w:asciiTheme="minorHAnsi" w:hAnsiTheme="minorHAnsi"/>
                <w:color w:val="FF0000"/>
                <w:sz w:val="24"/>
                <w:szCs w:val="24"/>
              </w:rPr>
              <w:t>SECTION VII:</w:t>
            </w:r>
            <w:r w:rsidR="00131B02">
              <w:rPr>
                <w:rFonts w:asciiTheme="minorHAnsi" w:hAnsiTheme="minorHAnsi"/>
                <w:color w:val="FF0000"/>
                <w:sz w:val="24"/>
                <w:szCs w:val="24"/>
              </w:rPr>
              <w:t xml:space="preserve">  </w:t>
            </w:r>
            <w:r w:rsidRPr="002F744A">
              <w:rPr>
                <w:rFonts w:asciiTheme="minorHAnsi" w:hAnsiTheme="minorHAnsi"/>
                <w:color w:val="auto"/>
                <w:sz w:val="24"/>
                <w:szCs w:val="24"/>
              </w:rPr>
              <w:t>Goals, Benchmarks</w:t>
            </w:r>
            <w:r w:rsidR="00712405">
              <w:rPr>
                <w:rFonts w:asciiTheme="minorHAnsi" w:hAnsiTheme="minorHAnsi"/>
                <w:color w:val="auto"/>
                <w:sz w:val="24"/>
                <w:szCs w:val="24"/>
              </w:rPr>
              <w:t>,</w:t>
            </w:r>
            <w:r w:rsidRPr="002F744A">
              <w:rPr>
                <w:rFonts w:asciiTheme="minorHAnsi" w:hAnsiTheme="minorHAnsi"/>
                <w:color w:val="auto"/>
                <w:sz w:val="24"/>
                <w:szCs w:val="24"/>
              </w:rPr>
              <w:t xml:space="preserve"> </w:t>
            </w:r>
            <w:r w:rsidR="00712405">
              <w:rPr>
                <w:rFonts w:asciiTheme="minorHAnsi" w:hAnsiTheme="minorHAnsi"/>
                <w:color w:val="auto"/>
                <w:sz w:val="24"/>
                <w:szCs w:val="24"/>
              </w:rPr>
              <w:t>and</w:t>
            </w:r>
            <w:r w:rsidRPr="002F744A">
              <w:rPr>
                <w:rFonts w:asciiTheme="minorHAnsi" w:hAnsiTheme="minorHAnsi"/>
                <w:color w:val="auto"/>
                <w:sz w:val="24"/>
                <w:szCs w:val="24"/>
              </w:rPr>
              <w:t xml:space="preserve"> Progress Monitoring</w:t>
            </w:r>
          </w:p>
          <w:p w14:paraId="6F6185DC" w14:textId="77777777" w:rsidR="00553114" w:rsidRPr="00782FBD" w:rsidRDefault="00553114">
            <w:pPr>
              <w:rPr>
                <w:rFonts w:asciiTheme="minorHAnsi" w:hAnsiTheme="minorHAnsi"/>
              </w:rPr>
            </w:pPr>
          </w:p>
        </w:tc>
        <w:tc>
          <w:tcPr>
            <w:tcW w:w="7650" w:type="dxa"/>
          </w:tcPr>
          <w:p w14:paraId="0B593532" w14:textId="60820332" w:rsidR="00553114" w:rsidRPr="00A548DC" w:rsidRDefault="00AC7D3E" w:rsidP="00FD64AA">
            <w:pPr>
              <w:rPr>
                <w:rFonts w:ascii="Calibri" w:eastAsia="Calibri" w:hAnsi="Calibri" w:cs="Calibri"/>
                <w:sz w:val="23"/>
                <w:szCs w:val="23"/>
              </w:rPr>
            </w:pPr>
            <w:r w:rsidRPr="00A548DC">
              <w:rPr>
                <w:rFonts w:ascii="Calibri" w:eastAsia="Calibri" w:hAnsi="Calibri" w:cs="Calibri"/>
                <w:sz w:val="23"/>
                <w:szCs w:val="23"/>
              </w:rPr>
              <w:t xml:space="preserve">While a strong, well-conceived turnaround plan is an important blueprint for change, improvements in teaching and learning will only happen if regular monitoring and assessment demonstrate that the plan is being well implemented and the strategies are leading to the desired outcomes. The turnaround plan should identify the measurable annual goals and benchmarks the school will use to monitor each of the strategies in the turnaround plan.  It should also clearly describe the process the school and district will take to regularly monitor and assess plan implementation and outcomes and make any necessary mid-course adjustments to the plan. </w:t>
            </w:r>
          </w:p>
        </w:tc>
      </w:tr>
    </w:tbl>
    <w:p w14:paraId="43A46FF4" w14:textId="77777777" w:rsidR="00876B82" w:rsidRDefault="00876B82" w:rsidP="00D82EA1">
      <w:pPr>
        <w:jc w:val="center"/>
      </w:pPr>
    </w:p>
    <w:sectPr w:rsidR="00876B82" w:rsidSect="00AC7D3E">
      <w:pgSz w:w="12240" w:h="15840"/>
      <w:pgMar w:top="1008"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A1434" w14:textId="77777777" w:rsidR="0044015C" w:rsidRDefault="0044015C" w:rsidP="00AC7D3E">
      <w:r>
        <w:separator/>
      </w:r>
    </w:p>
  </w:endnote>
  <w:endnote w:type="continuationSeparator" w:id="0">
    <w:p w14:paraId="28496307" w14:textId="77777777" w:rsidR="0044015C" w:rsidRDefault="0044015C" w:rsidP="00AC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8413F" w14:textId="77777777" w:rsidR="0044015C" w:rsidRDefault="0044015C" w:rsidP="00AC7D3E">
      <w:r>
        <w:separator/>
      </w:r>
    </w:p>
  </w:footnote>
  <w:footnote w:type="continuationSeparator" w:id="0">
    <w:p w14:paraId="5DEE2C5C" w14:textId="77777777" w:rsidR="0044015C" w:rsidRDefault="0044015C" w:rsidP="00AC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A64AF"/>
    <w:multiLevelType w:val="multilevel"/>
    <w:tmpl w:val="ACF4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BD"/>
    <w:rsid w:val="00131B02"/>
    <w:rsid w:val="00243BA4"/>
    <w:rsid w:val="002B1FD5"/>
    <w:rsid w:val="002F744A"/>
    <w:rsid w:val="00337C3A"/>
    <w:rsid w:val="003E21AD"/>
    <w:rsid w:val="0044015C"/>
    <w:rsid w:val="00463823"/>
    <w:rsid w:val="004A51DF"/>
    <w:rsid w:val="005013C5"/>
    <w:rsid w:val="00553114"/>
    <w:rsid w:val="005972AC"/>
    <w:rsid w:val="00711B07"/>
    <w:rsid w:val="00712405"/>
    <w:rsid w:val="0073481B"/>
    <w:rsid w:val="00782FBD"/>
    <w:rsid w:val="008515C6"/>
    <w:rsid w:val="00876B82"/>
    <w:rsid w:val="008902B9"/>
    <w:rsid w:val="008F1536"/>
    <w:rsid w:val="00992584"/>
    <w:rsid w:val="00A20D3E"/>
    <w:rsid w:val="00A548DC"/>
    <w:rsid w:val="00AC7D3E"/>
    <w:rsid w:val="00AF758A"/>
    <w:rsid w:val="00C34AF7"/>
    <w:rsid w:val="00D82EA1"/>
    <w:rsid w:val="00FD5D5E"/>
    <w:rsid w:val="00FD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78A5"/>
  <w15:chartTrackingRefBased/>
  <w15:docId w15:val="{235C33BF-5940-4FFD-AC72-D13EE9D4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2F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rsid w:val="00782FBD"/>
    <w:pPr>
      <w:keepNext/>
      <w:keepLines/>
      <w:spacing w:before="200"/>
      <w:outlineLvl w:val="1"/>
    </w:pPr>
    <w:rPr>
      <w:rFonts w:ascii="Calibri" w:eastAsia="Calibri" w:hAnsi="Calibri" w:cs="Calibri"/>
      <w:b/>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82FBD"/>
    <w:rPr>
      <w:rFonts w:ascii="Calibri" w:eastAsia="Calibri" w:hAnsi="Calibri" w:cs="Calibri"/>
      <w:b/>
      <w:color w:val="5B9BD5"/>
      <w:sz w:val="26"/>
      <w:szCs w:val="26"/>
    </w:rPr>
  </w:style>
  <w:style w:type="paragraph" w:styleId="NormalWeb">
    <w:name w:val="Normal (Web)"/>
    <w:basedOn w:val="Normal"/>
    <w:uiPriority w:val="99"/>
    <w:unhideWhenUsed/>
    <w:rsid w:val="00782FBD"/>
    <w:pPr>
      <w:spacing w:before="100" w:beforeAutospacing="1" w:after="100" w:afterAutospacing="1"/>
    </w:pPr>
  </w:style>
  <w:style w:type="character" w:styleId="CommentReference">
    <w:name w:val="annotation reference"/>
    <w:basedOn w:val="DefaultParagraphFont"/>
    <w:uiPriority w:val="99"/>
    <w:semiHidden/>
    <w:unhideWhenUsed/>
    <w:rsid w:val="00FD5D5E"/>
    <w:rPr>
      <w:sz w:val="16"/>
      <w:szCs w:val="16"/>
    </w:rPr>
  </w:style>
  <w:style w:type="paragraph" w:styleId="CommentText">
    <w:name w:val="annotation text"/>
    <w:basedOn w:val="Normal"/>
    <w:link w:val="CommentTextChar"/>
    <w:uiPriority w:val="99"/>
    <w:semiHidden/>
    <w:unhideWhenUsed/>
    <w:rsid w:val="00FD5D5E"/>
    <w:rPr>
      <w:sz w:val="20"/>
      <w:szCs w:val="20"/>
    </w:rPr>
  </w:style>
  <w:style w:type="character" w:customStyle="1" w:styleId="CommentTextChar">
    <w:name w:val="Comment Text Char"/>
    <w:basedOn w:val="DefaultParagraphFont"/>
    <w:link w:val="CommentText"/>
    <w:uiPriority w:val="99"/>
    <w:semiHidden/>
    <w:rsid w:val="00FD5D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5D5E"/>
    <w:rPr>
      <w:b/>
      <w:bCs/>
    </w:rPr>
  </w:style>
  <w:style w:type="character" w:customStyle="1" w:styleId="CommentSubjectChar">
    <w:name w:val="Comment Subject Char"/>
    <w:basedOn w:val="CommentTextChar"/>
    <w:link w:val="CommentSubject"/>
    <w:uiPriority w:val="99"/>
    <w:semiHidden/>
    <w:rsid w:val="00FD5D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D5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5E"/>
    <w:rPr>
      <w:rFonts w:ascii="Segoe UI" w:eastAsia="Times New Roman" w:hAnsi="Segoe UI" w:cs="Segoe UI"/>
      <w:sz w:val="18"/>
      <w:szCs w:val="18"/>
    </w:rPr>
  </w:style>
  <w:style w:type="paragraph" w:styleId="Revision">
    <w:name w:val="Revision"/>
    <w:hidden/>
    <w:uiPriority w:val="99"/>
    <w:semiHidden/>
    <w:rsid w:val="008902B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7D3E"/>
    <w:pPr>
      <w:tabs>
        <w:tab w:val="center" w:pos="4680"/>
        <w:tab w:val="right" w:pos="9360"/>
      </w:tabs>
    </w:pPr>
  </w:style>
  <w:style w:type="character" w:customStyle="1" w:styleId="HeaderChar">
    <w:name w:val="Header Char"/>
    <w:basedOn w:val="DefaultParagraphFont"/>
    <w:link w:val="Header"/>
    <w:uiPriority w:val="99"/>
    <w:rsid w:val="00AC7D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7D3E"/>
    <w:pPr>
      <w:tabs>
        <w:tab w:val="center" w:pos="4680"/>
        <w:tab w:val="right" w:pos="9360"/>
      </w:tabs>
    </w:pPr>
  </w:style>
  <w:style w:type="character" w:customStyle="1" w:styleId="FooterChar">
    <w:name w:val="Footer Char"/>
    <w:basedOn w:val="DefaultParagraphFont"/>
    <w:link w:val="Footer"/>
    <w:uiPriority w:val="99"/>
    <w:rsid w:val="00AC7D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7766">
      <w:bodyDiv w:val="1"/>
      <w:marLeft w:val="0"/>
      <w:marRight w:val="0"/>
      <w:marTop w:val="0"/>
      <w:marBottom w:val="0"/>
      <w:divBdr>
        <w:top w:val="none" w:sz="0" w:space="0" w:color="auto"/>
        <w:left w:val="none" w:sz="0" w:space="0" w:color="auto"/>
        <w:bottom w:val="none" w:sz="0" w:space="0" w:color="auto"/>
        <w:right w:val="none" w:sz="0" w:space="0" w:color="auto"/>
      </w:divBdr>
    </w:div>
    <w:div w:id="585650303">
      <w:bodyDiv w:val="1"/>
      <w:marLeft w:val="0"/>
      <w:marRight w:val="0"/>
      <w:marTop w:val="0"/>
      <w:marBottom w:val="0"/>
      <w:divBdr>
        <w:top w:val="none" w:sz="0" w:space="0" w:color="auto"/>
        <w:left w:val="none" w:sz="0" w:space="0" w:color="auto"/>
        <w:bottom w:val="none" w:sz="0" w:space="0" w:color="auto"/>
        <w:right w:val="none" w:sz="0" w:space="0" w:color="auto"/>
      </w:divBdr>
    </w:div>
    <w:div w:id="1019544375">
      <w:bodyDiv w:val="1"/>
      <w:marLeft w:val="0"/>
      <w:marRight w:val="0"/>
      <w:marTop w:val="0"/>
      <w:marBottom w:val="0"/>
      <w:divBdr>
        <w:top w:val="none" w:sz="0" w:space="0" w:color="auto"/>
        <w:left w:val="none" w:sz="0" w:space="0" w:color="auto"/>
        <w:bottom w:val="none" w:sz="0" w:space="0" w:color="auto"/>
        <w:right w:val="none" w:sz="0" w:space="0" w:color="auto"/>
      </w:divBdr>
    </w:div>
    <w:div w:id="18914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DESE-231-46109</_dlc_DocId>
    <_dlc_DocIdUrl xmlns="733efe1c-5bbe-4968-87dc-d400e65c879f">
      <Url>https://sharepoint.doemass.org/ese/webteam/cps/_layouts/DocIdRedir.aspx?ID=DESE-231-46109</Url>
      <Description>DESE-231-46109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F0DA-2679-42BE-B593-989C94069B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57CFFA4-1E0B-41BF-AC45-FA6245584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BB0ED-A494-497B-AB85-8EFF5F8DC196}">
  <ds:schemaRefs>
    <ds:schemaRef ds:uri="http://schemas.microsoft.com/sharepoint/events"/>
  </ds:schemaRefs>
</ds:datastoreItem>
</file>

<file path=customXml/itemProps4.xml><?xml version="1.0" encoding="utf-8"?>
<ds:datastoreItem xmlns:ds="http://schemas.openxmlformats.org/officeDocument/2006/customXml" ds:itemID="{8C952992-B7AD-4D20-AB3B-00990FAC0B0D}">
  <ds:schemaRefs>
    <ds:schemaRef ds:uri="http://schemas.microsoft.com/sharepoint/v3/contenttype/forms"/>
  </ds:schemaRefs>
</ds:datastoreItem>
</file>

<file path=customXml/itemProps5.xml><?xml version="1.0" encoding="utf-8"?>
<ds:datastoreItem xmlns:ds="http://schemas.openxmlformats.org/officeDocument/2006/customXml" ds:itemID="{28408A4C-9190-43FE-8E32-3092372B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548</Words>
  <Characters>3051</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Turnaround Plan Template at a Glance</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Turnaround Plan Template at a Glance</dc:title>
  <dc:subject>Turnaround Plan Template at a Glance</dc:subject>
  <dc:creator>Johnston, Karen (DOE) ESE</dc:creator>
  <cp:keywords/>
  <dc:description/>
  <cp:lastModifiedBy>O'Brien-Driscoll, Courtney</cp:lastModifiedBy>
  <cp:revision>4</cp:revision>
  <dcterms:created xsi:type="dcterms:W3CDTF">2018-10-18T14:00:00Z</dcterms:created>
  <dcterms:modified xsi:type="dcterms:W3CDTF">2018-10-24T20:22:00Z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9d5d6556-8e9b-4517-9093-ac3e0be7efc3</vt:lpwstr>
  </property>
  <property fmtid="{D5CDD505-2E9C-101B-9397-08002B2CF9AE}" pid="4" name="metadate">
    <vt:lpwstr>Oct 24 2018</vt:lpwstr>
  </property>
</Properties>
</file>