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34F3" w14:textId="77777777" w:rsidR="00750516" w:rsidRDefault="00A51E58" w:rsidP="00750516">
      <w:pPr>
        <w:spacing w:after="0"/>
        <w:jc w:val="center"/>
        <w:rPr>
          <w:rFonts w:ascii="Georgia" w:hAnsi="Georgia"/>
          <w:color w:val="0C7580"/>
          <w:sz w:val="36"/>
          <w:szCs w:val="36"/>
        </w:rPr>
      </w:pPr>
      <w:bookmarkStart w:id="0" w:name="_GoBack"/>
      <w:bookmarkEnd w:id="0"/>
      <w:r>
        <w:rPr>
          <w:rFonts w:ascii="Georgia" w:hAnsi="Georgia"/>
          <w:color w:val="0C7580"/>
          <w:sz w:val="36"/>
          <w:szCs w:val="36"/>
        </w:rPr>
        <w:t xml:space="preserve">Quick Reference Guide: </w:t>
      </w:r>
    </w:p>
    <w:p w14:paraId="537103E7" w14:textId="425A0EE0" w:rsidR="000F2BEC" w:rsidRPr="000F2BEC" w:rsidRDefault="00A51E58" w:rsidP="000F2BEC">
      <w:pPr>
        <w:spacing w:after="0"/>
        <w:jc w:val="center"/>
        <w:rPr>
          <w:rFonts w:ascii="Georgia" w:hAnsi="Georgia"/>
          <w:color w:val="0C7580"/>
          <w:sz w:val="36"/>
          <w:szCs w:val="36"/>
        </w:rPr>
      </w:pPr>
      <w:r>
        <w:rPr>
          <w:rFonts w:ascii="Georgia" w:hAnsi="Georgia"/>
          <w:color w:val="0C7580"/>
          <w:sz w:val="36"/>
          <w:szCs w:val="36"/>
        </w:rPr>
        <w:t xml:space="preserve">World Language Learning for </w:t>
      </w:r>
      <w:r w:rsidR="00843AFE">
        <w:rPr>
          <w:rFonts w:ascii="Georgia" w:hAnsi="Georgia"/>
          <w:color w:val="0C7580"/>
          <w:sz w:val="36"/>
          <w:szCs w:val="36"/>
        </w:rPr>
        <w:t xml:space="preserve">Heritage </w:t>
      </w:r>
      <w:r w:rsidR="007B3021">
        <w:rPr>
          <w:rFonts w:ascii="Georgia" w:hAnsi="Georgia"/>
          <w:color w:val="0C7580"/>
          <w:sz w:val="36"/>
          <w:szCs w:val="36"/>
        </w:rPr>
        <w:t>Speakers</w:t>
      </w:r>
      <w:r w:rsidR="00DB3265">
        <w:rPr>
          <w:rFonts w:ascii="Georgia" w:hAnsi="Georgia"/>
          <w:color w:val="0C7580"/>
          <w:sz w:val="36"/>
          <w:szCs w:val="36"/>
        </w:rPr>
        <w:t>/Signers</w:t>
      </w:r>
    </w:p>
    <w:p w14:paraId="449224F3" w14:textId="26AB1516" w:rsidR="00520887" w:rsidRDefault="00520887" w:rsidP="00520887">
      <w:pPr>
        <w:spacing w:after="0"/>
        <w:rPr>
          <w:rFonts w:cstheme="minorHAnsi"/>
          <w:noProof/>
          <w:sz w:val="20"/>
          <w:szCs w:val="20"/>
        </w:rPr>
      </w:pPr>
      <w:r>
        <w:rPr>
          <w:rFonts w:cstheme="minorHAnsi"/>
          <w:noProof/>
          <w:sz w:val="20"/>
          <w:szCs w:val="20"/>
        </w:rPr>
        <w:t xml:space="preserve">A </w:t>
      </w:r>
      <w:r w:rsidRPr="003141FD">
        <w:rPr>
          <w:rFonts w:cstheme="minorHAnsi"/>
          <w:b/>
          <w:bCs/>
          <w:noProof/>
          <w:sz w:val="20"/>
          <w:szCs w:val="20"/>
        </w:rPr>
        <w:t>heritage speaker</w:t>
      </w:r>
      <w:r>
        <w:rPr>
          <w:rFonts w:cstheme="minorHAnsi"/>
          <w:noProof/>
          <w:sz w:val="20"/>
          <w:szCs w:val="20"/>
        </w:rPr>
        <w:t xml:space="preserve"> is commonly defined as</w:t>
      </w:r>
      <w:r w:rsidRPr="00E76BD2">
        <w:rPr>
          <w:rFonts w:cstheme="minorHAnsi"/>
          <w:noProof/>
          <w:sz w:val="20"/>
          <w:szCs w:val="20"/>
        </w:rPr>
        <w:t xml:space="preserve"> “a student who is raised in a home where a non-English language is spoken, who speaks or merely understands the heritage language and who is to some degree bilingual in English and the heritage language</w:t>
      </w:r>
      <w:r>
        <w:rPr>
          <w:rFonts w:cstheme="minorHAnsi"/>
          <w:noProof/>
          <w:sz w:val="20"/>
          <w:szCs w:val="20"/>
        </w:rPr>
        <w:t>.</w:t>
      </w:r>
      <w:r w:rsidRPr="00E76BD2">
        <w:rPr>
          <w:rFonts w:cstheme="minorHAnsi"/>
          <w:noProof/>
          <w:sz w:val="20"/>
          <w:szCs w:val="20"/>
        </w:rPr>
        <w:t>”</w:t>
      </w:r>
      <w:r>
        <w:rPr>
          <w:rStyle w:val="EndnoteReference"/>
          <w:rFonts w:cstheme="minorHAnsi"/>
          <w:noProof/>
          <w:sz w:val="20"/>
          <w:szCs w:val="20"/>
        </w:rPr>
        <w:endnoteReference w:id="1"/>
      </w:r>
      <w:r>
        <w:rPr>
          <w:rFonts w:cstheme="minorHAnsi"/>
          <w:noProof/>
          <w:sz w:val="20"/>
          <w:szCs w:val="20"/>
        </w:rPr>
        <w:t xml:space="preserve"> W</w:t>
      </w:r>
      <w:r w:rsidRPr="00E76BD2">
        <w:rPr>
          <w:rFonts w:cstheme="minorHAnsi"/>
          <w:noProof/>
          <w:sz w:val="20"/>
          <w:szCs w:val="20"/>
        </w:rPr>
        <w:t>hile most heritage speakers demonstrate native-like pronunciation, advanced oral language skills, and a high degree of cultural competence</w:t>
      </w:r>
      <w:r>
        <w:rPr>
          <w:rFonts w:cstheme="minorHAnsi"/>
          <w:noProof/>
          <w:sz w:val="20"/>
          <w:szCs w:val="20"/>
        </w:rPr>
        <w:t>,</w:t>
      </w:r>
      <w:r w:rsidRPr="00E76BD2">
        <w:rPr>
          <w:rFonts w:cstheme="minorHAnsi"/>
          <w:noProof/>
          <w:sz w:val="20"/>
          <w:szCs w:val="20"/>
        </w:rPr>
        <w:t xml:space="preserve"> they </w:t>
      </w:r>
      <w:r>
        <w:rPr>
          <w:rFonts w:cstheme="minorHAnsi"/>
          <w:noProof/>
          <w:sz w:val="20"/>
          <w:szCs w:val="20"/>
        </w:rPr>
        <w:t xml:space="preserve">often </w:t>
      </w:r>
      <w:r w:rsidRPr="00E76BD2">
        <w:rPr>
          <w:rFonts w:cstheme="minorHAnsi"/>
          <w:noProof/>
          <w:sz w:val="20"/>
          <w:szCs w:val="20"/>
        </w:rPr>
        <w:t>need support in developing literacy skills</w:t>
      </w:r>
      <w:r>
        <w:rPr>
          <w:rFonts w:cstheme="minorHAnsi"/>
          <w:noProof/>
          <w:sz w:val="20"/>
          <w:szCs w:val="20"/>
        </w:rPr>
        <w:t xml:space="preserve">, </w:t>
      </w:r>
      <w:r w:rsidRPr="00E76BD2">
        <w:rPr>
          <w:rFonts w:cstheme="minorHAnsi"/>
          <w:noProof/>
          <w:sz w:val="20"/>
          <w:szCs w:val="20"/>
        </w:rPr>
        <w:t>metalinguistic awareness, and a more complex grammatical understanding of th</w:t>
      </w:r>
      <w:r>
        <w:rPr>
          <w:rFonts w:cstheme="minorHAnsi"/>
          <w:noProof/>
          <w:sz w:val="20"/>
          <w:szCs w:val="20"/>
        </w:rPr>
        <w:t>e l</w:t>
      </w:r>
      <w:r w:rsidRPr="00E76BD2">
        <w:rPr>
          <w:rFonts w:cstheme="minorHAnsi"/>
          <w:noProof/>
          <w:sz w:val="20"/>
          <w:szCs w:val="20"/>
        </w:rPr>
        <w:t>anguage</w:t>
      </w:r>
      <w:r>
        <w:rPr>
          <w:rFonts w:cstheme="minorHAnsi"/>
          <w:noProof/>
          <w:sz w:val="20"/>
          <w:szCs w:val="20"/>
        </w:rPr>
        <w:t>. H</w:t>
      </w:r>
      <w:r w:rsidRPr="00E76BD2">
        <w:rPr>
          <w:rFonts w:cstheme="minorHAnsi"/>
          <w:noProof/>
          <w:sz w:val="20"/>
          <w:szCs w:val="20"/>
        </w:rPr>
        <w:t>eritage speakers</w:t>
      </w:r>
      <w:r>
        <w:rPr>
          <w:rFonts w:cstheme="minorHAnsi"/>
          <w:noProof/>
          <w:sz w:val="20"/>
          <w:szCs w:val="20"/>
        </w:rPr>
        <w:t>/signers</w:t>
      </w:r>
      <w:r w:rsidRPr="00E76BD2">
        <w:rPr>
          <w:rFonts w:cstheme="minorHAnsi"/>
          <w:noProof/>
          <w:sz w:val="20"/>
          <w:szCs w:val="20"/>
        </w:rPr>
        <w:t xml:space="preserve"> </w:t>
      </w:r>
      <w:r>
        <w:rPr>
          <w:rFonts w:cstheme="minorHAnsi"/>
          <w:noProof/>
          <w:sz w:val="20"/>
          <w:szCs w:val="20"/>
        </w:rPr>
        <w:t>may</w:t>
      </w:r>
      <w:r w:rsidRPr="00E76BD2">
        <w:rPr>
          <w:rFonts w:cstheme="minorHAnsi"/>
          <w:noProof/>
          <w:sz w:val="20"/>
          <w:szCs w:val="20"/>
        </w:rPr>
        <w:t xml:space="preserve"> be placed in separate, heritage-specific classes</w:t>
      </w:r>
      <w:r>
        <w:rPr>
          <w:rFonts w:cstheme="minorHAnsi"/>
          <w:noProof/>
          <w:sz w:val="20"/>
          <w:szCs w:val="20"/>
        </w:rPr>
        <w:t xml:space="preserve"> or</w:t>
      </w:r>
      <w:r w:rsidRPr="00E76BD2">
        <w:rPr>
          <w:rFonts w:cstheme="minorHAnsi"/>
          <w:noProof/>
          <w:sz w:val="20"/>
          <w:szCs w:val="20"/>
        </w:rPr>
        <w:t xml:space="preserve"> general world language classes, </w:t>
      </w:r>
      <w:r>
        <w:rPr>
          <w:rFonts w:cstheme="minorHAnsi"/>
          <w:noProof/>
          <w:sz w:val="20"/>
          <w:szCs w:val="20"/>
        </w:rPr>
        <w:t>so it is important</w:t>
      </w:r>
      <w:r w:rsidRPr="00E76BD2">
        <w:rPr>
          <w:rFonts w:cstheme="minorHAnsi"/>
          <w:noProof/>
          <w:sz w:val="20"/>
          <w:szCs w:val="20"/>
        </w:rPr>
        <w:t xml:space="preserve"> for all </w:t>
      </w:r>
      <w:r>
        <w:rPr>
          <w:rFonts w:cstheme="minorHAnsi"/>
          <w:noProof/>
          <w:sz w:val="20"/>
          <w:szCs w:val="20"/>
        </w:rPr>
        <w:t xml:space="preserve">language </w:t>
      </w:r>
      <w:r w:rsidRPr="00E76BD2">
        <w:rPr>
          <w:rFonts w:cstheme="minorHAnsi"/>
          <w:noProof/>
          <w:sz w:val="20"/>
          <w:szCs w:val="20"/>
        </w:rPr>
        <w:t>educators to understand their distinct needs and abilities.</w:t>
      </w:r>
    </w:p>
    <w:p w14:paraId="7E77F198" w14:textId="77777777" w:rsidR="000F2BEC" w:rsidRDefault="000F2BEC" w:rsidP="000F2BEC">
      <w:pPr>
        <w:spacing w:after="0"/>
        <w:rPr>
          <w:rFonts w:cstheme="minorHAnsi"/>
          <w:noProof/>
          <w:sz w:val="20"/>
          <w:szCs w:val="20"/>
        </w:rPr>
      </w:pPr>
    </w:p>
    <w:p w14:paraId="3BB44D9B" w14:textId="77777777" w:rsidR="007E47F7" w:rsidRDefault="00F15DB5" w:rsidP="003141FD">
      <w:pPr>
        <w:spacing w:after="0"/>
        <w:rPr>
          <w:rFonts w:ascii="Georgia" w:hAnsi="Georgia"/>
          <w:color w:val="0C7580"/>
          <w:sz w:val="28"/>
          <w:szCs w:val="28"/>
        </w:rPr>
      </w:pPr>
      <w:bookmarkStart w:id="1" w:name="_Hlk58488188"/>
      <w:r w:rsidRPr="00750516">
        <w:rPr>
          <w:rFonts w:cstheme="minorHAnsi"/>
          <w:noProof/>
          <w:sz w:val="20"/>
          <w:szCs w:val="20"/>
        </w:rPr>
        <mc:AlternateContent>
          <mc:Choice Requires="wps">
            <w:drawing>
              <wp:inline distT="0" distB="0" distL="0" distR="0" wp14:anchorId="74847B70" wp14:editId="20B322FA">
                <wp:extent cx="6339840" cy="685800"/>
                <wp:effectExtent l="0" t="0" r="3810" b="0"/>
                <wp:docPr id="2" name="Rectangle 2"/>
                <wp:cNvGraphicFramePr/>
                <a:graphic xmlns:a="http://schemas.openxmlformats.org/drawingml/2006/main">
                  <a:graphicData uri="http://schemas.microsoft.com/office/word/2010/wordprocessingShape">
                    <wps:wsp>
                      <wps:cNvSpPr/>
                      <wps:spPr>
                        <a:xfrm>
                          <a:off x="0" y="0"/>
                          <a:ext cx="6339840" cy="68580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39939" w14:textId="62B3CC22" w:rsidR="009B45A8" w:rsidRPr="00F82652" w:rsidRDefault="007242B4" w:rsidP="00CD5419">
                            <w:pPr>
                              <w:jc w:val="center"/>
                              <w:rPr>
                                <w:i/>
                                <w:iCs/>
                              </w:rPr>
                            </w:pPr>
                            <w:r w:rsidRPr="007242B4">
                              <w:rPr>
                                <w:i/>
                                <w:iCs/>
                              </w:rPr>
                              <w:t xml:space="preserve">Informal questionnaires are often helpful for learning about </w:t>
                            </w:r>
                            <w:r w:rsidR="004F7150">
                              <w:rPr>
                                <w:i/>
                                <w:iCs/>
                              </w:rPr>
                              <w:t>heritage speaker</w:t>
                            </w:r>
                            <w:r w:rsidR="00DB3265">
                              <w:rPr>
                                <w:i/>
                                <w:iCs/>
                              </w:rPr>
                              <w:t>/signer</w:t>
                            </w:r>
                            <w:r w:rsidR="00305FF3">
                              <w:rPr>
                                <w:i/>
                                <w:iCs/>
                              </w:rPr>
                              <w:t xml:space="preserve"> </w:t>
                            </w:r>
                            <w:r w:rsidRPr="007242B4">
                              <w:rPr>
                                <w:i/>
                                <w:iCs/>
                              </w:rPr>
                              <w:t xml:space="preserve">backgrounds and </w:t>
                            </w:r>
                            <w:r>
                              <w:rPr>
                                <w:i/>
                                <w:iCs/>
                              </w:rPr>
                              <w:t>goals,</w:t>
                            </w:r>
                            <w:r w:rsidRPr="007242B4">
                              <w:rPr>
                                <w:i/>
                                <w:iCs/>
                              </w:rPr>
                              <w:t xml:space="preserve"> and assessment methods that include authentic, performance-based tasks</w:t>
                            </w:r>
                            <w:r>
                              <w:rPr>
                                <w:i/>
                                <w:iCs/>
                              </w:rPr>
                              <w:t xml:space="preserve"> </w:t>
                            </w:r>
                            <w:r w:rsidR="005D59AC">
                              <w:rPr>
                                <w:i/>
                                <w:iCs/>
                              </w:rPr>
                              <w:t>can</w:t>
                            </w:r>
                            <w:r w:rsidRPr="007242B4">
                              <w:rPr>
                                <w:i/>
                                <w:iCs/>
                              </w:rPr>
                              <w:t xml:space="preserve"> </w:t>
                            </w:r>
                            <w:r w:rsidR="004F7150">
                              <w:rPr>
                                <w:i/>
                                <w:iCs/>
                              </w:rPr>
                              <w:t xml:space="preserve">further </w:t>
                            </w:r>
                            <w:r w:rsidRPr="007242B4">
                              <w:rPr>
                                <w:i/>
                                <w:iCs/>
                              </w:rPr>
                              <w:t>support educators</w:t>
                            </w:r>
                            <w:r w:rsidR="005D59AC">
                              <w:rPr>
                                <w:i/>
                                <w:iCs/>
                              </w:rPr>
                              <w:t>’ understanding of</w:t>
                            </w:r>
                            <w:r w:rsidRPr="007242B4">
                              <w:rPr>
                                <w:i/>
                                <w:iCs/>
                              </w:rPr>
                              <w:t xml:space="preserve"> students’</w:t>
                            </w:r>
                            <w:r w:rsidR="005D59AC">
                              <w:rPr>
                                <w:i/>
                                <w:iCs/>
                              </w:rPr>
                              <w:t xml:space="preserve"> needs, abilities, and</w:t>
                            </w:r>
                            <w:r w:rsidRPr="007242B4">
                              <w:rPr>
                                <w:i/>
                                <w:iCs/>
                              </w:rPr>
                              <w:t xml:space="preserve"> proficiency profiles</w:t>
                            </w:r>
                            <w:r w:rsidR="005D59AC">
                              <w:rPr>
                                <w:i/>
                                <w:i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99.2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" fillcolor="#0c7580" stroked="f" strokeweight="2pt">
                <v:textbox>
                  <w:txbxContent>
                    <w:p w14:paraId="24339939" w14:textId="62B3CC22" w:rsidR="009B45A8" w:rsidRPr="00F82652" w:rsidRDefault="007242B4" w:rsidP="00CD5419">
                      <w:pPr>
                        <w:jc w:val="center"/>
                        <w:rPr>
                          <w:i/>
                          <w:iCs/>
                        </w:rPr>
                      </w:pPr>
                      <w:r w:rsidRPr="007242B4">
                        <w:rPr>
                          <w:i/>
                          <w:iCs/>
                        </w:rPr>
                        <w:t xml:space="preserve">Informal questionnaires are often helpful for learning about </w:t>
                      </w:r>
                      <w:r w:rsidR="004F7150">
                        <w:rPr>
                          <w:i/>
                          <w:iCs/>
                        </w:rPr>
                        <w:t>heritage speaker</w:t>
                      </w:r>
                      <w:r w:rsidR="00DB3265">
                        <w:rPr>
                          <w:i/>
                          <w:iCs/>
                        </w:rPr>
                        <w:t>/signer</w:t>
                      </w:r>
                      <w:r w:rsidR="00305FF3">
                        <w:rPr>
                          <w:i/>
                          <w:iCs/>
                        </w:rPr>
                        <w:t xml:space="preserve"> </w:t>
                      </w:r>
                      <w:r w:rsidRPr="007242B4">
                        <w:rPr>
                          <w:i/>
                          <w:iCs/>
                        </w:rPr>
                        <w:t xml:space="preserve">backgrounds and </w:t>
                      </w:r>
                      <w:r>
                        <w:rPr>
                          <w:i/>
                          <w:iCs/>
                        </w:rPr>
                        <w:t>goals,</w:t>
                      </w:r>
                      <w:r w:rsidRPr="007242B4">
                        <w:rPr>
                          <w:i/>
                          <w:iCs/>
                        </w:rPr>
                        <w:t xml:space="preserve"> and assessment methods that include authentic, performance-based tasks</w:t>
                      </w:r>
                      <w:r>
                        <w:rPr>
                          <w:i/>
                          <w:iCs/>
                        </w:rPr>
                        <w:t xml:space="preserve"> </w:t>
                      </w:r>
                      <w:r w:rsidR="005D59AC">
                        <w:rPr>
                          <w:i/>
                          <w:iCs/>
                        </w:rPr>
                        <w:t>can</w:t>
                      </w:r>
                      <w:r w:rsidRPr="007242B4">
                        <w:rPr>
                          <w:i/>
                          <w:iCs/>
                        </w:rPr>
                        <w:t xml:space="preserve"> </w:t>
                      </w:r>
                      <w:r w:rsidR="004F7150">
                        <w:rPr>
                          <w:i/>
                          <w:iCs/>
                        </w:rPr>
                        <w:t xml:space="preserve">further </w:t>
                      </w:r>
                      <w:r w:rsidRPr="007242B4">
                        <w:rPr>
                          <w:i/>
                          <w:iCs/>
                        </w:rPr>
                        <w:t>support educators</w:t>
                      </w:r>
                      <w:r w:rsidR="005D59AC">
                        <w:rPr>
                          <w:i/>
                          <w:iCs/>
                        </w:rPr>
                        <w:t>’ understanding of</w:t>
                      </w:r>
                      <w:r w:rsidRPr="007242B4">
                        <w:rPr>
                          <w:i/>
                          <w:iCs/>
                        </w:rPr>
                        <w:t xml:space="preserve"> students’</w:t>
                      </w:r>
                      <w:r w:rsidR="005D59AC">
                        <w:rPr>
                          <w:i/>
                          <w:iCs/>
                        </w:rPr>
                        <w:t xml:space="preserve"> needs, abilities, and</w:t>
                      </w:r>
                      <w:r w:rsidRPr="007242B4">
                        <w:rPr>
                          <w:i/>
                          <w:iCs/>
                        </w:rPr>
                        <w:t xml:space="preserve"> proficiency profiles</w:t>
                      </w:r>
                      <w:r w:rsidR="005D59AC">
                        <w:rPr>
                          <w:i/>
                          <w:iCs/>
                        </w:rPr>
                        <w:t>.</w:t>
                      </w:r>
                    </w:p>
                  </w:txbxContent>
                </v:textbox>
                <w10:anchorlock/>
              </v:rect>
            </w:pict>
          </mc:Fallback>
        </mc:AlternateContent>
      </w:r>
    </w:p>
    <w:p w14:paraId="428F3C7A" w14:textId="77777777" w:rsidR="007E47F7" w:rsidRDefault="007E47F7" w:rsidP="003141FD">
      <w:pPr>
        <w:spacing w:after="0"/>
        <w:rPr>
          <w:rFonts w:ascii="Georgia" w:hAnsi="Georgia"/>
          <w:color w:val="0C7580"/>
          <w:sz w:val="28"/>
          <w:szCs w:val="28"/>
        </w:rPr>
      </w:pPr>
    </w:p>
    <w:p w14:paraId="799EC7FE" w14:textId="0F120D27" w:rsidR="007553FE" w:rsidRPr="007553FE" w:rsidRDefault="007553FE" w:rsidP="00620B5B">
      <w:pPr>
        <w:spacing w:after="0" w:line="240" w:lineRule="auto"/>
        <w:rPr>
          <w:rFonts w:ascii="Georgia" w:hAnsi="Georgia"/>
          <w:color w:val="0C7580"/>
          <w:sz w:val="28"/>
          <w:szCs w:val="28"/>
        </w:rPr>
      </w:pPr>
      <w:r>
        <w:rPr>
          <w:rFonts w:ascii="Georgia" w:hAnsi="Georgia"/>
          <w:color w:val="0C7580"/>
          <w:sz w:val="28"/>
          <w:szCs w:val="28"/>
        </w:rPr>
        <w:t>Effective Instructional Approaches</w:t>
      </w:r>
      <w:bookmarkEnd w:id="1"/>
    </w:p>
    <w:p w14:paraId="4573262D" w14:textId="5D1E01A6" w:rsidR="007242B4" w:rsidRDefault="00EF352F" w:rsidP="00EF352F">
      <w:pPr>
        <w:rPr>
          <w:rFonts w:cstheme="minorHAnsi"/>
          <w:sz w:val="20"/>
          <w:szCs w:val="20"/>
        </w:rPr>
      </w:pPr>
      <w:r>
        <w:rPr>
          <w:rFonts w:cstheme="minorHAnsi"/>
          <w:sz w:val="20"/>
          <w:szCs w:val="20"/>
        </w:rPr>
        <w:t>E</w:t>
      </w:r>
      <w:r w:rsidR="007553FE" w:rsidRPr="004908FA">
        <w:rPr>
          <w:rFonts w:cstheme="minorHAnsi"/>
          <w:sz w:val="20"/>
          <w:szCs w:val="20"/>
        </w:rPr>
        <w:t>ducators are encouraged to use student-centered instructional practices that incorporate the perspectives, interests, and needs of students and their communities</w:t>
      </w:r>
      <w:r w:rsidR="001C7882">
        <w:rPr>
          <w:rFonts w:cstheme="minorHAnsi"/>
          <w:sz w:val="20"/>
          <w:szCs w:val="20"/>
        </w:rPr>
        <w:t xml:space="preserve"> </w:t>
      </w:r>
      <w:r w:rsidR="007553FE">
        <w:rPr>
          <w:rFonts w:cstheme="minorHAnsi"/>
          <w:sz w:val="20"/>
          <w:szCs w:val="20"/>
        </w:rPr>
        <w:t>to make learning as meaningful and accessible as possible. Top</w:t>
      </w:r>
      <w:r w:rsidR="00F15DB5">
        <w:rPr>
          <w:rFonts w:cstheme="minorHAnsi"/>
          <w:sz w:val="20"/>
          <w:szCs w:val="20"/>
        </w:rPr>
        <w:t>-</w:t>
      </w:r>
      <w:r w:rsidR="007553FE">
        <w:rPr>
          <w:rFonts w:cstheme="minorHAnsi"/>
          <w:sz w:val="20"/>
          <w:szCs w:val="20"/>
        </w:rPr>
        <w:t>down or macro-based approaches are recommended when working with heritage speakers</w:t>
      </w:r>
      <w:r w:rsidR="00DB3265">
        <w:rPr>
          <w:rFonts w:cstheme="minorHAnsi"/>
          <w:sz w:val="20"/>
          <w:szCs w:val="20"/>
        </w:rPr>
        <w:t>/signers</w:t>
      </w:r>
      <w:r w:rsidR="007553FE">
        <w:rPr>
          <w:rFonts w:cstheme="minorHAnsi"/>
          <w:sz w:val="20"/>
          <w:szCs w:val="20"/>
        </w:rPr>
        <w:t>, as this type of instruction focuses on content rather than form and leverages students’ unique abilities in the language.</w:t>
      </w:r>
      <w:r w:rsidR="007242B4">
        <w:rPr>
          <w:rFonts w:cstheme="minorHAnsi"/>
          <w:sz w:val="20"/>
          <w:szCs w:val="20"/>
        </w:rPr>
        <w:t xml:space="preserve"> It is important to </w:t>
      </w:r>
      <w:r w:rsidR="007242B4" w:rsidRPr="007242B4">
        <w:rPr>
          <w:sz w:val="20"/>
          <w:szCs w:val="20"/>
        </w:rPr>
        <w:t>build on and encourag</w:t>
      </w:r>
      <w:r w:rsidR="007242B4">
        <w:rPr>
          <w:sz w:val="20"/>
          <w:szCs w:val="20"/>
        </w:rPr>
        <w:t>e</w:t>
      </w:r>
      <w:r w:rsidR="007242B4" w:rsidRPr="007242B4">
        <w:rPr>
          <w:sz w:val="20"/>
          <w:szCs w:val="20"/>
        </w:rPr>
        <w:t xml:space="preserve"> the transfer of heritage speakers</w:t>
      </w:r>
      <w:r w:rsidR="00305FF3">
        <w:rPr>
          <w:sz w:val="20"/>
          <w:szCs w:val="20"/>
        </w:rPr>
        <w:t>’</w:t>
      </w:r>
      <w:r w:rsidR="007242B4" w:rsidRPr="007242B4">
        <w:rPr>
          <w:sz w:val="20"/>
          <w:szCs w:val="20"/>
        </w:rPr>
        <w:t xml:space="preserve"> literacy skills, including those acquired from languages other than English</w:t>
      </w:r>
      <w:r w:rsidR="007242B4">
        <w:rPr>
          <w:rFonts w:cstheme="minorHAnsi"/>
          <w:sz w:val="20"/>
          <w:szCs w:val="20"/>
        </w:rPr>
        <w:t xml:space="preserve">, and educators </w:t>
      </w:r>
      <w:r w:rsidR="007242B4" w:rsidRPr="007242B4">
        <w:rPr>
          <w:rFonts w:cstheme="minorHAnsi"/>
          <w:sz w:val="20"/>
          <w:szCs w:val="20"/>
        </w:rPr>
        <w:t xml:space="preserve">should </w:t>
      </w:r>
      <w:r w:rsidR="00A21A51">
        <w:rPr>
          <w:rFonts w:cstheme="minorHAnsi"/>
          <w:sz w:val="20"/>
          <w:szCs w:val="20"/>
        </w:rPr>
        <w:t>use</w:t>
      </w:r>
      <w:r w:rsidR="007242B4" w:rsidRPr="007242B4">
        <w:rPr>
          <w:rFonts w:cstheme="minorHAnsi"/>
          <w:sz w:val="20"/>
          <w:szCs w:val="20"/>
        </w:rPr>
        <w:t xml:space="preserve"> low-stakes writing</w:t>
      </w:r>
      <w:r w:rsidR="00B501F5">
        <w:rPr>
          <w:rFonts w:cstheme="minorHAnsi"/>
          <w:sz w:val="20"/>
          <w:szCs w:val="20"/>
        </w:rPr>
        <w:t xml:space="preserve"> activities</w:t>
      </w:r>
      <w:r w:rsidR="007242B4" w:rsidRPr="007242B4">
        <w:rPr>
          <w:rFonts w:cstheme="minorHAnsi"/>
          <w:sz w:val="20"/>
          <w:szCs w:val="20"/>
        </w:rPr>
        <w:t xml:space="preserve"> that allow students to write about familiar topics before attempting more sophisticated genre-specific writing</w:t>
      </w:r>
      <w:r w:rsidR="007242B4">
        <w:rPr>
          <w:rFonts w:cstheme="minorHAnsi"/>
          <w:sz w:val="20"/>
          <w:szCs w:val="20"/>
        </w:rPr>
        <w:t xml:space="preserve">. </w:t>
      </w:r>
      <w:r w:rsidR="007553FE">
        <w:rPr>
          <w:rFonts w:cstheme="minorHAnsi"/>
          <w:sz w:val="20"/>
          <w:szCs w:val="20"/>
        </w:rPr>
        <w:t>Differentiation is an essential component of effective heritage language teaching, and teaching strategies, materials, and supports should be adaptable to meet students’ individual needs.</w:t>
      </w:r>
      <w:r w:rsidR="00F445CE">
        <w:rPr>
          <w:rFonts w:cstheme="minorHAnsi"/>
          <w:sz w:val="20"/>
          <w:szCs w:val="20"/>
        </w:rPr>
        <w:t xml:space="preserve"> </w:t>
      </w:r>
      <w:r w:rsidR="00520887">
        <w:rPr>
          <w:rFonts w:cstheme="minorHAnsi"/>
          <w:sz w:val="20"/>
          <w:szCs w:val="20"/>
        </w:rPr>
        <w:t xml:space="preserve">Heritage-specific goals may be helpful when planning for instruction, including: </w:t>
      </w:r>
      <w:r w:rsidR="00520887" w:rsidRPr="00F61FFF">
        <w:rPr>
          <w:rFonts w:cstheme="minorHAnsi"/>
          <w:sz w:val="20"/>
          <w:szCs w:val="20"/>
        </w:rPr>
        <w:t>(1) maintenance of the heritage language; (2) acquisition of a standard language variety; (3) expansion of bilingual range (i.e., building on previous knowledge); (4) transfer of literacy skills; (5) acquisition of academic skills in the heritage language; (6) cultivation of positive attitudes toward the heritage language; and (7) acquisition or development of cultural awareness.</w:t>
      </w:r>
      <w:r w:rsidR="00520887">
        <w:rPr>
          <w:rStyle w:val="EndnoteReference"/>
          <w:rFonts w:cstheme="minorHAnsi"/>
          <w:sz w:val="20"/>
          <w:szCs w:val="20"/>
        </w:rPr>
        <w:endnoteReference w:id="2"/>
      </w:r>
      <w:r w:rsidR="00520887" w:rsidRPr="00F61FFF">
        <w:rPr>
          <w:rFonts w:cstheme="minorHAnsi"/>
          <w:sz w:val="20"/>
          <w:szCs w:val="20"/>
        </w:rPr>
        <w:t xml:space="preserve"> </w:t>
      </w:r>
      <w:r w:rsidR="00520887">
        <w:rPr>
          <w:rFonts w:cstheme="minorHAnsi"/>
          <w:sz w:val="20"/>
          <w:szCs w:val="20"/>
        </w:rPr>
        <w:t xml:space="preserve"> </w:t>
      </w:r>
    </w:p>
    <w:p w14:paraId="4AB4568B" w14:textId="79E7F616" w:rsidR="00EF110B" w:rsidRDefault="00EF110B" w:rsidP="003141FD">
      <w:pPr>
        <w:spacing w:after="0"/>
        <w:rPr>
          <w:rFonts w:cstheme="minorHAnsi"/>
          <w:sz w:val="20"/>
          <w:szCs w:val="20"/>
        </w:rPr>
      </w:pPr>
      <w:r>
        <w:rPr>
          <w:rFonts w:ascii="Georgia" w:hAnsi="Georgia"/>
          <w:color w:val="0C7580"/>
          <w:sz w:val="28"/>
          <w:szCs w:val="28"/>
        </w:rPr>
        <w:t>Addressing Various Standards</w:t>
      </w:r>
    </w:p>
    <w:p w14:paraId="04D17127" w14:textId="652062FF" w:rsidR="000F2BEC" w:rsidRDefault="00EF352F" w:rsidP="005C1E9E">
      <w:pPr>
        <w:rPr>
          <w:rFonts w:cstheme="minorHAnsi"/>
          <w:sz w:val="20"/>
          <w:szCs w:val="20"/>
        </w:rPr>
      </w:pPr>
      <w:r w:rsidRPr="00F61FFF">
        <w:rPr>
          <w:rFonts w:cstheme="minorHAnsi"/>
          <w:sz w:val="20"/>
          <w:szCs w:val="20"/>
        </w:rPr>
        <w:t xml:space="preserve">Although </w:t>
      </w:r>
      <w:r>
        <w:rPr>
          <w:rFonts w:cstheme="minorHAnsi"/>
          <w:sz w:val="20"/>
          <w:szCs w:val="20"/>
        </w:rPr>
        <w:t>world language content</w:t>
      </w:r>
      <w:r w:rsidRPr="00F61FFF">
        <w:rPr>
          <w:rFonts w:cstheme="minorHAnsi"/>
          <w:sz w:val="20"/>
          <w:szCs w:val="20"/>
        </w:rPr>
        <w:t xml:space="preserve"> standards </w:t>
      </w:r>
      <w:r w:rsidR="003141FD">
        <w:rPr>
          <w:rFonts w:cstheme="minorHAnsi"/>
          <w:sz w:val="20"/>
          <w:szCs w:val="20"/>
        </w:rPr>
        <w:t xml:space="preserve">are not specifically designed </w:t>
      </w:r>
      <w:r w:rsidRPr="00F61FFF">
        <w:rPr>
          <w:rFonts w:cstheme="minorHAnsi"/>
          <w:sz w:val="20"/>
          <w:szCs w:val="20"/>
        </w:rPr>
        <w:t xml:space="preserve">for </w:t>
      </w:r>
      <w:r w:rsidR="005C1E9E">
        <w:rPr>
          <w:rFonts w:cstheme="minorHAnsi"/>
          <w:sz w:val="20"/>
          <w:szCs w:val="20"/>
        </w:rPr>
        <w:t>heritage speakers</w:t>
      </w:r>
      <w:r w:rsidR="00DB3265">
        <w:rPr>
          <w:rFonts w:cstheme="minorHAnsi"/>
          <w:sz w:val="20"/>
          <w:szCs w:val="20"/>
        </w:rPr>
        <w:t>/signers</w:t>
      </w:r>
      <w:r w:rsidRPr="00F61FFF">
        <w:rPr>
          <w:rFonts w:cstheme="minorHAnsi"/>
          <w:sz w:val="20"/>
          <w:szCs w:val="20"/>
        </w:rPr>
        <w:t xml:space="preserve">, </w:t>
      </w:r>
      <w:r>
        <w:rPr>
          <w:rFonts w:cstheme="minorHAnsi"/>
          <w:sz w:val="20"/>
          <w:szCs w:val="20"/>
        </w:rPr>
        <w:t xml:space="preserve">they </w:t>
      </w:r>
      <w:r w:rsidRPr="00F61FFF">
        <w:rPr>
          <w:rFonts w:cstheme="minorHAnsi"/>
          <w:sz w:val="20"/>
          <w:szCs w:val="20"/>
        </w:rPr>
        <w:t xml:space="preserve">can be a valuable tool </w:t>
      </w:r>
      <w:r w:rsidR="006538C0">
        <w:rPr>
          <w:rFonts w:cstheme="minorHAnsi"/>
          <w:sz w:val="20"/>
          <w:szCs w:val="20"/>
        </w:rPr>
        <w:t>when</w:t>
      </w:r>
      <w:r w:rsidRPr="00F61FFF">
        <w:rPr>
          <w:rFonts w:cstheme="minorHAnsi"/>
          <w:sz w:val="20"/>
          <w:szCs w:val="20"/>
        </w:rPr>
        <w:t xml:space="preserve"> working</w:t>
      </w:r>
      <w:r>
        <w:rPr>
          <w:rFonts w:cstheme="minorHAnsi"/>
          <w:sz w:val="20"/>
          <w:szCs w:val="20"/>
        </w:rPr>
        <w:t xml:space="preserve"> with </w:t>
      </w:r>
      <w:r w:rsidR="005C1E9E">
        <w:rPr>
          <w:rFonts w:cstheme="minorHAnsi"/>
          <w:sz w:val="20"/>
          <w:szCs w:val="20"/>
        </w:rPr>
        <w:t>this population</w:t>
      </w:r>
      <w:r w:rsidRPr="00F61FFF">
        <w:rPr>
          <w:rFonts w:cstheme="minorHAnsi"/>
          <w:sz w:val="20"/>
          <w:szCs w:val="20"/>
        </w:rPr>
        <w:t xml:space="preserve"> in proficiency-based </w:t>
      </w:r>
      <w:r>
        <w:rPr>
          <w:rFonts w:cstheme="minorHAnsi"/>
          <w:sz w:val="20"/>
          <w:szCs w:val="20"/>
        </w:rPr>
        <w:t>classrooms</w:t>
      </w:r>
      <w:r w:rsidR="006538C0">
        <w:rPr>
          <w:rFonts w:cstheme="minorHAnsi"/>
          <w:sz w:val="20"/>
          <w:szCs w:val="20"/>
        </w:rPr>
        <w:t>. E</w:t>
      </w:r>
      <w:r>
        <w:rPr>
          <w:rFonts w:cstheme="minorHAnsi"/>
          <w:sz w:val="20"/>
          <w:szCs w:val="20"/>
        </w:rPr>
        <w:t xml:space="preserve">ducators should consider the specific needs of their students when determining </w:t>
      </w:r>
      <w:r w:rsidR="006538C0">
        <w:rPr>
          <w:rFonts w:cstheme="minorHAnsi"/>
          <w:sz w:val="20"/>
          <w:szCs w:val="20"/>
        </w:rPr>
        <w:t>if</w:t>
      </w:r>
      <w:r>
        <w:rPr>
          <w:rFonts w:cstheme="minorHAnsi"/>
          <w:sz w:val="20"/>
          <w:szCs w:val="20"/>
        </w:rPr>
        <w:t xml:space="preserve"> modifications </w:t>
      </w:r>
      <w:r w:rsidR="006538C0">
        <w:rPr>
          <w:rFonts w:cstheme="minorHAnsi"/>
          <w:sz w:val="20"/>
          <w:szCs w:val="20"/>
        </w:rPr>
        <w:t>should be made</w:t>
      </w:r>
      <w:r>
        <w:rPr>
          <w:rFonts w:cstheme="minorHAnsi"/>
          <w:sz w:val="20"/>
          <w:szCs w:val="20"/>
        </w:rPr>
        <w:t xml:space="preserve"> </w:t>
      </w:r>
      <w:r w:rsidR="006538C0">
        <w:rPr>
          <w:rFonts w:cstheme="minorHAnsi"/>
          <w:sz w:val="20"/>
          <w:szCs w:val="20"/>
        </w:rPr>
        <w:t xml:space="preserve">to </w:t>
      </w:r>
      <w:r>
        <w:rPr>
          <w:rFonts w:cstheme="minorHAnsi"/>
          <w:sz w:val="20"/>
          <w:szCs w:val="20"/>
        </w:rPr>
        <w:t>content or expected student outcomes</w:t>
      </w:r>
      <w:r w:rsidR="006538C0">
        <w:rPr>
          <w:rFonts w:cstheme="minorHAnsi"/>
          <w:sz w:val="20"/>
          <w:szCs w:val="20"/>
        </w:rPr>
        <w:t xml:space="preserve"> associated with </w:t>
      </w:r>
      <w:r w:rsidR="00A43DEF">
        <w:rPr>
          <w:rFonts w:cstheme="minorHAnsi"/>
          <w:sz w:val="20"/>
          <w:szCs w:val="20"/>
        </w:rPr>
        <w:t>different</w:t>
      </w:r>
      <w:r w:rsidR="006538C0">
        <w:rPr>
          <w:rFonts w:cstheme="minorHAnsi"/>
          <w:sz w:val="20"/>
          <w:szCs w:val="20"/>
        </w:rPr>
        <w:t xml:space="preserve"> standards. </w:t>
      </w:r>
      <w:r w:rsidR="00A43DEF">
        <w:rPr>
          <w:rFonts w:cstheme="minorHAnsi"/>
          <w:sz w:val="20"/>
          <w:szCs w:val="20"/>
        </w:rPr>
        <w:t xml:space="preserve">To support effective standards implementation, it may be helpful to incorporate principles and practices from various pedagogical approaches, including (1) multiliteracies, which views literacy as the process of making and interpreting meaning through diverse, multimodal communication; (2) community-based service-learning, which </w:t>
      </w:r>
      <w:r w:rsidR="00226E25">
        <w:rPr>
          <w:rFonts w:cstheme="minorHAnsi"/>
          <w:sz w:val="20"/>
          <w:szCs w:val="20"/>
        </w:rPr>
        <w:t xml:space="preserve">promotes active participation in learning experiences that connect what is being taught in the classroom with </w:t>
      </w:r>
      <w:r w:rsidR="000F2BEC">
        <w:rPr>
          <w:rFonts w:cstheme="minorHAnsi"/>
          <w:sz w:val="20"/>
          <w:szCs w:val="20"/>
        </w:rPr>
        <w:t>local and global communities</w:t>
      </w:r>
      <w:r w:rsidR="00226E25">
        <w:rPr>
          <w:rFonts w:cstheme="minorHAnsi"/>
          <w:sz w:val="20"/>
          <w:szCs w:val="20"/>
        </w:rPr>
        <w:t xml:space="preserve">; and (3) critical language awareness, which </w:t>
      </w:r>
      <w:r w:rsidR="000F2BEC">
        <w:rPr>
          <w:rFonts w:cstheme="minorHAnsi"/>
          <w:sz w:val="20"/>
          <w:szCs w:val="20"/>
        </w:rPr>
        <w:t>examines</w:t>
      </w:r>
      <w:r w:rsidR="00226E25">
        <w:rPr>
          <w:rFonts w:cstheme="minorHAnsi"/>
          <w:sz w:val="20"/>
          <w:szCs w:val="20"/>
        </w:rPr>
        <w:t xml:space="preserve"> </w:t>
      </w:r>
      <w:r w:rsidR="000F2BEC">
        <w:rPr>
          <w:rFonts w:cstheme="minorHAnsi"/>
          <w:sz w:val="20"/>
          <w:szCs w:val="20"/>
        </w:rPr>
        <w:t xml:space="preserve">the relationship between language and larger </w:t>
      </w:r>
      <w:r w:rsidR="00226E25">
        <w:rPr>
          <w:rFonts w:cstheme="minorHAnsi"/>
          <w:sz w:val="20"/>
          <w:szCs w:val="20"/>
        </w:rPr>
        <w:t>social, political, and ideological issues</w:t>
      </w:r>
      <w:r w:rsidR="000F2BEC">
        <w:rPr>
          <w:rFonts w:cstheme="minorHAnsi"/>
          <w:sz w:val="20"/>
          <w:szCs w:val="20"/>
        </w:rPr>
        <w:t>. The table below summarizes how elements of these approaches apply to heritage language teaching.</w:t>
      </w:r>
    </w:p>
    <w:p w14:paraId="4FA5E4AD" w14:textId="61273E9C" w:rsidR="00A21A51" w:rsidRPr="0039237C" w:rsidRDefault="00F8477A" w:rsidP="00D60C17">
      <w:pPr>
        <w:spacing w:after="0"/>
        <w:jc w:val="center"/>
        <w:rPr>
          <w:rFonts w:cstheme="minorHAnsi"/>
          <w:sz w:val="24"/>
          <w:szCs w:val="24"/>
        </w:rPr>
      </w:pPr>
      <w:r>
        <w:rPr>
          <w:rFonts w:ascii="Georgia" w:hAnsi="Georgia" w:cstheme="minorHAnsi"/>
          <w:i/>
          <w:iCs/>
          <w:color w:val="802B0C"/>
          <w:sz w:val="24"/>
          <w:szCs w:val="24"/>
        </w:rPr>
        <w:t xml:space="preserve">Potential </w:t>
      </w:r>
      <w:r w:rsidR="00A21A51" w:rsidRPr="0039237C">
        <w:rPr>
          <w:rFonts w:ascii="Georgia" w:hAnsi="Georgia" w:cstheme="minorHAnsi"/>
          <w:i/>
          <w:iCs/>
          <w:color w:val="802B0C"/>
          <w:sz w:val="24"/>
          <w:szCs w:val="24"/>
        </w:rPr>
        <w:t xml:space="preserve">Approaches </w:t>
      </w:r>
      <w:r>
        <w:rPr>
          <w:rFonts w:ascii="Georgia" w:hAnsi="Georgia" w:cstheme="minorHAnsi"/>
          <w:i/>
          <w:iCs/>
          <w:color w:val="802B0C"/>
          <w:sz w:val="24"/>
          <w:szCs w:val="24"/>
        </w:rPr>
        <w:t>to</w:t>
      </w:r>
      <w:r w:rsidR="00A94C67" w:rsidRPr="0039237C">
        <w:rPr>
          <w:rFonts w:ascii="Georgia" w:hAnsi="Georgia" w:cstheme="minorHAnsi"/>
          <w:i/>
          <w:iCs/>
          <w:color w:val="802B0C"/>
          <w:sz w:val="24"/>
          <w:szCs w:val="24"/>
        </w:rPr>
        <w:t xml:space="preserve"> </w:t>
      </w:r>
      <w:r w:rsidR="00A21A51" w:rsidRPr="0039237C">
        <w:rPr>
          <w:rFonts w:ascii="Georgia" w:hAnsi="Georgia" w:cstheme="minorHAnsi"/>
          <w:i/>
          <w:iCs/>
          <w:color w:val="802B0C"/>
          <w:sz w:val="24"/>
          <w:szCs w:val="24"/>
        </w:rPr>
        <w:t>Standards Implementation</w:t>
      </w:r>
      <w:r w:rsidR="00F23FC1" w:rsidRPr="0039237C">
        <w:rPr>
          <w:rFonts w:ascii="Georgia" w:hAnsi="Georgia" w:cstheme="minorHAnsi"/>
          <w:i/>
          <w:iCs/>
          <w:color w:val="802B0C"/>
          <w:sz w:val="24"/>
          <w:szCs w:val="24"/>
        </w:rPr>
        <w:t xml:space="preserve"> with Heritage Speakers</w:t>
      </w:r>
      <w:r w:rsidR="00305FF3">
        <w:rPr>
          <w:rFonts w:ascii="Georgia" w:hAnsi="Georgia" w:cstheme="minorHAnsi"/>
          <w:i/>
          <w:iCs/>
          <w:color w:val="802B0C"/>
          <w:sz w:val="24"/>
          <w:szCs w:val="24"/>
        </w:rPr>
        <w:t>/Signers</w:t>
      </w:r>
    </w:p>
    <w:tbl>
      <w:tblPr>
        <w:tblStyle w:val="TableGrid"/>
        <w:tblW w:w="0" w:type="auto"/>
        <w:tblBorders>
          <w:top w:val="single" w:sz="4" w:space="0" w:color="0C7580"/>
          <w:left w:val="single" w:sz="4" w:space="0" w:color="0C7580"/>
          <w:bottom w:val="single" w:sz="4" w:space="0" w:color="0C7580"/>
          <w:right w:val="single" w:sz="4" w:space="0" w:color="0C7580"/>
          <w:insideH w:val="single" w:sz="4" w:space="0" w:color="0C7580"/>
          <w:insideV w:val="single" w:sz="4" w:space="0" w:color="0C7580"/>
        </w:tblBorders>
        <w:tblLook w:val="04A0" w:firstRow="1" w:lastRow="0" w:firstColumn="1" w:lastColumn="0" w:noHBand="0" w:noVBand="1"/>
      </w:tblPr>
      <w:tblGrid>
        <w:gridCol w:w="3116"/>
        <w:gridCol w:w="3117"/>
        <w:gridCol w:w="3117"/>
      </w:tblGrid>
      <w:tr w:rsidR="00D0414C" w14:paraId="20262DC9" w14:textId="77777777" w:rsidTr="00D0414C">
        <w:tc>
          <w:tcPr>
            <w:tcW w:w="3116" w:type="dxa"/>
            <w:shd w:val="clear" w:color="auto" w:fill="0C7580"/>
          </w:tcPr>
          <w:p w14:paraId="73C11205" w14:textId="77777777" w:rsidR="00D0414C" w:rsidRPr="00D0414C" w:rsidRDefault="00D0414C" w:rsidP="00D0414C">
            <w:pPr>
              <w:jc w:val="center"/>
              <w:rPr>
                <w:rFonts w:cstheme="minorHAnsi"/>
                <w:b/>
                <w:bCs/>
                <w:noProof/>
                <w:color w:val="FFFFFF" w:themeColor="background1"/>
                <w:sz w:val="20"/>
                <w:szCs w:val="20"/>
              </w:rPr>
            </w:pPr>
            <w:r w:rsidRPr="00D0414C">
              <w:rPr>
                <w:rFonts w:cstheme="minorHAnsi"/>
                <w:b/>
                <w:bCs/>
                <w:noProof/>
                <w:color w:val="FFFFFF" w:themeColor="background1"/>
                <w:sz w:val="20"/>
                <w:szCs w:val="20"/>
              </w:rPr>
              <w:t>Multiliteracies</w:t>
            </w:r>
          </w:p>
        </w:tc>
        <w:tc>
          <w:tcPr>
            <w:tcW w:w="3117" w:type="dxa"/>
            <w:shd w:val="clear" w:color="auto" w:fill="0C7580"/>
          </w:tcPr>
          <w:p w14:paraId="50DD32A4" w14:textId="254DB00B" w:rsidR="00D0414C" w:rsidRPr="00D0414C" w:rsidRDefault="00D0414C" w:rsidP="00D0414C">
            <w:pPr>
              <w:jc w:val="center"/>
              <w:rPr>
                <w:rFonts w:cstheme="minorHAnsi"/>
                <w:b/>
                <w:bCs/>
                <w:noProof/>
                <w:color w:val="FFFFFF" w:themeColor="background1"/>
                <w:sz w:val="20"/>
                <w:szCs w:val="20"/>
              </w:rPr>
            </w:pPr>
            <w:r w:rsidRPr="00D0414C">
              <w:rPr>
                <w:rFonts w:cstheme="minorHAnsi"/>
                <w:b/>
                <w:bCs/>
                <w:noProof/>
                <w:color w:val="FFFFFF" w:themeColor="background1"/>
                <w:sz w:val="20"/>
                <w:szCs w:val="20"/>
              </w:rPr>
              <w:t xml:space="preserve">Community-based </w:t>
            </w:r>
            <w:r>
              <w:rPr>
                <w:rFonts w:cstheme="minorHAnsi"/>
                <w:b/>
                <w:bCs/>
                <w:noProof/>
                <w:color w:val="FFFFFF" w:themeColor="background1"/>
                <w:sz w:val="20"/>
                <w:szCs w:val="20"/>
              </w:rPr>
              <w:t>s</w:t>
            </w:r>
            <w:r w:rsidRPr="00D0414C">
              <w:rPr>
                <w:rFonts w:cstheme="minorHAnsi"/>
                <w:b/>
                <w:bCs/>
                <w:noProof/>
                <w:color w:val="FFFFFF" w:themeColor="background1"/>
                <w:sz w:val="20"/>
                <w:szCs w:val="20"/>
              </w:rPr>
              <w:t>ervice-learning</w:t>
            </w:r>
          </w:p>
        </w:tc>
        <w:tc>
          <w:tcPr>
            <w:tcW w:w="3117" w:type="dxa"/>
            <w:shd w:val="clear" w:color="auto" w:fill="0C7580"/>
          </w:tcPr>
          <w:p w14:paraId="50EC9BEA" w14:textId="6603B0AA" w:rsidR="00D0414C" w:rsidRPr="00D0414C" w:rsidRDefault="00D0414C" w:rsidP="00D0414C">
            <w:pPr>
              <w:jc w:val="center"/>
              <w:rPr>
                <w:rFonts w:cstheme="minorHAnsi"/>
                <w:b/>
                <w:bCs/>
                <w:noProof/>
                <w:color w:val="FFFFFF" w:themeColor="background1"/>
                <w:sz w:val="20"/>
                <w:szCs w:val="20"/>
              </w:rPr>
            </w:pPr>
            <w:r w:rsidRPr="00D0414C">
              <w:rPr>
                <w:rFonts w:cstheme="minorHAnsi"/>
                <w:b/>
                <w:bCs/>
                <w:noProof/>
                <w:color w:val="FFFFFF" w:themeColor="background1"/>
                <w:sz w:val="20"/>
                <w:szCs w:val="20"/>
              </w:rPr>
              <w:t>Critical language awareness</w:t>
            </w:r>
          </w:p>
        </w:tc>
      </w:tr>
      <w:tr w:rsidR="00D0414C" w14:paraId="15486574" w14:textId="77777777" w:rsidTr="00D0414C">
        <w:trPr>
          <w:trHeight w:val="752"/>
        </w:trPr>
        <w:tc>
          <w:tcPr>
            <w:tcW w:w="3116" w:type="dxa"/>
          </w:tcPr>
          <w:p w14:paraId="73B74053" w14:textId="47B1DA74" w:rsidR="001C7882" w:rsidRPr="001C7882" w:rsidRDefault="001C7882" w:rsidP="00D0414C">
            <w:pPr>
              <w:rPr>
                <w:rFonts w:cstheme="minorHAnsi"/>
                <w:noProof/>
                <w:sz w:val="18"/>
                <w:szCs w:val="18"/>
              </w:rPr>
            </w:pPr>
            <w:r>
              <w:rPr>
                <w:rFonts w:cstheme="minorHAnsi"/>
                <w:noProof/>
                <w:sz w:val="18"/>
                <w:szCs w:val="18"/>
              </w:rPr>
              <w:t>Expose</w:t>
            </w:r>
            <w:r w:rsidR="003141FD">
              <w:rPr>
                <w:rFonts w:cstheme="minorHAnsi"/>
                <w:noProof/>
                <w:sz w:val="18"/>
                <w:szCs w:val="18"/>
              </w:rPr>
              <w:t>s</w:t>
            </w:r>
            <w:r>
              <w:rPr>
                <w:rFonts w:cstheme="minorHAnsi"/>
                <w:noProof/>
                <w:sz w:val="18"/>
                <w:szCs w:val="18"/>
              </w:rPr>
              <w:t xml:space="preserve"> students to multilingual and multimodal communication; </w:t>
            </w:r>
            <w:r w:rsidR="003E6C6A">
              <w:rPr>
                <w:rFonts w:cstheme="minorHAnsi"/>
                <w:noProof/>
                <w:sz w:val="18"/>
                <w:szCs w:val="18"/>
              </w:rPr>
              <w:t xml:space="preserve">analyzes </w:t>
            </w:r>
            <w:r w:rsidRPr="001C7882">
              <w:rPr>
                <w:rFonts w:cstheme="minorHAnsi"/>
                <w:noProof/>
                <w:sz w:val="18"/>
                <w:szCs w:val="18"/>
              </w:rPr>
              <w:t>diverse linguistic</w:t>
            </w:r>
            <w:r w:rsidR="00275C12">
              <w:rPr>
                <w:rFonts w:cstheme="minorHAnsi"/>
                <w:noProof/>
                <w:sz w:val="18"/>
                <w:szCs w:val="18"/>
              </w:rPr>
              <w:t>/</w:t>
            </w:r>
            <w:r w:rsidRPr="001C7882">
              <w:rPr>
                <w:rFonts w:cstheme="minorHAnsi"/>
                <w:noProof/>
                <w:sz w:val="18"/>
                <w:szCs w:val="18"/>
              </w:rPr>
              <w:t>cultural forms of expression</w:t>
            </w:r>
            <w:r>
              <w:rPr>
                <w:rFonts w:cstheme="minorHAnsi"/>
                <w:noProof/>
                <w:sz w:val="18"/>
                <w:szCs w:val="18"/>
              </w:rPr>
              <w:t>; legitimize</w:t>
            </w:r>
            <w:r w:rsidR="00571319">
              <w:rPr>
                <w:rFonts w:cstheme="minorHAnsi"/>
                <w:noProof/>
                <w:sz w:val="18"/>
                <w:szCs w:val="18"/>
              </w:rPr>
              <w:t xml:space="preserve">s </w:t>
            </w:r>
            <w:r w:rsidR="00275C12">
              <w:rPr>
                <w:rFonts w:cstheme="minorHAnsi"/>
                <w:noProof/>
                <w:sz w:val="18"/>
                <w:szCs w:val="18"/>
              </w:rPr>
              <w:t xml:space="preserve">different </w:t>
            </w:r>
            <w:r w:rsidR="003E6C6A">
              <w:rPr>
                <w:rFonts w:cstheme="minorHAnsi"/>
                <w:noProof/>
                <w:sz w:val="18"/>
                <w:szCs w:val="18"/>
              </w:rPr>
              <w:t xml:space="preserve">ways of representing and conveying meaning </w:t>
            </w:r>
          </w:p>
        </w:tc>
        <w:tc>
          <w:tcPr>
            <w:tcW w:w="3117" w:type="dxa"/>
          </w:tcPr>
          <w:p w14:paraId="582B94DB" w14:textId="0F4AD5CC" w:rsidR="00D0414C" w:rsidRPr="001C7882" w:rsidRDefault="001C7882" w:rsidP="00D0414C">
            <w:pPr>
              <w:rPr>
                <w:rFonts w:cstheme="minorHAnsi"/>
                <w:noProof/>
                <w:sz w:val="18"/>
                <w:szCs w:val="18"/>
              </w:rPr>
            </w:pPr>
            <w:r>
              <w:rPr>
                <w:rFonts w:cstheme="minorHAnsi"/>
                <w:noProof/>
                <w:sz w:val="18"/>
                <w:szCs w:val="18"/>
              </w:rPr>
              <w:t>Facilitate</w:t>
            </w:r>
            <w:r w:rsidR="003141FD">
              <w:rPr>
                <w:rFonts w:cstheme="minorHAnsi"/>
                <w:noProof/>
                <w:sz w:val="18"/>
                <w:szCs w:val="18"/>
              </w:rPr>
              <w:t>s</w:t>
            </w:r>
            <w:r>
              <w:rPr>
                <w:rFonts w:cstheme="minorHAnsi"/>
                <w:noProof/>
                <w:sz w:val="18"/>
                <w:szCs w:val="18"/>
              </w:rPr>
              <w:t xml:space="preserve"> opportunities for students to </w:t>
            </w:r>
            <w:r w:rsidRPr="001C7882">
              <w:rPr>
                <w:rFonts w:cstheme="minorHAnsi"/>
                <w:noProof/>
                <w:sz w:val="18"/>
                <w:szCs w:val="18"/>
              </w:rPr>
              <w:t>provide language-based support in academic and professional settings</w:t>
            </w:r>
            <w:r>
              <w:rPr>
                <w:rFonts w:cstheme="minorHAnsi"/>
                <w:noProof/>
                <w:sz w:val="18"/>
                <w:szCs w:val="18"/>
              </w:rPr>
              <w:t>; help</w:t>
            </w:r>
            <w:r w:rsidR="00571319">
              <w:rPr>
                <w:rFonts w:cstheme="minorHAnsi"/>
                <w:noProof/>
                <w:sz w:val="18"/>
                <w:szCs w:val="18"/>
              </w:rPr>
              <w:t>s</w:t>
            </w:r>
            <w:r>
              <w:rPr>
                <w:rFonts w:cstheme="minorHAnsi"/>
                <w:noProof/>
                <w:sz w:val="18"/>
                <w:szCs w:val="18"/>
              </w:rPr>
              <w:t xml:space="preserve"> students recognize and appreciate their role in the community</w:t>
            </w:r>
          </w:p>
        </w:tc>
        <w:tc>
          <w:tcPr>
            <w:tcW w:w="3117" w:type="dxa"/>
          </w:tcPr>
          <w:p w14:paraId="1AFA7432" w14:textId="222C0F11" w:rsidR="00D0414C" w:rsidRPr="00AE1A7F" w:rsidRDefault="00AE1A7F" w:rsidP="00D0414C">
            <w:pPr>
              <w:rPr>
                <w:rFonts w:cstheme="minorHAnsi"/>
                <w:noProof/>
                <w:sz w:val="18"/>
                <w:szCs w:val="18"/>
              </w:rPr>
            </w:pPr>
            <w:r w:rsidRPr="00AE1A7F">
              <w:rPr>
                <w:rFonts w:cstheme="minorHAnsi"/>
                <w:noProof/>
                <w:sz w:val="18"/>
                <w:szCs w:val="18"/>
              </w:rPr>
              <w:t>Encourage</w:t>
            </w:r>
            <w:r w:rsidR="00571319">
              <w:rPr>
                <w:rFonts w:cstheme="minorHAnsi"/>
                <w:noProof/>
                <w:sz w:val="18"/>
                <w:szCs w:val="18"/>
              </w:rPr>
              <w:t>s</w:t>
            </w:r>
            <w:r w:rsidRPr="00AE1A7F">
              <w:rPr>
                <w:rFonts w:cstheme="minorHAnsi"/>
                <w:noProof/>
                <w:sz w:val="18"/>
                <w:szCs w:val="18"/>
              </w:rPr>
              <w:t xml:space="preserve"> students to reflect on </w:t>
            </w:r>
            <w:r>
              <w:rPr>
                <w:rFonts w:cstheme="minorHAnsi"/>
                <w:noProof/>
                <w:sz w:val="18"/>
                <w:szCs w:val="18"/>
              </w:rPr>
              <w:t>how language affects their lives;</w:t>
            </w:r>
            <w:r w:rsidR="00024BA4">
              <w:rPr>
                <w:rFonts w:cstheme="minorHAnsi"/>
                <w:noProof/>
                <w:sz w:val="18"/>
                <w:szCs w:val="18"/>
              </w:rPr>
              <w:t xml:space="preserve"> examine</w:t>
            </w:r>
            <w:r w:rsidR="00571319">
              <w:rPr>
                <w:rFonts w:cstheme="minorHAnsi"/>
                <w:noProof/>
                <w:sz w:val="18"/>
                <w:szCs w:val="18"/>
              </w:rPr>
              <w:t>s</w:t>
            </w:r>
            <w:r w:rsidR="00024BA4">
              <w:rPr>
                <w:rFonts w:cstheme="minorHAnsi"/>
                <w:noProof/>
                <w:sz w:val="18"/>
                <w:szCs w:val="18"/>
              </w:rPr>
              <w:t xml:space="preserve"> the relationship between minority and dominant language use in the U.S.; develop</w:t>
            </w:r>
            <w:r w:rsidR="00571319">
              <w:rPr>
                <w:rFonts w:cstheme="minorHAnsi"/>
                <w:noProof/>
                <w:sz w:val="18"/>
                <w:szCs w:val="18"/>
              </w:rPr>
              <w:t>s</w:t>
            </w:r>
            <w:r w:rsidR="00024BA4">
              <w:rPr>
                <w:rFonts w:cstheme="minorHAnsi"/>
                <w:noProof/>
                <w:sz w:val="18"/>
                <w:szCs w:val="18"/>
              </w:rPr>
              <w:t xml:space="preserve"> interdisciplinary knowledge</w:t>
            </w:r>
            <w:r>
              <w:rPr>
                <w:rFonts w:cstheme="minorHAnsi"/>
                <w:noProof/>
                <w:sz w:val="18"/>
                <w:szCs w:val="18"/>
              </w:rPr>
              <w:t xml:space="preserve"> </w:t>
            </w:r>
          </w:p>
        </w:tc>
      </w:tr>
    </w:tbl>
    <w:p w14:paraId="19637FB9" w14:textId="77777777" w:rsidR="00520887" w:rsidRDefault="00520887" w:rsidP="005C1E9E">
      <w:pPr>
        <w:spacing w:after="0"/>
        <w:rPr>
          <w:rFonts w:ascii="Georgia" w:hAnsi="Georgia"/>
          <w:color w:val="0C7580"/>
          <w:sz w:val="28"/>
          <w:szCs w:val="28"/>
        </w:rPr>
      </w:pPr>
    </w:p>
    <w:p w14:paraId="1FF08508" w14:textId="77777777" w:rsidR="00520887" w:rsidRDefault="00520887">
      <w:pPr>
        <w:rPr>
          <w:rFonts w:ascii="Georgia" w:hAnsi="Georgia"/>
          <w:color w:val="0C7580"/>
          <w:sz w:val="28"/>
          <w:szCs w:val="28"/>
        </w:rPr>
      </w:pPr>
      <w:r>
        <w:rPr>
          <w:rFonts w:ascii="Georgia" w:hAnsi="Georgia"/>
          <w:color w:val="0C7580"/>
          <w:sz w:val="28"/>
          <w:szCs w:val="28"/>
        </w:rPr>
        <w:br w:type="page"/>
      </w:r>
    </w:p>
    <w:p w14:paraId="7D17B5B7" w14:textId="19279E4C" w:rsidR="00513ADB" w:rsidRDefault="00513ADB" w:rsidP="005C1E9E">
      <w:pPr>
        <w:spacing w:after="0"/>
        <w:rPr>
          <w:rFonts w:ascii="Georgia" w:hAnsi="Georgia"/>
          <w:color w:val="0C7580"/>
          <w:sz w:val="28"/>
          <w:szCs w:val="28"/>
        </w:rPr>
      </w:pPr>
      <w:r>
        <w:rPr>
          <w:rFonts w:ascii="Georgia" w:hAnsi="Georgia"/>
          <w:color w:val="0C7580"/>
          <w:sz w:val="28"/>
          <w:szCs w:val="28"/>
        </w:rPr>
        <w:lastRenderedPageBreak/>
        <w:t>Supporting Learner Diversity</w:t>
      </w:r>
    </w:p>
    <w:p w14:paraId="385ED6EC" w14:textId="72A90CA0" w:rsidR="00513ADB" w:rsidRDefault="00E76BD2" w:rsidP="007B3021">
      <w:pPr>
        <w:rPr>
          <w:rFonts w:cstheme="minorHAnsi"/>
          <w:sz w:val="20"/>
          <w:szCs w:val="20"/>
        </w:rPr>
      </w:pPr>
      <w:r w:rsidRPr="00E76BD2">
        <w:rPr>
          <w:rFonts w:cstheme="minorHAnsi"/>
          <w:sz w:val="20"/>
          <w:szCs w:val="20"/>
        </w:rPr>
        <w:t>Due to the high degree of learner diversity among heritage speakers</w:t>
      </w:r>
      <w:r w:rsidR="00DB3265">
        <w:rPr>
          <w:rFonts w:cstheme="minorHAnsi"/>
          <w:sz w:val="20"/>
          <w:szCs w:val="20"/>
        </w:rPr>
        <w:t>/signers</w:t>
      </w:r>
      <w:r w:rsidRPr="00E76BD2">
        <w:rPr>
          <w:rFonts w:cstheme="minorHAnsi"/>
          <w:sz w:val="20"/>
          <w:szCs w:val="20"/>
        </w:rPr>
        <w:t xml:space="preserve">, educators must develop inclusive pedagogical practices to respect, celebrate, and validate the linguistic and cultural backgrounds of </w:t>
      </w:r>
      <w:r w:rsidR="00180D73">
        <w:rPr>
          <w:rFonts w:cstheme="minorHAnsi"/>
          <w:sz w:val="20"/>
          <w:szCs w:val="20"/>
        </w:rPr>
        <w:t xml:space="preserve">their </w:t>
      </w:r>
      <w:r w:rsidRPr="00E76BD2">
        <w:rPr>
          <w:rFonts w:cstheme="minorHAnsi"/>
          <w:sz w:val="20"/>
          <w:szCs w:val="20"/>
        </w:rPr>
        <w:t>learners.</w:t>
      </w:r>
      <w:r>
        <w:rPr>
          <w:rFonts w:cstheme="minorHAnsi"/>
          <w:sz w:val="20"/>
          <w:szCs w:val="20"/>
        </w:rPr>
        <w:t xml:space="preserve"> </w:t>
      </w:r>
      <w:r w:rsidR="00180D73" w:rsidRPr="007206F6">
        <w:rPr>
          <w:rFonts w:cstheme="minorHAnsi"/>
          <w:sz w:val="20"/>
          <w:szCs w:val="20"/>
        </w:rPr>
        <w:t>Heritage speakers</w:t>
      </w:r>
      <w:r w:rsidR="001D408C">
        <w:rPr>
          <w:rFonts w:cstheme="minorHAnsi"/>
          <w:sz w:val="20"/>
          <w:szCs w:val="20"/>
        </w:rPr>
        <w:t xml:space="preserve"> and signers</w:t>
      </w:r>
      <w:r w:rsidR="00180D73" w:rsidRPr="007206F6">
        <w:rPr>
          <w:rFonts w:cstheme="minorHAnsi"/>
          <w:sz w:val="20"/>
          <w:szCs w:val="20"/>
        </w:rPr>
        <w:t xml:space="preserve"> may </w:t>
      </w:r>
      <w:r w:rsidRPr="007206F6">
        <w:rPr>
          <w:rFonts w:cstheme="minorHAnsi"/>
          <w:sz w:val="20"/>
          <w:szCs w:val="20"/>
        </w:rPr>
        <w:t>use different language varieties</w:t>
      </w:r>
      <w:r w:rsidR="0060106F">
        <w:rPr>
          <w:rFonts w:cstheme="minorHAnsi"/>
          <w:sz w:val="20"/>
          <w:szCs w:val="20"/>
        </w:rPr>
        <w:t xml:space="preserve">, or </w:t>
      </w:r>
      <w:r w:rsidR="00BF12C5" w:rsidRPr="007206F6">
        <w:rPr>
          <w:rFonts w:cstheme="minorHAnsi"/>
          <w:sz w:val="20"/>
          <w:szCs w:val="20"/>
        </w:rPr>
        <w:t>distinctive form</w:t>
      </w:r>
      <w:r w:rsidR="0060106F">
        <w:rPr>
          <w:rFonts w:cstheme="minorHAnsi"/>
          <w:sz w:val="20"/>
          <w:szCs w:val="20"/>
        </w:rPr>
        <w:t>s</w:t>
      </w:r>
      <w:r w:rsidR="00BF12C5" w:rsidRPr="007206F6">
        <w:rPr>
          <w:rFonts w:cstheme="minorHAnsi"/>
          <w:sz w:val="20"/>
          <w:szCs w:val="20"/>
        </w:rPr>
        <w:t xml:space="preserve"> of </w:t>
      </w:r>
      <w:r w:rsidR="0060106F">
        <w:rPr>
          <w:rFonts w:cstheme="minorHAnsi"/>
          <w:sz w:val="20"/>
          <w:szCs w:val="20"/>
        </w:rPr>
        <w:t xml:space="preserve">a </w:t>
      </w:r>
      <w:r w:rsidR="00BF12C5" w:rsidRPr="007206F6">
        <w:rPr>
          <w:rFonts w:cstheme="minorHAnsi"/>
          <w:sz w:val="20"/>
          <w:szCs w:val="20"/>
        </w:rPr>
        <w:t>language</w:t>
      </w:r>
      <w:r w:rsidRPr="007206F6">
        <w:rPr>
          <w:rFonts w:cstheme="minorHAnsi"/>
          <w:sz w:val="20"/>
          <w:szCs w:val="20"/>
        </w:rPr>
        <w:t>, dialects</w:t>
      </w:r>
      <w:r w:rsidR="00BF12C5" w:rsidRPr="007206F6">
        <w:rPr>
          <w:rFonts w:cstheme="minorHAnsi"/>
          <w:sz w:val="20"/>
          <w:szCs w:val="20"/>
        </w:rPr>
        <w:t xml:space="preserve"> (</w:t>
      </w:r>
      <w:r w:rsidR="0060106F">
        <w:rPr>
          <w:rFonts w:cstheme="minorHAnsi"/>
          <w:sz w:val="20"/>
          <w:szCs w:val="20"/>
        </w:rPr>
        <w:t>varieties characteristic of a particular area or group)</w:t>
      </w:r>
      <w:r w:rsidRPr="007206F6">
        <w:rPr>
          <w:rFonts w:cstheme="minorHAnsi"/>
          <w:sz w:val="20"/>
          <w:szCs w:val="20"/>
        </w:rPr>
        <w:t xml:space="preserve"> and/or registers</w:t>
      </w:r>
      <w:r w:rsidR="00BF12C5" w:rsidRPr="007206F6">
        <w:rPr>
          <w:rFonts w:cstheme="minorHAnsi"/>
          <w:sz w:val="20"/>
          <w:szCs w:val="20"/>
        </w:rPr>
        <w:t xml:space="preserve"> (</w:t>
      </w:r>
      <w:r w:rsidR="0060106F">
        <w:rPr>
          <w:rFonts w:cstheme="minorHAnsi"/>
          <w:sz w:val="20"/>
          <w:szCs w:val="20"/>
        </w:rPr>
        <w:t>varieties determined by context</w:t>
      </w:r>
      <w:r w:rsidR="00BF12C5" w:rsidRPr="007206F6">
        <w:rPr>
          <w:rFonts w:cstheme="minorHAnsi"/>
          <w:sz w:val="20"/>
          <w:szCs w:val="20"/>
        </w:rPr>
        <w:t>)</w:t>
      </w:r>
      <w:r w:rsidRPr="007206F6">
        <w:rPr>
          <w:rFonts w:cstheme="minorHAnsi"/>
          <w:sz w:val="20"/>
          <w:szCs w:val="20"/>
        </w:rPr>
        <w:t xml:space="preserve"> that have been learned from familial or community interactions, leading to feelings of inadequacy</w:t>
      </w:r>
      <w:r w:rsidR="00F445CE" w:rsidRPr="007206F6">
        <w:rPr>
          <w:rFonts w:cstheme="minorHAnsi"/>
          <w:sz w:val="20"/>
          <w:szCs w:val="20"/>
        </w:rPr>
        <w:t xml:space="preserve"> when there is an </w:t>
      </w:r>
      <w:r w:rsidRPr="007206F6">
        <w:rPr>
          <w:rFonts w:cstheme="minorHAnsi"/>
          <w:sz w:val="20"/>
          <w:szCs w:val="20"/>
        </w:rPr>
        <w:t xml:space="preserve">exclusive </w:t>
      </w:r>
      <w:r w:rsidR="00180D73" w:rsidRPr="007206F6">
        <w:rPr>
          <w:rFonts w:cstheme="minorHAnsi"/>
          <w:sz w:val="20"/>
          <w:szCs w:val="20"/>
        </w:rPr>
        <w:t xml:space="preserve">classroom </w:t>
      </w:r>
      <w:r w:rsidRPr="007206F6">
        <w:rPr>
          <w:rFonts w:cstheme="minorHAnsi"/>
          <w:sz w:val="20"/>
          <w:szCs w:val="20"/>
        </w:rPr>
        <w:t>focus on the “correctness” of standard varieties.</w:t>
      </w:r>
      <w:r>
        <w:rPr>
          <w:rFonts w:cstheme="minorHAnsi"/>
          <w:sz w:val="20"/>
          <w:szCs w:val="20"/>
        </w:rPr>
        <w:t xml:space="preserve"> </w:t>
      </w:r>
      <w:r w:rsidR="00996617">
        <w:rPr>
          <w:rFonts w:cstheme="minorHAnsi"/>
          <w:sz w:val="20"/>
          <w:szCs w:val="20"/>
        </w:rPr>
        <w:t xml:space="preserve">It may be helpful to use authentic materials representing different varieties throughout instruction, and </w:t>
      </w:r>
      <w:r w:rsidR="00B501F5">
        <w:rPr>
          <w:rFonts w:cstheme="minorHAnsi"/>
          <w:sz w:val="20"/>
          <w:szCs w:val="20"/>
        </w:rPr>
        <w:t xml:space="preserve">classroom </w:t>
      </w:r>
      <w:r w:rsidR="00996617">
        <w:rPr>
          <w:rFonts w:cstheme="minorHAnsi"/>
          <w:sz w:val="20"/>
          <w:szCs w:val="20"/>
        </w:rPr>
        <w:t>discussions about the appropriateness of different forms of the language for different contexts are recommended.</w:t>
      </w:r>
      <w:r w:rsidR="00F445CE">
        <w:rPr>
          <w:rFonts w:cstheme="minorHAnsi"/>
          <w:sz w:val="20"/>
          <w:szCs w:val="20"/>
        </w:rPr>
        <w:t xml:space="preserve"> </w:t>
      </w:r>
      <w:r w:rsidR="00996617" w:rsidRPr="00996617">
        <w:rPr>
          <w:rFonts w:cstheme="minorHAnsi"/>
          <w:sz w:val="20"/>
          <w:szCs w:val="20"/>
        </w:rPr>
        <w:t>Learner differences may lead to further challenges when heritage speakers</w:t>
      </w:r>
      <w:r w:rsidR="00DB3265">
        <w:rPr>
          <w:rFonts w:cstheme="minorHAnsi"/>
          <w:sz w:val="20"/>
          <w:szCs w:val="20"/>
        </w:rPr>
        <w:t>/signers</w:t>
      </w:r>
      <w:r w:rsidR="00996617" w:rsidRPr="00996617">
        <w:rPr>
          <w:rFonts w:cstheme="minorHAnsi"/>
          <w:sz w:val="20"/>
          <w:szCs w:val="20"/>
        </w:rPr>
        <w:t xml:space="preserve"> are placed i</w:t>
      </w:r>
      <w:r w:rsidR="00996617">
        <w:rPr>
          <w:rFonts w:cstheme="minorHAnsi"/>
          <w:sz w:val="20"/>
          <w:szCs w:val="20"/>
        </w:rPr>
        <w:t>n</w:t>
      </w:r>
      <w:r w:rsidR="00996617" w:rsidRPr="00996617">
        <w:rPr>
          <w:rFonts w:cstheme="minorHAnsi"/>
          <w:sz w:val="20"/>
          <w:szCs w:val="20"/>
        </w:rPr>
        <w:t xml:space="preserve"> class</w:t>
      </w:r>
      <w:r w:rsidR="00F445CE">
        <w:rPr>
          <w:rFonts w:cstheme="minorHAnsi"/>
          <w:sz w:val="20"/>
          <w:szCs w:val="20"/>
        </w:rPr>
        <w:t>es</w:t>
      </w:r>
      <w:r w:rsidR="00996617" w:rsidRPr="00996617">
        <w:rPr>
          <w:rFonts w:cstheme="minorHAnsi"/>
          <w:sz w:val="20"/>
          <w:szCs w:val="20"/>
        </w:rPr>
        <w:t xml:space="preserve"> with second language learners, as these two groups of students have vastly different </w:t>
      </w:r>
      <w:r w:rsidR="00F445CE">
        <w:rPr>
          <w:rFonts w:cstheme="minorHAnsi"/>
          <w:sz w:val="20"/>
          <w:szCs w:val="20"/>
        </w:rPr>
        <w:t>skills, a</w:t>
      </w:r>
      <w:r w:rsidR="00996617" w:rsidRPr="00996617">
        <w:rPr>
          <w:rFonts w:cstheme="minorHAnsi"/>
          <w:sz w:val="20"/>
          <w:szCs w:val="20"/>
        </w:rPr>
        <w:t>bilities</w:t>
      </w:r>
      <w:r w:rsidR="00180D73">
        <w:rPr>
          <w:rFonts w:cstheme="minorHAnsi"/>
          <w:sz w:val="20"/>
          <w:szCs w:val="20"/>
        </w:rPr>
        <w:t>,</w:t>
      </w:r>
      <w:r w:rsidR="00996617" w:rsidRPr="00996617">
        <w:rPr>
          <w:rFonts w:cstheme="minorHAnsi"/>
          <w:sz w:val="20"/>
          <w:szCs w:val="20"/>
        </w:rPr>
        <w:t xml:space="preserve"> and proficiency profiles</w:t>
      </w:r>
      <w:r w:rsidR="00996617">
        <w:rPr>
          <w:rFonts w:cstheme="minorHAnsi"/>
          <w:sz w:val="20"/>
          <w:szCs w:val="20"/>
        </w:rPr>
        <w:t xml:space="preserve">. </w:t>
      </w:r>
      <w:r w:rsidR="00EF352F">
        <w:rPr>
          <w:rFonts w:cstheme="minorHAnsi"/>
          <w:sz w:val="20"/>
          <w:szCs w:val="20"/>
        </w:rPr>
        <w:t>It is important to</w:t>
      </w:r>
      <w:r w:rsidR="00EF352F" w:rsidRPr="00EF352F">
        <w:rPr>
          <w:rFonts w:cstheme="minorHAnsi"/>
          <w:sz w:val="20"/>
          <w:szCs w:val="20"/>
        </w:rPr>
        <w:t xml:space="preserve"> </w:t>
      </w:r>
      <w:r w:rsidR="00634383">
        <w:rPr>
          <w:rFonts w:cstheme="minorHAnsi"/>
          <w:sz w:val="20"/>
          <w:szCs w:val="20"/>
        </w:rPr>
        <w:t>use</w:t>
      </w:r>
      <w:r w:rsidR="00EF352F" w:rsidRPr="00EF352F">
        <w:rPr>
          <w:rFonts w:cstheme="minorHAnsi"/>
          <w:sz w:val="20"/>
          <w:szCs w:val="20"/>
        </w:rPr>
        <w:t xml:space="preserve"> a </w:t>
      </w:r>
      <w:r w:rsidR="00DB3265">
        <w:rPr>
          <w:rFonts w:cstheme="minorHAnsi"/>
          <w:sz w:val="20"/>
          <w:szCs w:val="20"/>
        </w:rPr>
        <w:t xml:space="preserve">positivity and </w:t>
      </w:r>
      <w:r w:rsidR="00EF352F" w:rsidRPr="00EF352F">
        <w:rPr>
          <w:rFonts w:cstheme="minorHAnsi"/>
          <w:sz w:val="20"/>
          <w:szCs w:val="20"/>
        </w:rPr>
        <w:t>assets-based approach to learning when working with</w:t>
      </w:r>
      <w:r w:rsidR="005D59AC">
        <w:rPr>
          <w:rFonts w:cstheme="minorHAnsi"/>
          <w:sz w:val="20"/>
          <w:szCs w:val="20"/>
        </w:rPr>
        <w:t xml:space="preserve"> mixed class</w:t>
      </w:r>
      <w:r w:rsidR="00634383">
        <w:rPr>
          <w:rFonts w:cstheme="minorHAnsi"/>
          <w:sz w:val="20"/>
          <w:szCs w:val="20"/>
        </w:rPr>
        <w:t>e</w:t>
      </w:r>
      <w:r w:rsidR="005D59AC">
        <w:rPr>
          <w:rFonts w:cstheme="minorHAnsi"/>
          <w:sz w:val="20"/>
          <w:szCs w:val="20"/>
        </w:rPr>
        <w:t>s</w:t>
      </w:r>
      <w:r w:rsidR="00EF352F" w:rsidRPr="00EF352F">
        <w:rPr>
          <w:rFonts w:cstheme="minorHAnsi"/>
          <w:sz w:val="20"/>
          <w:szCs w:val="20"/>
        </w:rPr>
        <w:t xml:space="preserve">, </w:t>
      </w:r>
      <w:r w:rsidR="003C6CF7">
        <w:rPr>
          <w:rFonts w:cstheme="minorHAnsi"/>
          <w:sz w:val="20"/>
          <w:szCs w:val="20"/>
        </w:rPr>
        <w:t xml:space="preserve">and educators are encouraged to </w:t>
      </w:r>
      <w:r w:rsidR="003C6CF7" w:rsidRPr="003C6CF7">
        <w:rPr>
          <w:rFonts w:cstheme="minorHAnsi"/>
          <w:sz w:val="20"/>
          <w:szCs w:val="20"/>
        </w:rPr>
        <w:t xml:space="preserve">inform </w:t>
      </w:r>
      <w:r w:rsidR="00DB3265">
        <w:rPr>
          <w:rFonts w:cstheme="minorHAnsi"/>
          <w:sz w:val="20"/>
          <w:szCs w:val="20"/>
        </w:rPr>
        <w:t xml:space="preserve">heritage speakers/signers </w:t>
      </w:r>
      <w:r w:rsidR="003C6CF7" w:rsidRPr="003C6CF7">
        <w:rPr>
          <w:rFonts w:cstheme="minorHAnsi"/>
          <w:sz w:val="20"/>
          <w:szCs w:val="20"/>
        </w:rPr>
        <w:t xml:space="preserve">that they are being evaluated according to different expectations than their peers. This way, </w:t>
      </w:r>
      <w:r w:rsidR="00DB3265">
        <w:rPr>
          <w:rFonts w:cstheme="minorHAnsi"/>
          <w:sz w:val="20"/>
          <w:szCs w:val="20"/>
        </w:rPr>
        <w:t>students</w:t>
      </w:r>
      <w:r w:rsidR="003C6CF7" w:rsidRPr="003C6CF7">
        <w:rPr>
          <w:rFonts w:cstheme="minorHAnsi"/>
          <w:sz w:val="20"/>
          <w:szCs w:val="20"/>
        </w:rPr>
        <w:t xml:space="preserve"> will not </w:t>
      </w:r>
      <w:r w:rsidR="00A94C67">
        <w:rPr>
          <w:rFonts w:cstheme="minorHAnsi"/>
          <w:sz w:val="20"/>
          <w:szCs w:val="20"/>
        </w:rPr>
        <w:t>think</w:t>
      </w:r>
      <w:r w:rsidR="003C6CF7" w:rsidRPr="003C6CF7">
        <w:rPr>
          <w:rFonts w:cstheme="minorHAnsi"/>
          <w:sz w:val="20"/>
          <w:szCs w:val="20"/>
        </w:rPr>
        <w:t xml:space="preserve"> they are being assessed unfairly</w:t>
      </w:r>
      <w:r w:rsidR="00180D73">
        <w:rPr>
          <w:rFonts w:cstheme="minorHAnsi"/>
          <w:sz w:val="20"/>
          <w:szCs w:val="20"/>
        </w:rPr>
        <w:t xml:space="preserve"> and can</w:t>
      </w:r>
      <w:r w:rsidR="003C6CF7" w:rsidRPr="003C6CF7">
        <w:rPr>
          <w:rFonts w:cstheme="minorHAnsi"/>
          <w:sz w:val="20"/>
          <w:szCs w:val="20"/>
        </w:rPr>
        <w:t xml:space="preserve"> understand why </w:t>
      </w:r>
      <w:r w:rsidR="00180D73">
        <w:rPr>
          <w:rFonts w:cstheme="minorHAnsi"/>
          <w:sz w:val="20"/>
          <w:szCs w:val="20"/>
        </w:rPr>
        <w:t>their</w:t>
      </w:r>
      <w:r w:rsidR="003C6CF7" w:rsidRPr="003C6CF7">
        <w:rPr>
          <w:rFonts w:cstheme="minorHAnsi"/>
          <w:sz w:val="20"/>
          <w:szCs w:val="20"/>
        </w:rPr>
        <w:t xml:space="preserve"> learning goals </w:t>
      </w:r>
      <w:r w:rsidR="00180D73">
        <w:rPr>
          <w:rFonts w:cstheme="minorHAnsi"/>
          <w:sz w:val="20"/>
          <w:szCs w:val="20"/>
        </w:rPr>
        <w:t>may differ from those of</w:t>
      </w:r>
      <w:r w:rsidR="00B501F5">
        <w:rPr>
          <w:rFonts w:cstheme="minorHAnsi"/>
          <w:sz w:val="20"/>
          <w:szCs w:val="20"/>
        </w:rPr>
        <w:t xml:space="preserve"> </w:t>
      </w:r>
      <w:r w:rsidR="003C6CF7" w:rsidRPr="003C6CF7">
        <w:rPr>
          <w:rFonts w:cstheme="minorHAnsi"/>
          <w:sz w:val="20"/>
          <w:szCs w:val="20"/>
        </w:rPr>
        <w:t>classmates</w:t>
      </w:r>
      <w:r w:rsidR="003C6CF7" w:rsidRPr="007206F6">
        <w:rPr>
          <w:rFonts w:cstheme="minorHAnsi"/>
          <w:sz w:val="20"/>
          <w:szCs w:val="20"/>
        </w:rPr>
        <w:t>.</w:t>
      </w:r>
      <w:r w:rsidR="00545A68" w:rsidRPr="007206F6">
        <w:t xml:space="preserve"> </w:t>
      </w:r>
      <w:r w:rsidR="00545A68" w:rsidRPr="007206F6">
        <w:rPr>
          <w:rFonts w:cstheme="minorHAnsi"/>
          <w:sz w:val="20"/>
          <w:szCs w:val="20"/>
        </w:rPr>
        <w:t xml:space="preserve">Although there are </w:t>
      </w:r>
      <w:r w:rsidR="00BF12C5" w:rsidRPr="007206F6">
        <w:rPr>
          <w:rFonts w:cstheme="minorHAnsi"/>
          <w:sz w:val="20"/>
          <w:szCs w:val="20"/>
        </w:rPr>
        <w:t>many</w:t>
      </w:r>
      <w:r w:rsidR="00545A68" w:rsidRPr="007206F6">
        <w:rPr>
          <w:rFonts w:cstheme="minorHAnsi"/>
          <w:sz w:val="20"/>
          <w:szCs w:val="20"/>
        </w:rPr>
        <w:t xml:space="preserve"> considerations </w:t>
      </w:r>
      <w:r w:rsidR="00BF14A8">
        <w:rPr>
          <w:rFonts w:cstheme="minorHAnsi"/>
          <w:sz w:val="20"/>
          <w:szCs w:val="20"/>
        </w:rPr>
        <w:t>in</w:t>
      </w:r>
      <w:r w:rsidR="00545A68" w:rsidRPr="007206F6">
        <w:rPr>
          <w:rFonts w:cstheme="minorHAnsi"/>
          <w:sz w:val="20"/>
          <w:szCs w:val="20"/>
        </w:rPr>
        <w:t xml:space="preserve"> placing heritage speakers/signers into appropriate courses, educators are encouraged to </w:t>
      </w:r>
      <w:r w:rsidR="00BF12C5" w:rsidRPr="007206F6">
        <w:rPr>
          <w:rFonts w:cstheme="minorHAnsi"/>
          <w:sz w:val="20"/>
          <w:szCs w:val="20"/>
        </w:rPr>
        <w:t>make placement decisions based on students’ strengths</w:t>
      </w:r>
      <w:r w:rsidR="0060106F">
        <w:rPr>
          <w:rFonts w:cstheme="minorHAnsi"/>
          <w:sz w:val="20"/>
          <w:szCs w:val="20"/>
        </w:rPr>
        <w:t xml:space="preserve">, such as </w:t>
      </w:r>
      <w:r w:rsidR="00BF12C5" w:rsidRPr="007206F6">
        <w:rPr>
          <w:rFonts w:cstheme="minorHAnsi"/>
          <w:sz w:val="20"/>
          <w:szCs w:val="20"/>
        </w:rPr>
        <w:t>speaking</w:t>
      </w:r>
      <w:r w:rsidR="0060106F">
        <w:rPr>
          <w:rFonts w:cstheme="minorHAnsi"/>
          <w:sz w:val="20"/>
          <w:szCs w:val="20"/>
        </w:rPr>
        <w:t>/</w:t>
      </w:r>
      <w:r w:rsidR="00BF12C5" w:rsidRPr="007206F6">
        <w:rPr>
          <w:rFonts w:cstheme="minorHAnsi"/>
          <w:sz w:val="20"/>
          <w:szCs w:val="20"/>
        </w:rPr>
        <w:t>listening</w:t>
      </w:r>
      <w:r w:rsidR="00305FF3">
        <w:rPr>
          <w:rFonts w:cstheme="minorHAnsi"/>
          <w:sz w:val="20"/>
          <w:szCs w:val="20"/>
        </w:rPr>
        <w:t xml:space="preserve"> for aural languages</w:t>
      </w:r>
      <w:r w:rsidR="0060106F">
        <w:rPr>
          <w:rFonts w:cstheme="minorHAnsi"/>
          <w:sz w:val="20"/>
          <w:szCs w:val="20"/>
        </w:rPr>
        <w:t>,</w:t>
      </w:r>
      <w:r w:rsidR="00BF12C5" w:rsidRPr="007206F6">
        <w:rPr>
          <w:rFonts w:cstheme="minorHAnsi"/>
          <w:sz w:val="20"/>
          <w:szCs w:val="20"/>
        </w:rPr>
        <w:t xml:space="preserve"> </w:t>
      </w:r>
      <w:r w:rsidR="00545A68" w:rsidRPr="007206F6">
        <w:rPr>
          <w:rFonts w:cstheme="minorHAnsi"/>
          <w:sz w:val="20"/>
          <w:szCs w:val="20"/>
        </w:rPr>
        <w:t>and scaffold instruction to best meet their needs in other area</w:t>
      </w:r>
      <w:r w:rsidR="00BF12C5" w:rsidRPr="007206F6">
        <w:rPr>
          <w:rFonts w:cstheme="minorHAnsi"/>
          <w:sz w:val="20"/>
          <w:szCs w:val="20"/>
        </w:rPr>
        <w:t>s.</w:t>
      </w:r>
    </w:p>
    <w:p w14:paraId="1E53DB4C" w14:textId="7C2C4809" w:rsidR="00F445CE" w:rsidRPr="00F445CE" w:rsidRDefault="00F445CE" w:rsidP="003141FD">
      <w:pPr>
        <w:spacing w:after="0"/>
        <w:rPr>
          <w:rFonts w:ascii="Georgia" w:hAnsi="Georgia"/>
          <w:color w:val="0C7580"/>
          <w:sz w:val="28"/>
          <w:szCs w:val="28"/>
        </w:rPr>
      </w:pPr>
      <w:r>
        <w:rPr>
          <w:rFonts w:ascii="Georgia" w:hAnsi="Georgia"/>
          <w:color w:val="0C7580"/>
          <w:sz w:val="28"/>
          <w:szCs w:val="28"/>
        </w:rPr>
        <w:t>Addressing Issues of Identity</w:t>
      </w:r>
    </w:p>
    <w:p w14:paraId="4A10C69B" w14:textId="0513EECE" w:rsidR="002825A2" w:rsidRDefault="00F445CE" w:rsidP="00E4426A">
      <w:pPr>
        <w:rPr>
          <w:sz w:val="20"/>
          <w:szCs w:val="20"/>
        </w:rPr>
      </w:pPr>
      <w:r>
        <w:rPr>
          <w:sz w:val="20"/>
          <w:szCs w:val="20"/>
        </w:rPr>
        <w:t>H</w:t>
      </w:r>
      <w:r w:rsidRPr="00F445CE">
        <w:rPr>
          <w:sz w:val="20"/>
          <w:szCs w:val="20"/>
        </w:rPr>
        <w:t>eritage speakers</w:t>
      </w:r>
      <w:r w:rsidR="00DB3265">
        <w:rPr>
          <w:sz w:val="20"/>
          <w:szCs w:val="20"/>
        </w:rPr>
        <w:t>/signers</w:t>
      </w:r>
      <w:r w:rsidRPr="00F445CE">
        <w:rPr>
          <w:sz w:val="20"/>
          <w:szCs w:val="20"/>
        </w:rPr>
        <w:t xml:space="preserve"> need support in exploring, </w:t>
      </w:r>
      <w:r>
        <w:rPr>
          <w:sz w:val="20"/>
          <w:szCs w:val="20"/>
        </w:rPr>
        <w:t>constructing, and reflecting upon</w:t>
      </w:r>
      <w:r w:rsidRPr="00F445CE">
        <w:rPr>
          <w:sz w:val="20"/>
          <w:szCs w:val="20"/>
        </w:rPr>
        <w:t xml:space="preserve"> their identities, a process which is strongly connected with aspects of the heritage culture and heritage-speaking</w:t>
      </w:r>
      <w:r w:rsidR="00DB3265">
        <w:rPr>
          <w:sz w:val="20"/>
          <w:szCs w:val="20"/>
        </w:rPr>
        <w:t>/signing</w:t>
      </w:r>
      <w:r w:rsidRPr="00F445CE">
        <w:rPr>
          <w:sz w:val="20"/>
          <w:szCs w:val="20"/>
        </w:rPr>
        <w:t xml:space="preserve"> communities.</w:t>
      </w:r>
      <w:r w:rsidR="005D59AC">
        <w:rPr>
          <w:sz w:val="20"/>
          <w:szCs w:val="20"/>
        </w:rPr>
        <w:t xml:space="preserve"> </w:t>
      </w:r>
      <w:r w:rsidR="005D59AC" w:rsidRPr="005D59AC">
        <w:rPr>
          <w:sz w:val="20"/>
          <w:szCs w:val="20"/>
        </w:rPr>
        <w:t xml:space="preserve">Identity </w:t>
      </w:r>
      <w:r w:rsidR="00634383">
        <w:rPr>
          <w:sz w:val="20"/>
          <w:szCs w:val="20"/>
        </w:rPr>
        <w:t>is often</w:t>
      </w:r>
      <w:r w:rsidR="005D59AC">
        <w:rPr>
          <w:sz w:val="20"/>
          <w:szCs w:val="20"/>
        </w:rPr>
        <w:t xml:space="preserve"> a </w:t>
      </w:r>
      <w:r w:rsidR="005D59AC" w:rsidRPr="005D59AC">
        <w:rPr>
          <w:sz w:val="20"/>
          <w:szCs w:val="20"/>
        </w:rPr>
        <w:t xml:space="preserve">major factor in </w:t>
      </w:r>
      <w:r w:rsidR="005D59AC">
        <w:rPr>
          <w:sz w:val="20"/>
          <w:szCs w:val="20"/>
        </w:rPr>
        <w:t>heritage speakers</w:t>
      </w:r>
      <w:r w:rsidR="00DB3265">
        <w:rPr>
          <w:sz w:val="20"/>
          <w:szCs w:val="20"/>
        </w:rPr>
        <w:t>/signers</w:t>
      </w:r>
      <w:r w:rsidR="005D59AC" w:rsidRPr="005D59AC">
        <w:rPr>
          <w:sz w:val="20"/>
          <w:szCs w:val="20"/>
        </w:rPr>
        <w:t xml:space="preserve">’ motivations for language learning, and </w:t>
      </w:r>
      <w:r w:rsidR="005D59AC">
        <w:rPr>
          <w:sz w:val="20"/>
          <w:szCs w:val="20"/>
        </w:rPr>
        <w:t xml:space="preserve">educators must </w:t>
      </w:r>
      <w:r w:rsidR="005C1E9E">
        <w:rPr>
          <w:sz w:val="20"/>
          <w:szCs w:val="20"/>
        </w:rPr>
        <w:t>discuss</w:t>
      </w:r>
      <w:r w:rsidR="005D59AC">
        <w:rPr>
          <w:sz w:val="20"/>
          <w:szCs w:val="20"/>
        </w:rPr>
        <w:t xml:space="preserve"> issues of identity to effectively support students in making the cultural connections described in world language content standards.</w:t>
      </w:r>
      <w:r w:rsidR="005D59AC" w:rsidRPr="005D59AC">
        <w:rPr>
          <w:sz w:val="20"/>
          <w:szCs w:val="20"/>
        </w:rPr>
        <w:t xml:space="preserve"> </w:t>
      </w:r>
      <w:r w:rsidR="005D59AC">
        <w:rPr>
          <w:sz w:val="20"/>
          <w:szCs w:val="20"/>
        </w:rPr>
        <w:t xml:space="preserve">It is important </w:t>
      </w:r>
      <w:r w:rsidR="00634383">
        <w:rPr>
          <w:sz w:val="20"/>
          <w:szCs w:val="20"/>
        </w:rPr>
        <w:t>to avoid linguistic, ethnic, or community stereotypes that may negatively impact heritage speakers</w:t>
      </w:r>
      <w:r w:rsidR="00DB3265">
        <w:rPr>
          <w:sz w:val="20"/>
          <w:szCs w:val="20"/>
        </w:rPr>
        <w:t>/signers</w:t>
      </w:r>
      <w:r w:rsidR="00634383">
        <w:rPr>
          <w:sz w:val="20"/>
          <w:szCs w:val="20"/>
        </w:rPr>
        <w:t xml:space="preserve">, and all types of connections to the heritage language should be valued in the classroom. </w:t>
      </w:r>
      <w:r w:rsidR="005D59AC" w:rsidRPr="005D59AC">
        <w:rPr>
          <w:sz w:val="20"/>
          <w:szCs w:val="20"/>
        </w:rPr>
        <w:t>By affirming a variety of identities, teachers can</w:t>
      </w:r>
      <w:r w:rsidR="005D59AC">
        <w:rPr>
          <w:sz w:val="20"/>
          <w:szCs w:val="20"/>
        </w:rPr>
        <w:t xml:space="preserve"> </w:t>
      </w:r>
      <w:r w:rsidR="005D59AC" w:rsidRPr="005D59AC">
        <w:rPr>
          <w:sz w:val="20"/>
          <w:szCs w:val="20"/>
        </w:rPr>
        <w:t>empower heritage speakers</w:t>
      </w:r>
      <w:r w:rsidR="00DB3265">
        <w:rPr>
          <w:sz w:val="20"/>
          <w:szCs w:val="20"/>
        </w:rPr>
        <w:t>/signers</w:t>
      </w:r>
      <w:r w:rsidR="005D59AC" w:rsidRPr="005D59AC">
        <w:rPr>
          <w:sz w:val="20"/>
          <w:szCs w:val="20"/>
        </w:rPr>
        <w:t xml:space="preserve"> to serve as cultural ambassadors</w:t>
      </w:r>
      <w:r w:rsidR="00634383">
        <w:rPr>
          <w:sz w:val="20"/>
          <w:szCs w:val="20"/>
        </w:rPr>
        <w:t xml:space="preserve"> in the community</w:t>
      </w:r>
      <w:r w:rsidR="005D59AC" w:rsidRPr="005D59AC">
        <w:rPr>
          <w:sz w:val="20"/>
          <w:szCs w:val="20"/>
        </w:rPr>
        <w:t xml:space="preserve">, </w:t>
      </w:r>
      <w:r w:rsidR="007E2F33">
        <w:rPr>
          <w:sz w:val="20"/>
          <w:szCs w:val="20"/>
        </w:rPr>
        <w:t>creating</w:t>
      </w:r>
      <w:r w:rsidR="005D59AC" w:rsidRPr="005D59AC">
        <w:rPr>
          <w:sz w:val="20"/>
          <w:szCs w:val="20"/>
        </w:rPr>
        <w:t xml:space="preserve"> a more meaningful and impactful learning experience.</w:t>
      </w:r>
      <w:r w:rsidR="00B501F5">
        <w:rPr>
          <w:sz w:val="20"/>
          <w:szCs w:val="20"/>
        </w:rPr>
        <w:t xml:space="preserve"> </w:t>
      </w:r>
    </w:p>
    <w:p w14:paraId="68BD0011" w14:textId="35B884F6" w:rsidR="007E47F7" w:rsidRDefault="007E47F7" w:rsidP="007E47F7">
      <w:pPr>
        <w:spacing w:after="0"/>
        <w:rPr>
          <w:rFonts w:ascii="Georgia" w:hAnsi="Georgia"/>
          <w:color w:val="0C7580"/>
          <w:sz w:val="28"/>
          <w:szCs w:val="28"/>
        </w:rPr>
      </w:pPr>
      <w:r>
        <w:rPr>
          <w:rFonts w:ascii="Georgia" w:hAnsi="Georgia"/>
          <w:color w:val="0C7580"/>
          <w:sz w:val="28"/>
          <w:szCs w:val="28"/>
        </w:rPr>
        <w:t>Recommendations for Heritage Speakers/Signers</w:t>
      </w:r>
    </w:p>
    <w:p w14:paraId="310DC4BC" w14:textId="64836FEF" w:rsidR="00E4426A" w:rsidRDefault="000C0B64" w:rsidP="000F2BEC">
      <w:pPr>
        <w:spacing w:after="0"/>
        <w:rPr>
          <w:rFonts w:ascii="Georgia" w:hAnsi="Georgia"/>
          <w:color w:val="0C7580"/>
          <w:sz w:val="28"/>
          <w:szCs w:val="28"/>
        </w:rPr>
      </w:pPr>
      <w:r>
        <w:rPr>
          <w:rFonts w:ascii="Georgia" w:hAnsi="Georgia"/>
          <w:noProof/>
          <w:color w:val="0C7580"/>
          <w:sz w:val="28"/>
          <w:szCs w:val="28"/>
        </w:rPr>
        <mc:AlternateContent>
          <mc:Choice Requires="wps">
            <w:drawing>
              <wp:inline distT="0" distB="0" distL="0" distR="0" wp14:anchorId="63F58193" wp14:editId="7DC18B8F">
                <wp:extent cx="5924550" cy="2559050"/>
                <wp:effectExtent l="0" t="0" r="0" b="0"/>
                <wp:docPr id="5" name="Rectangle 5"/>
                <wp:cNvGraphicFramePr/>
                <a:graphic xmlns:a="http://schemas.openxmlformats.org/drawingml/2006/main">
                  <a:graphicData uri="http://schemas.microsoft.com/office/word/2010/wordprocessingShape">
                    <wps:wsp>
                      <wps:cNvSpPr/>
                      <wps:spPr>
                        <a:xfrm>
                          <a:off x="0" y="0"/>
                          <a:ext cx="5924550" cy="25590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6454C" w14:textId="77777777" w:rsidR="008804BB" w:rsidRDefault="008804BB" w:rsidP="008804BB">
                            <w:pPr>
                              <w:pStyle w:val="ListParagraph"/>
                              <w:numPr>
                                <w:ilvl w:val="0"/>
                                <w:numId w:val="1"/>
                              </w:numPr>
                              <w:ind w:left="360"/>
                              <w:rPr>
                                <w:sz w:val="20"/>
                                <w:szCs w:val="20"/>
                              </w:rPr>
                            </w:pPr>
                            <w:r>
                              <w:rPr>
                                <w:sz w:val="20"/>
                                <w:szCs w:val="20"/>
                              </w:rPr>
                              <w:t>Get to know heritage speakers/signers by gathering information about linguistic and cultural backgrounds</w:t>
                            </w:r>
                          </w:p>
                          <w:p w14:paraId="6B8D2815" w14:textId="77777777" w:rsidR="008804BB" w:rsidRDefault="008804BB" w:rsidP="008804BB">
                            <w:pPr>
                              <w:pStyle w:val="ListParagraph"/>
                              <w:numPr>
                                <w:ilvl w:val="0"/>
                                <w:numId w:val="1"/>
                              </w:numPr>
                              <w:ind w:left="360"/>
                              <w:rPr>
                                <w:sz w:val="20"/>
                                <w:szCs w:val="20"/>
                              </w:rPr>
                            </w:pPr>
                            <w:r>
                              <w:rPr>
                                <w:sz w:val="20"/>
                                <w:szCs w:val="20"/>
                              </w:rPr>
                              <w:t xml:space="preserve">Build upon students’ existing abilities and encourage the transfer of heritage literacy skills </w:t>
                            </w:r>
                          </w:p>
                          <w:p w14:paraId="2147A5AB" w14:textId="77777777" w:rsidR="008804BB" w:rsidRDefault="008804BB" w:rsidP="008804BB">
                            <w:pPr>
                              <w:pStyle w:val="ListParagraph"/>
                              <w:numPr>
                                <w:ilvl w:val="0"/>
                                <w:numId w:val="1"/>
                              </w:numPr>
                              <w:ind w:left="360"/>
                              <w:rPr>
                                <w:sz w:val="20"/>
                                <w:szCs w:val="20"/>
                              </w:rPr>
                            </w:pPr>
                            <w:r>
                              <w:rPr>
                                <w:sz w:val="20"/>
                                <w:szCs w:val="20"/>
                              </w:rPr>
                              <w:t xml:space="preserve">Provide opportunities to develop speakers’ oral language skills that can later support them when writing </w:t>
                            </w:r>
                          </w:p>
                          <w:p w14:paraId="54AB4FAF" w14:textId="77777777" w:rsidR="008804BB" w:rsidRDefault="008804BB" w:rsidP="008804BB">
                            <w:pPr>
                              <w:pStyle w:val="ListParagraph"/>
                              <w:numPr>
                                <w:ilvl w:val="0"/>
                                <w:numId w:val="1"/>
                              </w:numPr>
                              <w:ind w:left="360"/>
                              <w:rPr>
                                <w:sz w:val="20"/>
                                <w:szCs w:val="20"/>
                              </w:rPr>
                            </w:pPr>
                            <w:r>
                              <w:rPr>
                                <w:sz w:val="20"/>
                                <w:szCs w:val="20"/>
                              </w:rPr>
                              <w:t>Individualize and personalize classroom activities, instructional approaches, and assessment methods</w:t>
                            </w:r>
                          </w:p>
                          <w:p w14:paraId="4B1CE01D" w14:textId="77777777" w:rsidR="008804BB" w:rsidRDefault="008804BB" w:rsidP="008804BB">
                            <w:pPr>
                              <w:pStyle w:val="ListParagraph"/>
                              <w:numPr>
                                <w:ilvl w:val="0"/>
                                <w:numId w:val="1"/>
                              </w:numPr>
                              <w:ind w:left="360"/>
                              <w:rPr>
                                <w:sz w:val="20"/>
                                <w:szCs w:val="20"/>
                              </w:rPr>
                            </w:pPr>
                            <w:r>
                              <w:rPr>
                                <w:sz w:val="20"/>
                                <w:szCs w:val="20"/>
                              </w:rPr>
                              <w:t>Legitimize and promote diverse forms of expression through multilingual and multimodal communication</w:t>
                            </w:r>
                          </w:p>
                          <w:p w14:paraId="2DCE95D3" w14:textId="77777777" w:rsidR="008804BB" w:rsidRDefault="008804BB" w:rsidP="008804BB">
                            <w:pPr>
                              <w:pStyle w:val="ListParagraph"/>
                              <w:numPr>
                                <w:ilvl w:val="0"/>
                                <w:numId w:val="1"/>
                              </w:numPr>
                              <w:ind w:left="360"/>
                              <w:rPr>
                                <w:sz w:val="20"/>
                                <w:szCs w:val="20"/>
                              </w:rPr>
                            </w:pPr>
                            <w:r>
                              <w:rPr>
                                <w:sz w:val="20"/>
                                <w:szCs w:val="20"/>
                              </w:rPr>
                              <w:t>Promote the use of digital resources, including social media, animation software, and videoconferencing</w:t>
                            </w:r>
                          </w:p>
                          <w:p w14:paraId="69567898" w14:textId="77777777" w:rsidR="008804BB" w:rsidRDefault="008804BB" w:rsidP="008804BB">
                            <w:pPr>
                              <w:pStyle w:val="ListParagraph"/>
                              <w:numPr>
                                <w:ilvl w:val="0"/>
                                <w:numId w:val="1"/>
                              </w:numPr>
                              <w:ind w:left="360"/>
                              <w:rPr>
                                <w:sz w:val="20"/>
                                <w:szCs w:val="20"/>
                              </w:rPr>
                            </w:pPr>
                            <w:r>
                              <w:rPr>
                                <w:sz w:val="20"/>
                                <w:szCs w:val="20"/>
                              </w:rPr>
                              <w:t>Explore meaningful service-learning opportunities that can be accessed in and out of the classroom</w:t>
                            </w:r>
                          </w:p>
                          <w:p w14:paraId="355D6138" w14:textId="77777777" w:rsidR="008804BB" w:rsidRDefault="008804BB" w:rsidP="008804BB">
                            <w:pPr>
                              <w:pStyle w:val="ListParagraph"/>
                              <w:numPr>
                                <w:ilvl w:val="0"/>
                                <w:numId w:val="1"/>
                              </w:numPr>
                              <w:ind w:left="360"/>
                              <w:rPr>
                                <w:sz w:val="20"/>
                                <w:szCs w:val="20"/>
                              </w:rPr>
                            </w:pPr>
                            <w:r>
                              <w:rPr>
                                <w:sz w:val="20"/>
                                <w:szCs w:val="20"/>
                              </w:rPr>
                              <w:t xml:space="preserve">Include </w:t>
                            </w:r>
                            <w:r w:rsidRPr="00571319">
                              <w:rPr>
                                <w:sz w:val="20"/>
                                <w:szCs w:val="20"/>
                              </w:rPr>
                              <w:t>community interviews</w:t>
                            </w:r>
                            <w:r>
                              <w:rPr>
                                <w:sz w:val="20"/>
                                <w:szCs w:val="20"/>
                              </w:rPr>
                              <w:t xml:space="preserve"> and </w:t>
                            </w:r>
                            <w:r w:rsidRPr="00571319">
                              <w:rPr>
                                <w:sz w:val="20"/>
                                <w:szCs w:val="20"/>
                              </w:rPr>
                              <w:t>oral histories from family members</w:t>
                            </w:r>
                            <w:r>
                              <w:rPr>
                                <w:sz w:val="20"/>
                                <w:szCs w:val="20"/>
                              </w:rPr>
                              <w:t xml:space="preserve"> to explore heritage-specific issues</w:t>
                            </w:r>
                          </w:p>
                          <w:p w14:paraId="5A6780CD" w14:textId="77777777" w:rsidR="008804BB" w:rsidRDefault="008804BB" w:rsidP="008804BB">
                            <w:pPr>
                              <w:pStyle w:val="ListParagraph"/>
                              <w:numPr>
                                <w:ilvl w:val="0"/>
                                <w:numId w:val="1"/>
                              </w:numPr>
                              <w:ind w:left="360"/>
                              <w:rPr>
                                <w:sz w:val="20"/>
                                <w:szCs w:val="20"/>
                              </w:rPr>
                            </w:pPr>
                            <w:r>
                              <w:rPr>
                                <w:sz w:val="20"/>
                                <w:szCs w:val="20"/>
                              </w:rPr>
                              <w:t xml:space="preserve">Engage in critical dialogue about language’s role in students’ lives, their communities, and greater society </w:t>
                            </w:r>
                          </w:p>
                          <w:p w14:paraId="4FC5220C" w14:textId="77777777" w:rsidR="008804BB" w:rsidRDefault="008804BB" w:rsidP="008804BB">
                            <w:pPr>
                              <w:pStyle w:val="ListParagraph"/>
                              <w:numPr>
                                <w:ilvl w:val="0"/>
                                <w:numId w:val="1"/>
                              </w:numPr>
                              <w:ind w:left="360"/>
                              <w:rPr>
                                <w:sz w:val="20"/>
                                <w:szCs w:val="20"/>
                              </w:rPr>
                            </w:pPr>
                            <w:r>
                              <w:rPr>
                                <w:sz w:val="20"/>
                                <w:szCs w:val="20"/>
                              </w:rPr>
                              <w:t>Teach about different language varieties and registers rather than only focusing on standard varieties</w:t>
                            </w:r>
                          </w:p>
                          <w:p w14:paraId="58B7FD93" w14:textId="77777777" w:rsidR="008804BB" w:rsidRDefault="008804BB" w:rsidP="008804BB">
                            <w:pPr>
                              <w:pStyle w:val="ListParagraph"/>
                              <w:numPr>
                                <w:ilvl w:val="0"/>
                                <w:numId w:val="1"/>
                              </w:numPr>
                              <w:ind w:left="360"/>
                              <w:rPr>
                                <w:sz w:val="20"/>
                                <w:szCs w:val="20"/>
                              </w:rPr>
                            </w:pPr>
                            <w:r>
                              <w:rPr>
                                <w:sz w:val="20"/>
                                <w:szCs w:val="20"/>
                              </w:rPr>
                              <w:t>Encourage continual use of language varieties learned at home and new varieties learned in class</w:t>
                            </w:r>
                          </w:p>
                          <w:p w14:paraId="2587DABA" w14:textId="77777777" w:rsidR="008804BB" w:rsidRDefault="008804BB" w:rsidP="008804BB">
                            <w:pPr>
                              <w:pStyle w:val="ListParagraph"/>
                              <w:numPr>
                                <w:ilvl w:val="0"/>
                                <w:numId w:val="1"/>
                              </w:numPr>
                              <w:ind w:left="360"/>
                              <w:rPr>
                                <w:sz w:val="20"/>
                                <w:szCs w:val="20"/>
                              </w:rPr>
                            </w:pPr>
                            <w:r>
                              <w:rPr>
                                <w:sz w:val="20"/>
                                <w:szCs w:val="20"/>
                              </w:rPr>
                              <w:t xml:space="preserve">Avoid assigning tutoring roles to more proficient heritage speakers/signers in mixed classrooms </w:t>
                            </w:r>
                          </w:p>
                          <w:p w14:paraId="67DEE1BE" w14:textId="77777777" w:rsidR="008804BB" w:rsidRDefault="008804BB" w:rsidP="008804BB">
                            <w:pPr>
                              <w:pStyle w:val="ListParagraph"/>
                              <w:numPr>
                                <w:ilvl w:val="0"/>
                                <w:numId w:val="1"/>
                              </w:numPr>
                              <w:ind w:left="360"/>
                              <w:rPr>
                                <w:sz w:val="20"/>
                                <w:szCs w:val="20"/>
                              </w:rPr>
                            </w:pPr>
                            <w:r>
                              <w:rPr>
                                <w:sz w:val="20"/>
                                <w:szCs w:val="20"/>
                              </w:rPr>
                              <w:t xml:space="preserve">Recognize the importance of social, cultural, and political issues associated with the heritage language </w:t>
                            </w:r>
                          </w:p>
                          <w:p w14:paraId="6C871D7F" w14:textId="77777777" w:rsidR="008804BB" w:rsidRDefault="008804BB" w:rsidP="008804BB">
                            <w:pPr>
                              <w:pStyle w:val="ListParagraph"/>
                              <w:numPr>
                                <w:ilvl w:val="0"/>
                                <w:numId w:val="1"/>
                              </w:numPr>
                              <w:ind w:left="360"/>
                              <w:rPr>
                                <w:sz w:val="20"/>
                                <w:szCs w:val="20"/>
                              </w:rPr>
                            </w:pPr>
                            <w:r>
                              <w:rPr>
                                <w:sz w:val="20"/>
                                <w:szCs w:val="20"/>
                              </w:rPr>
                              <w:t>Engage with families of heritage speakers/signers to support learning in the classroom and at home</w:t>
                            </w:r>
                          </w:p>
                          <w:p w14:paraId="16838B6C" w14:textId="77777777" w:rsidR="008804BB" w:rsidRDefault="008804BB" w:rsidP="008804BB">
                            <w:pPr>
                              <w:pStyle w:val="ListParagraph"/>
                              <w:ind w:left="360"/>
                              <w:rPr>
                                <w:sz w:val="20"/>
                                <w:szCs w:val="20"/>
                              </w:rPr>
                            </w:pPr>
                          </w:p>
                          <w:p w14:paraId="4F88727E" w14:textId="77777777" w:rsidR="008804BB" w:rsidRDefault="008804BB" w:rsidP="008804BB">
                            <w:pPr>
                              <w:pStyle w:val="ListParagraph"/>
                              <w:ind w:left="360"/>
                              <w:rPr>
                                <w:sz w:val="20"/>
                                <w:szCs w:val="20"/>
                              </w:rPr>
                            </w:pPr>
                          </w:p>
                          <w:p w14:paraId="409D37D2" w14:textId="77777777" w:rsidR="008804BB" w:rsidRPr="00600E95" w:rsidRDefault="008804BB" w:rsidP="008804BB">
                            <w:pPr>
                              <w:pStyle w:val="ListParagraph"/>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3F58193" id="Rectangle 5" o:spid="_x0000_s1027" style="width:466.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" fillcolor="#0c7580" stroked="f" strokeweight="2pt">
                <v:textbox>
                  <w:txbxContent>
                    <w:p w14:paraId="00B6454C" w14:textId="77777777" w:rsidR="008804BB" w:rsidRDefault="008804BB" w:rsidP="008804BB">
                      <w:pPr>
                        <w:pStyle w:val="ListParagraph"/>
                        <w:numPr>
                          <w:ilvl w:val="0"/>
                          <w:numId w:val="1"/>
                        </w:numPr>
                        <w:ind w:left="360"/>
                        <w:rPr>
                          <w:sz w:val="20"/>
                          <w:szCs w:val="20"/>
                        </w:rPr>
                      </w:pPr>
                      <w:r>
                        <w:rPr>
                          <w:sz w:val="20"/>
                          <w:szCs w:val="20"/>
                        </w:rPr>
                        <w:t>Get to know heritage speakers/signers by gathering information about linguistic and cultural backgrounds</w:t>
                      </w:r>
                    </w:p>
                    <w:p w14:paraId="6B8D2815" w14:textId="77777777" w:rsidR="008804BB" w:rsidRDefault="008804BB" w:rsidP="008804BB">
                      <w:pPr>
                        <w:pStyle w:val="ListParagraph"/>
                        <w:numPr>
                          <w:ilvl w:val="0"/>
                          <w:numId w:val="1"/>
                        </w:numPr>
                        <w:ind w:left="360"/>
                        <w:rPr>
                          <w:sz w:val="20"/>
                          <w:szCs w:val="20"/>
                        </w:rPr>
                      </w:pPr>
                      <w:r>
                        <w:rPr>
                          <w:sz w:val="20"/>
                          <w:szCs w:val="20"/>
                        </w:rPr>
                        <w:t xml:space="preserve">Build upon students’ existing abilities and encourage the transfer of heritage literacy skills </w:t>
                      </w:r>
                    </w:p>
                    <w:p w14:paraId="2147A5AB" w14:textId="77777777" w:rsidR="008804BB" w:rsidRDefault="008804BB" w:rsidP="008804BB">
                      <w:pPr>
                        <w:pStyle w:val="ListParagraph"/>
                        <w:numPr>
                          <w:ilvl w:val="0"/>
                          <w:numId w:val="1"/>
                        </w:numPr>
                        <w:ind w:left="360"/>
                        <w:rPr>
                          <w:sz w:val="20"/>
                          <w:szCs w:val="20"/>
                        </w:rPr>
                      </w:pPr>
                      <w:r>
                        <w:rPr>
                          <w:sz w:val="20"/>
                          <w:szCs w:val="20"/>
                        </w:rPr>
                        <w:t xml:space="preserve">Provide opportunities to develop speakers’ oral language skills that can later support them when writing </w:t>
                      </w:r>
                    </w:p>
                    <w:p w14:paraId="54AB4FAF" w14:textId="77777777" w:rsidR="008804BB" w:rsidRDefault="008804BB" w:rsidP="008804BB">
                      <w:pPr>
                        <w:pStyle w:val="ListParagraph"/>
                        <w:numPr>
                          <w:ilvl w:val="0"/>
                          <w:numId w:val="1"/>
                        </w:numPr>
                        <w:ind w:left="360"/>
                        <w:rPr>
                          <w:sz w:val="20"/>
                          <w:szCs w:val="20"/>
                        </w:rPr>
                      </w:pPr>
                      <w:r>
                        <w:rPr>
                          <w:sz w:val="20"/>
                          <w:szCs w:val="20"/>
                        </w:rPr>
                        <w:t>Individualize and personalize classroom activities, instructional approaches, and assessment methods</w:t>
                      </w:r>
                    </w:p>
                    <w:p w14:paraId="4B1CE01D" w14:textId="77777777" w:rsidR="008804BB" w:rsidRDefault="008804BB" w:rsidP="008804BB">
                      <w:pPr>
                        <w:pStyle w:val="ListParagraph"/>
                        <w:numPr>
                          <w:ilvl w:val="0"/>
                          <w:numId w:val="1"/>
                        </w:numPr>
                        <w:ind w:left="360"/>
                        <w:rPr>
                          <w:sz w:val="20"/>
                          <w:szCs w:val="20"/>
                        </w:rPr>
                      </w:pPr>
                      <w:r>
                        <w:rPr>
                          <w:sz w:val="20"/>
                          <w:szCs w:val="20"/>
                        </w:rPr>
                        <w:t>Legitimize and promote diverse forms of expression through multilingual and multimodal communication</w:t>
                      </w:r>
                    </w:p>
                    <w:p w14:paraId="2DCE95D3" w14:textId="77777777" w:rsidR="008804BB" w:rsidRDefault="008804BB" w:rsidP="008804BB">
                      <w:pPr>
                        <w:pStyle w:val="ListParagraph"/>
                        <w:numPr>
                          <w:ilvl w:val="0"/>
                          <w:numId w:val="1"/>
                        </w:numPr>
                        <w:ind w:left="360"/>
                        <w:rPr>
                          <w:sz w:val="20"/>
                          <w:szCs w:val="20"/>
                        </w:rPr>
                      </w:pPr>
                      <w:r>
                        <w:rPr>
                          <w:sz w:val="20"/>
                          <w:szCs w:val="20"/>
                        </w:rPr>
                        <w:t>Promote the use of digital resources, including social media, animation software, and videoconferencing</w:t>
                      </w:r>
                    </w:p>
                    <w:p w14:paraId="69567898" w14:textId="77777777" w:rsidR="008804BB" w:rsidRDefault="008804BB" w:rsidP="008804BB">
                      <w:pPr>
                        <w:pStyle w:val="ListParagraph"/>
                        <w:numPr>
                          <w:ilvl w:val="0"/>
                          <w:numId w:val="1"/>
                        </w:numPr>
                        <w:ind w:left="360"/>
                        <w:rPr>
                          <w:sz w:val="20"/>
                          <w:szCs w:val="20"/>
                        </w:rPr>
                      </w:pPr>
                      <w:r>
                        <w:rPr>
                          <w:sz w:val="20"/>
                          <w:szCs w:val="20"/>
                        </w:rPr>
                        <w:t>Explore meaningful service-learning opportunities that can be accessed in and out of the classroom</w:t>
                      </w:r>
                    </w:p>
                    <w:p w14:paraId="355D6138" w14:textId="77777777" w:rsidR="008804BB" w:rsidRDefault="008804BB" w:rsidP="008804BB">
                      <w:pPr>
                        <w:pStyle w:val="ListParagraph"/>
                        <w:numPr>
                          <w:ilvl w:val="0"/>
                          <w:numId w:val="1"/>
                        </w:numPr>
                        <w:ind w:left="360"/>
                        <w:rPr>
                          <w:sz w:val="20"/>
                          <w:szCs w:val="20"/>
                        </w:rPr>
                      </w:pPr>
                      <w:r>
                        <w:rPr>
                          <w:sz w:val="20"/>
                          <w:szCs w:val="20"/>
                        </w:rPr>
                        <w:t xml:space="preserve">Include </w:t>
                      </w:r>
                      <w:r w:rsidRPr="00571319">
                        <w:rPr>
                          <w:sz w:val="20"/>
                          <w:szCs w:val="20"/>
                        </w:rPr>
                        <w:t>community interviews</w:t>
                      </w:r>
                      <w:r>
                        <w:rPr>
                          <w:sz w:val="20"/>
                          <w:szCs w:val="20"/>
                        </w:rPr>
                        <w:t xml:space="preserve"> and </w:t>
                      </w:r>
                      <w:r w:rsidRPr="00571319">
                        <w:rPr>
                          <w:sz w:val="20"/>
                          <w:szCs w:val="20"/>
                        </w:rPr>
                        <w:t>oral histories from family members</w:t>
                      </w:r>
                      <w:r>
                        <w:rPr>
                          <w:sz w:val="20"/>
                          <w:szCs w:val="20"/>
                        </w:rPr>
                        <w:t xml:space="preserve"> to explore heritage-specific issues</w:t>
                      </w:r>
                    </w:p>
                    <w:p w14:paraId="5A6780CD" w14:textId="77777777" w:rsidR="008804BB" w:rsidRDefault="008804BB" w:rsidP="008804BB">
                      <w:pPr>
                        <w:pStyle w:val="ListParagraph"/>
                        <w:numPr>
                          <w:ilvl w:val="0"/>
                          <w:numId w:val="1"/>
                        </w:numPr>
                        <w:ind w:left="360"/>
                        <w:rPr>
                          <w:sz w:val="20"/>
                          <w:szCs w:val="20"/>
                        </w:rPr>
                      </w:pPr>
                      <w:r>
                        <w:rPr>
                          <w:sz w:val="20"/>
                          <w:szCs w:val="20"/>
                        </w:rPr>
                        <w:t xml:space="preserve">Engage in critical dialogue about language’s role in students’ lives, their communities, and greater society </w:t>
                      </w:r>
                    </w:p>
                    <w:p w14:paraId="4FC5220C" w14:textId="77777777" w:rsidR="008804BB" w:rsidRDefault="008804BB" w:rsidP="008804BB">
                      <w:pPr>
                        <w:pStyle w:val="ListParagraph"/>
                        <w:numPr>
                          <w:ilvl w:val="0"/>
                          <w:numId w:val="1"/>
                        </w:numPr>
                        <w:ind w:left="360"/>
                        <w:rPr>
                          <w:sz w:val="20"/>
                          <w:szCs w:val="20"/>
                        </w:rPr>
                      </w:pPr>
                      <w:r>
                        <w:rPr>
                          <w:sz w:val="20"/>
                          <w:szCs w:val="20"/>
                        </w:rPr>
                        <w:t>Teach about different language varieties and registers rather than only focusing on standard varieties</w:t>
                      </w:r>
                    </w:p>
                    <w:p w14:paraId="58B7FD93" w14:textId="77777777" w:rsidR="008804BB" w:rsidRDefault="008804BB" w:rsidP="008804BB">
                      <w:pPr>
                        <w:pStyle w:val="ListParagraph"/>
                        <w:numPr>
                          <w:ilvl w:val="0"/>
                          <w:numId w:val="1"/>
                        </w:numPr>
                        <w:ind w:left="360"/>
                        <w:rPr>
                          <w:sz w:val="20"/>
                          <w:szCs w:val="20"/>
                        </w:rPr>
                      </w:pPr>
                      <w:r>
                        <w:rPr>
                          <w:sz w:val="20"/>
                          <w:szCs w:val="20"/>
                        </w:rPr>
                        <w:t>Encourage continual use of language varieties learned at home and new varieties learned in class</w:t>
                      </w:r>
                    </w:p>
                    <w:p w14:paraId="2587DABA" w14:textId="77777777" w:rsidR="008804BB" w:rsidRDefault="008804BB" w:rsidP="008804BB">
                      <w:pPr>
                        <w:pStyle w:val="ListParagraph"/>
                        <w:numPr>
                          <w:ilvl w:val="0"/>
                          <w:numId w:val="1"/>
                        </w:numPr>
                        <w:ind w:left="360"/>
                        <w:rPr>
                          <w:sz w:val="20"/>
                          <w:szCs w:val="20"/>
                        </w:rPr>
                      </w:pPr>
                      <w:r>
                        <w:rPr>
                          <w:sz w:val="20"/>
                          <w:szCs w:val="20"/>
                        </w:rPr>
                        <w:t xml:space="preserve">Avoid assigning tutoring roles to more proficient heritage speakers/signers in mixed classrooms </w:t>
                      </w:r>
                    </w:p>
                    <w:p w14:paraId="67DEE1BE" w14:textId="77777777" w:rsidR="008804BB" w:rsidRDefault="008804BB" w:rsidP="008804BB">
                      <w:pPr>
                        <w:pStyle w:val="ListParagraph"/>
                        <w:numPr>
                          <w:ilvl w:val="0"/>
                          <w:numId w:val="1"/>
                        </w:numPr>
                        <w:ind w:left="360"/>
                        <w:rPr>
                          <w:sz w:val="20"/>
                          <w:szCs w:val="20"/>
                        </w:rPr>
                      </w:pPr>
                      <w:r>
                        <w:rPr>
                          <w:sz w:val="20"/>
                          <w:szCs w:val="20"/>
                        </w:rPr>
                        <w:t xml:space="preserve">Recognize the importance of social, cultural, and political issues associated with the heritage language </w:t>
                      </w:r>
                    </w:p>
                    <w:p w14:paraId="6C871D7F" w14:textId="77777777" w:rsidR="008804BB" w:rsidRDefault="008804BB" w:rsidP="008804BB">
                      <w:pPr>
                        <w:pStyle w:val="ListParagraph"/>
                        <w:numPr>
                          <w:ilvl w:val="0"/>
                          <w:numId w:val="1"/>
                        </w:numPr>
                        <w:ind w:left="360"/>
                        <w:rPr>
                          <w:sz w:val="20"/>
                          <w:szCs w:val="20"/>
                        </w:rPr>
                      </w:pPr>
                      <w:r>
                        <w:rPr>
                          <w:sz w:val="20"/>
                          <w:szCs w:val="20"/>
                        </w:rPr>
                        <w:t>Engage with families of heritage speakers/signers to support learning in the classroom and at home</w:t>
                      </w:r>
                    </w:p>
                    <w:p w14:paraId="16838B6C" w14:textId="77777777" w:rsidR="008804BB" w:rsidRDefault="008804BB" w:rsidP="008804BB">
                      <w:pPr>
                        <w:pStyle w:val="ListParagraph"/>
                        <w:ind w:left="360"/>
                        <w:rPr>
                          <w:sz w:val="20"/>
                          <w:szCs w:val="20"/>
                        </w:rPr>
                      </w:pPr>
                    </w:p>
                    <w:p w14:paraId="4F88727E" w14:textId="77777777" w:rsidR="008804BB" w:rsidRDefault="008804BB" w:rsidP="008804BB">
                      <w:pPr>
                        <w:pStyle w:val="ListParagraph"/>
                        <w:ind w:left="360"/>
                        <w:rPr>
                          <w:sz w:val="20"/>
                          <w:szCs w:val="20"/>
                        </w:rPr>
                      </w:pPr>
                    </w:p>
                    <w:p w14:paraId="409D37D2" w14:textId="77777777" w:rsidR="008804BB" w:rsidRPr="00600E95" w:rsidRDefault="008804BB" w:rsidP="008804BB">
                      <w:pPr>
                        <w:pStyle w:val="ListParagraph"/>
                        <w:ind w:left="360"/>
                        <w:rPr>
                          <w:sz w:val="20"/>
                          <w:szCs w:val="20"/>
                        </w:rPr>
                      </w:pPr>
                    </w:p>
                  </w:txbxContent>
                </v:textbox>
                <w10:anchorlock/>
              </v:rect>
            </w:pict>
          </mc:Fallback>
        </mc:AlternateContent>
      </w:r>
    </w:p>
    <w:p w14:paraId="405C1548" w14:textId="77777777" w:rsidR="008804BB" w:rsidRPr="00770FB7" w:rsidRDefault="008804BB" w:rsidP="007E47F7">
      <w:pPr>
        <w:spacing w:after="0"/>
        <w:jc w:val="center"/>
        <w:rPr>
          <w:rFonts w:ascii="Georgia" w:hAnsi="Georgia"/>
          <w:color w:val="0C7580"/>
          <w:sz w:val="28"/>
          <w:szCs w:val="28"/>
        </w:rPr>
      </w:pPr>
      <w:r w:rsidRPr="00D73202">
        <w:rPr>
          <w:rFonts w:eastAsia="Times New Roman"/>
          <w:sz w:val="24"/>
          <w:szCs w:val="24"/>
        </w:rPr>
        <w:t>For more research and a full bibliography for this and other QRG topics, see</w:t>
      </w:r>
    </w:p>
    <w:p w14:paraId="27A939E8" w14:textId="74E5653B" w:rsidR="008804BB" w:rsidRPr="00770FB7" w:rsidRDefault="00652967" w:rsidP="008804BB">
      <w:pPr>
        <w:spacing w:after="0"/>
        <w:jc w:val="center"/>
        <w:rPr>
          <w:rFonts w:ascii="Georgia" w:hAnsi="Georgia"/>
          <w:sz w:val="24"/>
          <w:szCs w:val="24"/>
        </w:rPr>
      </w:pPr>
      <w:hyperlink r:id="rId12" w:history="1">
        <w:r w:rsidR="008804BB" w:rsidRPr="00D73202">
          <w:rPr>
            <w:rStyle w:val="Hyperlink"/>
            <w:rFonts w:eastAsia="Times New Roman"/>
            <w:sz w:val="24"/>
            <w:szCs w:val="24"/>
          </w:rPr>
          <w:t>World Language Standards Literature Review Report</w:t>
        </w:r>
      </w:hyperlink>
      <w:r w:rsidR="008804BB">
        <w:rPr>
          <w:rFonts w:ascii="Georgia" w:hAnsi="Georgia"/>
          <w:sz w:val="24"/>
          <w:szCs w:val="24"/>
        </w:rPr>
        <w:t>.</w:t>
      </w:r>
    </w:p>
    <w:p w14:paraId="23FA46C3" w14:textId="37224D3E" w:rsidR="008804BB" w:rsidRDefault="008804BB" w:rsidP="0039237C">
      <w:pPr>
        <w:spacing w:after="0"/>
        <w:rPr>
          <w:rFonts w:ascii="Georgia" w:hAnsi="Georgia"/>
          <w:sz w:val="24"/>
          <w:szCs w:val="24"/>
        </w:rPr>
        <w:sectPr w:rsidR="008804BB" w:rsidSect="008804BB">
          <w:headerReference w:type="default" r:id="rId13"/>
          <w:footerReference w:type="default" r:id="rId14"/>
          <w:headerReference w:type="first" r:id="rId15"/>
          <w:footerReference w:type="first" r:id="rId16"/>
          <w:endnotePr>
            <w:numFmt w:val="decimal"/>
          </w:endnotePr>
          <w:pgSz w:w="12240" w:h="15840"/>
          <w:pgMar w:top="1440" w:right="1440" w:bottom="540" w:left="1440" w:header="720" w:footer="288" w:gutter="0"/>
          <w:cols w:space="720"/>
          <w:titlePg/>
          <w:docGrid w:linePitch="360"/>
        </w:sectPr>
      </w:pPr>
    </w:p>
    <w:p w14:paraId="5174809F" w14:textId="77777777" w:rsidR="007E2F33" w:rsidRDefault="007E2F33" w:rsidP="008804BB">
      <w:pPr>
        <w:spacing w:after="0"/>
        <w:rPr>
          <w:rFonts w:eastAsia="Times New Roman" w:cstheme="minorHAnsi"/>
          <w:sz w:val="24"/>
          <w:szCs w:val="24"/>
        </w:rPr>
      </w:pPr>
    </w:p>
    <w:sectPr w:rsidR="007E2F33" w:rsidSect="00C6759E">
      <w:type w:val="continuous"/>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000A" w14:textId="77777777" w:rsidR="00652967" w:rsidRDefault="00652967" w:rsidP="000636CE">
      <w:pPr>
        <w:spacing w:after="0" w:line="240" w:lineRule="auto"/>
      </w:pPr>
      <w:r>
        <w:separator/>
      </w:r>
    </w:p>
  </w:endnote>
  <w:endnote w:type="continuationSeparator" w:id="0">
    <w:p w14:paraId="599053E6" w14:textId="77777777" w:rsidR="00652967" w:rsidRDefault="00652967" w:rsidP="000636CE">
      <w:pPr>
        <w:spacing w:after="0" w:line="240" w:lineRule="auto"/>
      </w:pPr>
      <w:r>
        <w:continuationSeparator/>
      </w:r>
    </w:p>
  </w:endnote>
  <w:endnote w:id="1">
    <w:p w14:paraId="35A05CD6" w14:textId="77777777" w:rsidR="00520887" w:rsidRDefault="00520887" w:rsidP="00520887">
      <w:pPr>
        <w:pStyle w:val="EndnoteText"/>
      </w:pPr>
      <w:r>
        <w:rPr>
          <w:rStyle w:val="EndnoteReference"/>
        </w:rPr>
        <w:endnoteRef/>
      </w:r>
      <w:r>
        <w:t xml:space="preserve"> </w:t>
      </w:r>
      <w:r w:rsidRPr="0039237C">
        <w:rPr>
          <w:sz w:val="16"/>
          <w:szCs w:val="16"/>
        </w:rPr>
        <w:t xml:space="preserve">Valdés, G. (2000). Teaching heritage languages: An introduction for Slavic language-teaching professionals. In O. &amp;. Kagan, </w:t>
      </w:r>
      <w:r w:rsidRPr="0039237C">
        <w:rPr>
          <w:i/>
          <w:iCs/>
          <w:sz w:val="16"/>
          <w:szCs w:val="16"/>
        </w:rPr>
        <w:t xml:space="preserve">Learning and teaching of Slavic languages and cultures: Toward the 21st century </w:t>
      </w:r>
      <w:r w:rsidRPr="0039237C">
        <w:rPr>
          <w:sz w:val="16"/>
          <w:szCs w:val="16"/>
        </w:rPr>
        <w:t xml:space="preserve">(pp. 375-403). Bloomington: </w:t>
      </w:r>
      <w:proofErr w:type="spellStart"/>
      <w:r w:rsidRPr="0039237C">
        <w:rPr>
          <w:sz w:val="16"/>
          <w:szCs w:val="16"/>
        </w:rPr>
        <w:t>Slavica</w:t>
      </w:r>
      <w:proofErr w:type="spellEnd"/>
      <w:r w:rsidRPr="0039237C">
        <w:rPr>
          <w:sz w:val="16"/>
          <w:szCs w:val="16"/>
        </w:rPr>
        <w:t>.</w:t>
      </w:r>
    </w:p>
  </w:endnote>
  <w:endnote w:id="2">
    <w:p w14:paraId="1D5CE662" w14:textId="77777777" w:rsidR="00520887" w:rsidRDefault="00520887" w:rsidP="00520887">
      <w:pPr>
        <w:pStyle w:val="EndnoteText"/>
      </w:pPr>
      <w:r>
        <w:rPr>
          <w:rStyle w:val="EndnoteReference"/>
        </w:rPr>
        <w:endnoteRef/>
      </w:r>
      <w:r>
        <w:t xml:space="preserve"> </w:t>
      </w:r>
      <w:r w:rsidRPr="0039237C">
        <w:rPr>
          <w:sz w:val="16"/>
          <w:szCs w:val="16"/>
        </w:rPr>
        <w:t xml:space="preserve">Martinez, G. (2016). Goals and beyond in heritage language education. In M. Fairclough, &amp; S.M. </w:t>
      </w:r>
      <w:proofErr w:type="spellStart"/>
      <w:r w:rsidRPr="0039237C">
        <w:rPr>
          <w:sz w:val="16"/>
          <w:szCs w:val="16"/>
        </w:rPr>
        <w:t>Beaudrie</w:t>
      </w:r>
      <w:proofErr w:type="spellEnd"/>
      <w:r w:rsidRPr="0039237C">
        <w:rPr>
          <w:i/>
          <w:iCs/>
          <w:sz w:val="16"/>
          <w:szCs w:val="16"/>
        </w:rPr>
        <w:t xml:space="preserve">, Innovative strategies for heritage language teaching: A practical guide for the classroom </w:t>
      </w:r>
      <w:r w:rsidRPr="0039237C">
        <w:rPr>
          <w:sz w:val="16"/>
          <w:szCs w:val="16"/>
        </w:rPr>
        <w:t>(pp. 39-55). Washington, DC: Georgetown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4A521021" w:rsidR="00E4426A" w:rsidRDefault="00E4426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7B6B83B0"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F02AB" w14:textId="77777777" w:rsidR="00652967" w:rsidRDefault="00652967" w:rsidP="000636CE">
      <w:pPr>
        <w:spacing w:after="0" w:line="240" w:lineRule="auto"/>
      </w:pPr>
      <w:r>
        <w:separator/>
      </w:r>
    </w:p>
  </w:footnote>
  <w:footnote w:type="continuationSeparator" w:id="0">
    <w:p w14:paraId="36B5A52D" w14:textId="77777777" w:rsidR="00652967" w:rsidRDefault="00652967"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561CCDA4"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3F60D96E" w:rsidR="000636CE" w:rsidRDefault="000636CE">
    <w:pPr>
      <w:pStyle w:val="Header"/>
    </w:pPr>
    <w:r>
      <w:rPr>
        <w:noProof/>
      </w:rPr>
      <w:drawing>
        <wp:anchor distT="0" distB="0" distL="114300" distR="114300" simplePos="0" relativeHeight="251658240" behindDoc="1" locked="0" layoutInCell="1" allowOverlap="1" wp14:anchorId="503CBCE9" wp14:editId="1028A49D">
          <wp:simplePos x="0" y="0"/>
          <wp:positionH relativeFrom="page">
            <wp:posOffset>626110</wp:posOffset>
          </wp:positionH>
          <wp:positionV relativeFrom="paragraph">
            <wp:posOffset>-262255</wp:posOffset>
          </wp:positionV>
          <wp:extent cx="1261872" cy="61264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2A59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D64F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CE0D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D066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52E3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44F4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0C6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E410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C49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423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04DA6"/>
    <w:multiLevelType w:val="hybridMultilevel"/>
    <w:tmpl w:val="3FDA23C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14239"/>
    <w:multiLevelType w:val="hybridMultilevel"/>
    <w:tmpl w:val="8D5CA568"/>
    <w:lvl w:ilvl="0" w:tplc="EF82F6B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143B9"/>
    <w:multiLevelType w:val="hybridMultilevel"/>
    <w:tmpl w:val="A1A81A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5957A23"/>
    <w:multiLevelType w:val="hybridMultilevel"/>
    <w:tmpl w:val="DF5A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62750"/>
    <w:multiLevelType w:val="hybridMultilevel"/>
    <w:tmpl w:val="6206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6718F"/>
    <w:multiLevelType w:val="hybridMultilevel"/>
    <w:tmpl w:val="B98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6"/>
  </w:num>
  <w:num w:numId="5">
    <w:abstractNumId w:val="12"/>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235A9"/>
    <w:rsid w:val="00024BA4"/>
    <w:rsid w:val="000636CE"/>
    <w:rsid w:val="00084403"/>
    <w:rsid w:val="000A14A4"/>
    <w:rsid w:val="000C02E2"/>
    <w:rsid w:val="000C0B64"/>
    <w:rsid w:val="000E1043"/>
    <w:rsid w:val="000F2BEC"/>
    <w:rsid w:val="0016779C"/>
    <w:rsid w:val="00180D73"/>
    <w:rsid w:val="001811FC"/>
    <w:rsid w:val="001841A9"/>
    <w:rsid w:val="001906A0"/>
    <w:rsid w:val="001C7882"/>
    <w:rsid w:val="001D180D"/>
    <w:rsid w:val="001D22BF"/>
    <w:rsid w:val="001D408C"/>
    <w:rsid w:val="00226E25"/>
    <w:rsid w:val="00254B14"/>
    <w:rsid w:val="00266393"/>
    <w:rsid w:val="00275C12"/>
    <w:rsid w:val="002825A2"/>
    <w:rsid w:val="0028279C"/>
    <w:rsid w:val="002E19F2"/>
    <w:rsid w:val="00305FF3"/>
    <w:rsid w:val="003141FD"/>
    <w:rsid w:val="00317242"/>
    <w:rsid w:val="003613A6"/>
    <w:rsid w:val="00365292"/>
    <w:rsid w:val="00387C34"/>
    <w:rsid w:val="0039237C"/>
    <w:rsid w:val="003C1403"/>
    <w:rsid w:val="003C6CF7"/>
    <w:rsid w:val="003E11B9"/>
    <w:rsid w:val="003E1FF2"/>
    <w:rsid w:val="003E6C6A"/>
    <w:rsid w:val="003E6D0B"/>
    <w:rsid w:val="004047F7"/>
    <w:rsid w:val="00427D45"/>
    <w:rsid w:val="00456678"/>
    <w:rsid w:val="00482F96"/>
    <w:rsid w:val="004868BB"/>
    <w:rsid w:val="004908FA"/>
    <w:rsid w:val="004E2BCD"/>
    <w:rsid w:val="004F7150"/>
    <w:rsid w:val="004F7981"/>
    <w:rsid w:val="00513ADB"/>
    <w:rsid w:val="00520887"/>
    <w:rsid w:val="0052509A"/>
    <w:rsid w:val="0052591B"/>
    <w:rsid w:val="00545A68"/>
    <w:rsid w:val="00571319"/>
    <w:rsid w:val="005833E5"/>
    <w:rsid w:val="00596DA2"/>
    <w:rsid w:val="005C1E9E"/>
    <w:rsid w:val="005D59AC"/>
    <w:rsid w:val="005F1EA5"/>
    <w:rsid w:val="00600E95"/>
    <w:rsid w:val="0060106F"/>
    <w:rsid w:val="00620B5B"/>
    <w:rsid w:val="00633031"/>
    <w:rsid w:val="00634383"/>
    <w:rsid w:val="0063619C"/>
    <w:rsid w:val="0064205D"/>
    <w:rsid w:val="00652967"/>
    <w:rsid w:val="006538C0"/>
    <w:rsid w:val="00661E70"/>
    <w:rsid w:val="00661EF3"/>
    <w:rsid w:val="006D786E"/>
    <w:rsid w:val="00703ACB"/>
    <w:rsid w:val="00705E38"/>
    <w:rsid w:val="00706BEC"/>
    <w:rsid w:val="007206F6"/>
    <w:rsid w:val="00722A36"/>
    <w:rsid w:val="007242B4"/>
    <w:rsid w:val="00750516"/>
    <w:rsid w:val="007553FE"/>
    <w:rsid w:val="007601ED"/>
    <w:rsid w:val="00765B9E"/>
    <w:rsid w:val="007B3021"/>
    <w:rsid w:val="007E2F33"/>
    <w:rsid w:val="007E47F7"/>
    <w:rsid w:val="0080016F"/>
    <w:rsid w:val="008155A9"/>
    <w:rsid w:val="00843AFE"/>
    <w:rsid w:val="008804BB"/>
    <w:rsid w:val="008848EB"/>
    <w:rsid w:val="008D2C7A"/>
    <w:rsid w:val="00902A9D"/>
    <w:rsid w:val="0091627E"/>
    <w:rsid w:val="00935A24"/>
    <w:rsid w:val="00936C06"/>
    <w:rsid w:val="009559BE"/>
    <w:rsid w:val="00973EF4"/>
    <w:rsid w:val="0097406F"/>
    <w:rsid w:val="0099481C"/>
    <w:rsid w:val="00996617"/>
    <w:rsid w:val="009B45A8"/>
    <w:rsid w:val="009C4FB7"/>
    <w:rsid w:val="00A21A51"/>
    <w:rsid w:val="00A43DEF"/>
    <w:rsid w:val="00A463AF"/>
    <w:rsid w:val="00A51E58"/>
    <w:rsid w:val="00A76132"/>
    <w:rsid w:val="00A94C67"/>
    <w:rsid w:val="00AC40F3"/>
    <w:rsid w:val="00AE1A7F"/>
    <w:rsid w:val="00B05E03"/>
    <w:rsid w:val="00B32A68"/>
    <w:rsid w:val="00B33710"/>
    <w:rsid w:val="00B37130"/>
    <w:rsid w:val="00B46F54"/>
    <w:rsid w:val="00B501F5"/>
    <w:rsid w:val="00BE4EE9"/>
    <w:rsid w:val="00BF12C5"/>
    <w:rsid w:val="00BF14A8"/>
    <w:rsid w:val="00C03F1B"/>
    <w:rsid w:val="00C06D38"/>
    <w:rsid w:val="00C667AB"/>
    <w:rsid w:val="00C6759E"/>
    <w:rsid w:val="00C86603"/>
    <w:rsid w:val="00C91E50"/>
    <w:rsid w:val="00C947D6"/>
    <w:rsid w:val="00CD4A19"/>
    <w:rsid w:val="00CD5419"/>
    <w:rsid w:val="00D03803"/>
    <w:rsid w:val="00D0414C"/>
    <w:rsid w:val="00D1474A"/>
    <w:rsid w:val="00D47002"/>
    <w:rsid w:val="00D57621"/>
    <w:rsid w:val="00D60C17"/>
    <w:rsid w:val="00D62209"/>
    <w:rsid w:val="00DB24DB"/>
    <w:rsid w:val="00DB3265"/>
    <w:rsid w:val="00DC4872"/>
    <w:rsid w:val="00DE3523"/>
    <w:rsid w:val="00E4377C"/>
    <w:rsid w:val="00E4426A"/>
    <w:rsid w:val="00E46CEC"/>
    <w:rsid w:val="00E5550C"/>
    <w:rsid w:val="00E76BD2"/>
    <w:rsid w:val="00E9470B"/>
    <w:rsid w:val="00EA534B"/>
    <w:rsid w:val="00ED48EB"/>
    <w:rsid w:val="00EF110B"/>
    <w:rsid w:val="00EF352F"/>
    <w:rsid w:val="00EF5469"/>
    <w:rsid w:val="00F15DB5"/>
    <w:rsid w:val="00F20B5C"/>
    <w:rsid w:val="00F23FC1"/>
    <w:rsid w:val="00F36B94"/>
    <w:rsid w:val="00F445CE"/>
    <w:rsid w:val="00F4773F"/>
    <w:rsid w:val="00F4775E"/>
    <w:rsid w:val="00F61FFF"/>
    <w:rsid w:val="00F70279"/>
    <w:rsid w:val="00F82430"/>
    <w:rsid w:val="00F82652"/>
    <w:rsid w:val="00F8477A"/>
    <w:rsid w:val="00F92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table" w:styleId="TableGrid">
    <w:name w:val="Table Grid"/>
    <w:basedOn w:val="TableNormal"/>
    <w:uiPriority w:val="39"/>
    <w:rsid w:val="009B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4DB"/>
    <w:rPr>
      <w:color w:val="0563C1" w:themeColor="hyperlink"/>
      <w:u w:val="single"/>
    </w:rPr>
  </w:style>
  <w:style w:type="paragraph" w:styleId="Caption">
    <w:name w:val="caption"/>
    <w:basedOn w:val="Normal"/>
    <w:next w:val="Normal"/>
    <w:uiPriority w:val="35"/>
    <w:unhideWhenUsed/>
    <w:qFormat/>
    <w:rsid w:val="0075051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190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6A0"/>
    <w:rPr>
      <w:sz w:val="20"/>
      <w:szCs w:val="20"/>
    </w:rPr>
  </w:style>
  <w:style w:type="character" w:styleId="FootnoteReference">
    <w:name w:val="footnote reference"/>
    <w:basedOn w:val="DefaultParagraphFont"/>
    <w:uiPriority w:val="99"/>
    <w:semiHidden/>
    <w:unhideWhenUsed/>
    <w:rsid w:val="001906A0"/>
    <w:rPr>
      <w:vertAlign w:val="superscript"/>
    </w:rPr>
  </w:style>
  <w:style w:type="paragraph" w:styleId="Revision">
    <w:name w:val="Revision"/>
    <w:hidden/>
    <w:uiPriority w:val="99"/>
    <w:semiHidden/>
    <w:rsid w:val="00024BA4"/>
    <w:pPr>
      <w:spacing w:after="0" w:line="240" w:lineRule="auto"/>
    </w:pPr>
  </w:style>
  <w:style w:type="paragraph" w:styleId="EndnoteText">
    <w:name w:val="endnote text"/>
    <w:basedOn w:val="Normal"/>
    <w:link w:val="EndnoteTextChar"/>
    <w:uiPriority w:val="99"/>
    <w:semiHidden/>
    <w:unhideWhenUsed/>
    <w:rsid w:val="00C675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59E"/>
    <w:rPr>
      <w:sz w:val="20"/>
      <w:szCs w:val="20"/>
    </w:rPr>
  </w:style>
  <w:style w:type="character" w:styleId="EndnoteReference">
    <w:name w:val="endnote reference"/>
    <w:basedOn w:val="DefaultParagraphFont"/>
    <w:uiPriority w:val="99"/>
    <w:semiHidden/>
    <w:unhideWhenUsed/>
    <w:rsid w:val="00C6759E"/>
    <w:rPr>
      <w:vertAlign w:val="superscript"/>
    </w:rPr>
  </w:style>
  <w:style w:type="character" w:styleId="FollowedHyperlink">
    <w:name w:val="FollowedHyperlink"/>
    <w:basedOn w:val="DefaultParagraphFont"/>
    <w:uiPriority w:val="99"/>
    <w:semiHidden/>
    <w:unhideWhenUsed/>
    <w:rsid w:val="001D408C"/>
    <w:rPr>
      <w:color w:val="802B0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worldlanguages/leader-network/literature-review.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DESE-231-68996</_dlc_DocId>
    <_dlc_DocIdUrl xmlns="733efe1c-5bbe-4968-87dc-d400e65c879f">
      <Url>https://sharepoint.doemass.org/ese/webteam/cps/_layouts/DocIdRedir.aspx?ID=DESE-231-68996</Url>
      <Description>DESE-231-68996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7E0D-228C-4DB5-8E2E-8943E9D816A9}">
  <ds:schemaRefs>
    <ds:schemaRef ds:uri="http://schemas.microsoft.com/sharepoint/events"/>
  </ds:schemaRefs>
</ds:datastoreItem>
</file>

<file path=customXml/itemProps2.xml><?xml version="1.0" encoding="utf-8"?>
<ds:datastoreItem xmlns:ds="http://schemas.openxmlformats.org/officeDocument/2006/customXml" ds:itemID="{26586FAC-1AC9-4C8D-BE49-3848EDF56B0F}">
  <ds:schemaRefs>
    <ds:schemaRef ds:uri="http://schemas.microsoft.com/sharepoint/v3/contenttype/forms"/>
  </ds:schemaRefs>
</ds:datastoreItem>
</file>

<file path=customXml/itemProps3.xml><?xml version="1.0" encoding="utf-8"?>
<ds:datastoreItem xmlns:ds="http://schemas.openxmlformats.org/officeDocument/2006/customXml" ds:itemID="{4373841E-C304-4D12-AEA6-F5E891B5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6B060-7A50-4CC0-AD06-94AAE2CDF4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3CA4C3F-496E-4131-A5CA-A19BBBF8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WL Quick Reference Guide: Heritage Learners</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Quick Reference Guide: Heritage Learners</dc:title>
  <dc:subject/>
  <dc:creator>DESE</dc:creator>
  <cp:keywords/>
  <dc:description/>
  <cp:lastModifiedBy>Zou, Dong (EOE)</cp:lastModifiedBy>
  <cp:revision>6</cp:revision>
  <dcterms:created xsi:type="dcterms:W3CDTF">2021-03-15T16:58:00Z</dcterms:created>
  <dcterms:modified xsi:type="dcterms:W3CDTF">2021-03-15T19:23:00Z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2021</vt:lpwstr>
  </property>
</Properties>
</file>