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74" w:rsidRPr="00C234FF" w:rsidRDefault="00CD3993" w:rsidP="00D43AAA">
      <w:pPr>
        <w:pStyle w:val="HeadingRed"/>
        <w:spacing w:before="0" w:after="0"/>
        <w:jc w:val="center"/>
        <w:rPr>
          <w:rFonts w:ascii="Times New Roman" w:hAnsi="Times New Roman"/>
          <w:color w:val="auto"/>
          <w:sz w:val="48"/>
          <w:szCs w:val="48"/>
        </w:rPr>
      </w:pPr>
      <w:r w:rsidRPr="00DC07B8">
        <w:rPr>
          <w:rFonts w:ascii="Times New Roman" w:hAnsi="Times New Roman"/>
          <w:noProof/>
          <w:color w:val="0F6FC6" w:themeColor="accent1"/>
          <w:sz w:val="48"/>
          <w:szCs w:val="48"/>
          <w:lang w:eastAsia="zh-CN" w:bidi="km-KH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-181610</wp:posOffset>
            </wp:positionH>
            <wp:positionV relativeFrom="margin">
              <wp:posOffset>12065</wp:posOffset>
            </wp:positionV>
            <wp:extent cx="1656080" cy="749935"/>
            <wp:effectExtent l="19050" t="0" r="1270" b="0"/>
            <wp:wrapSquare wrapText="bothSides"/>
            <wp:docPr id="1" name="Picture 6" descr="National Institute on Out-of-School Time at the Wellesley Centers for Women (NIO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NIOSTnameID.ep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3AAA" w:rsidRPr="00C234FF" w:rsidRDefault="00A47FF4" w:rsidP="004A3274">
      <w:pPr>
        <w:pStyle w:val="HeadingRed"/>
        <w:spacing w:before="0" w:after="0"/>
        <w:jc w:val="right"/>
        <w:rPr>
          <w:rFonts w:ascii="Times New Roman" w:hAnsi="Times New Roman"/>
          <w:color w:val="auto"/>
          <w:sz w:val="48"/>
          <w:szCs w:val="48"/>
        </w:rPr>
      </w:pPr>
      <w:r w:rsidRPr="00C234FF">
        <w:rPr>
          <w:rFonts w:ascii="Times New Roman" w:hAnsi="Times New Roman"/>
          <w:color w:val="auto"/>
          <w:sz w:val="48"/>
          <w:szCs w:val="48"/>
        </w:rPr>
        <w:t>Research Brief</w:t>
      </w:r>
      <w:r w:rsidR="005A2D38" w:rsidRPr="00C234FF">
        <w:rPr>
          <w:rFonts w:ascii="Times New Roman" w:hAnsi="Times New Roman"/>
          <w:color w:val="auto"/>
          <w:sz w:val="48"/>
          <w:szCs w:val="48"/>
        </w:rPr>
        <w:t xml:space="preserve"> </w:t>
      </w:r>
    </w:p>
    <w:p w:rsidR="004A3274" w:rsidRPr="00C234FF" w:rsidRDefault="000C5F44" w:rsidP="004A3274">
      <w:pPr>
        <w:pStyle w:val="HeadingRed"/>
        <w:spacing w:before="0" w:after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December</w:t>
      </w:r>
      <w:r w:rsidR="00E74B1E">
        <w:rPr>
          <w:rFonts w:ascii="Times New Roman" w:hAnsi="Times New Roman"/>
          <w:color w:val="auto"/>
        </w:rPr>
        <w:t xml:space="preserve"> 2014</w:t>
      </w:r>
    </w:p>
    <w:p w:rsidR="004A3274" w:rsidRPr="00C234FF" w:rsidRDefault="004A3274" w:rsidP="004A3274">
      <w:pPr>
        <w:pStyle w:val="HeadingRed"/>
        <w:spacing w:before="0" w:after="0"/>
        <w:jc w:val="right"/>
        <w:rPr>
          <w:rFonts w:ascii="Times New Roman" w:hAnsi="Times New Roman"/>
          <w:color w:val="auto"/>
        </w:rPr>
      </w:pPr>
    </w:p>
    <w:p w:rsidR="00D43AAA" w:rsidRPr="00C234FF" w:rsidRDefault="0088489A" w:rsidP="00D43AAA">
      <w:pPr>
        <w:pStyle w:val="HeadingRed"/>
        <w:spacing w:before="0" w:after="0"/>
        <w:jc w:val="center"/>
        <w:rPr>
          <w:rFonts w:ascii="Times New Roman" w:hAnsi="Times New Roman"/>
          <w:color w:val="auto"/>
          <w:sz w:val="18"/>
          <w:szCs w:val="18"/>
        </w:rPr>
      </w:pPr>
      <w:r w:rsidRPr="0088489A">
        <w:rPr>
          <w:rFonts w:ascii="Times New Roman" w:hAnsi="Times New Roman"/>
          <w:noProof/>
          <w:color w:val="auto"/>
          <w:sz w:val="48"/>
          <w:szCs w:val="48"/>
        </w:rPr>
        <w:pict>
          <v:line id="Straight Connector 4" o:spid="_x0000_s1026" alt="horizontal line" style="position:absolute;left:0;text-align:left;z-index:251664384;visibility:visible;mso-wrap-distance-top:-8e-5mm;mso-wrap-distance-bottom:-8e-5mm;mso-width-relative:margin" from="-5.4pt,5.3pt" to="476.2pt,5.3pt" strokecolor="#e71583">
            <o:lock v:ext="edit" shapetype="f"/>
          </v:line>
        </w:pict>
      </w:r>
    </w:p>
    <w:p w:rsidR="00A47FF4" w:rsidRPr="00DC07B8" w:rsidRDefault="000C5F44" w:rsidP="00B958A1">
      <w:pPr>
        <w:pStyle w:val="HeadingRed"/>
        <w:spacing w:before="0" w:after="0"/>
        <w:jc w:val="center"/>
        <w:rPr>
          <w:rFonts w:ascii="Times New Roman" w:hAnsi="Times New Roman"/>
          <w:color w:val="0F6FC6" w:themeColor="accent1"/>
          <w:sz w:val="40"/>
          <w:szCs w:val="48"/>
        </w:rPr>
      </w:pPr>
      <w:r w:rsidRPr="00DC07B8">
        <w:rPr>
          <w:rFonts w:ascii="Times New Roman" w:hAnsi="Times New Roman"/>
          <w:color w:val="0F6FC6" w:themeColor="accent1"/>
          <w:sz w:val="40"/>
          <w:szCs w:val="48"/>
        </w:rPr>
        <w:t>Summer Enhancement Grant Programs 2014</w:t>
      </w:r>
    </w:p>
    <w:p w:rsidR="00B958A1" w:rsidRPr="00DC07B8" w:rsidRDefault="00B958A1" w:rsidP="00B958A1">
      <w:pPr>
        <w:pStyle w:val="HeadingRed"/>
        <w:spacing w:before="0" w:after="0"/>
        <w:jc w:val="center"/>
        <w:rPr>
          <w:rFonts w:ascii="Times New Roman" w:hAnsi="Times New Roman"/>
          <w:color w:val="0F6FC6" w:themeColor="accent1"/>
          <w:sz w:val="24"/>
          <w:szCs w:val="24"/>
        </w:rPr>
      </w:pPr>
      <w:r w:rsidRPr="00DC07B8">
        <w:rPr>
          <w:rFonts w:ascii="Times New Roman" w:hAnsi="Times New Roman"/>
          <w:i/>
          <w:iCs/>
          <w:color w:val="0F6FC6" w:themeColor="accent1"/>
          <w:sz w:val="24"/>
          <w:szCs w:val="24"/>
        </w:rPr>
        <w:t xml:space="preserve">Prepared for: </w:t>
      </w:r>
    </w:p>
    <w:p w:rsidR="00B958A1" w:rsidRPr="00DC07B8" w:rsidRDefault="00B958A1" w:rsidP="00B958A1">
      <w:pPr>
        <w:pStyle w:val="HeadingRed"/>
        <w:spacing w:before="0" w:after="0"/>
        <w:jc w:val="center"/>
        <w:rPr>
          <w:rFonts w:ascii="Times New Roman" w:hAnsi="Times New Roman"/>
          <w:color w:val="0F6FC6" w:themeColor="accent1"/>
          <w:sz w:val="24"/>
          <w:szCs w:val="24"/>
        </w:rPr>
      </w:pPr>
      <w:r w:rsidRPr="00DC07B8">
        <w:rPr>
          <w:rFonts w:ascii="Times New Roman" w:hAnsi="Times New Roman"/>
          <w:color w:val="0F6FC6" w:themeColor="accent1"/>
          <w:sz w:val="24"/>
          <w:szCs w:val="24"/>
        </w:rPr>
        <w:t xml:space="preserve">The Massachusetts Department </w:t>
      </w:r>
    </w:p>
    <w:p w:rsidR="00B958A1" w:rsidRPr="00DC07B8" w:rsidRDefault="00B958A1" w:rsidP="00B958A1">
      <w:pPr>
        <w:pStyle w:val="HeadingRed"/>
        <w:spacing w:before="0" w:after="0"/>
        <w:jc w:val="center"/>
        <w:rPr>
          <w:rFonts w:ascii="Times New Roman" w:hAnsi="Times New Roman"/>
          <w:color w:val="0F6FC6" w:themeColor="accent1"/>
          <w:sz w:val="24"/>
          <w:szCs w:val="24"/>
        </w:rPr>
      </w:pPr>
      <w:r w:rsidRPr="00DC07B8">
        <w:rPr>
          <w:rFonts w:ascii="Times New Roman" w:hAnsi="Times New Roman"/>
          <w:color w:val="0F6FC6" w:themeColor="accent1"/>
          <w:sz w:val="24"/>
          <w:szCs w:val="24"/>
        </w:rPr>
        <w:t xml:space="preserve">of Elementary and Secondary Education </w:t>
      </w:r>
    </w:p>
    <w:p w:rsidR="00F97CC3" w:rsidRDefault="0088489A" w:rsidP="00F97CC3">
      <w:pPr>
        <w:pStyle w:val="HeadingRed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88489A">
        <w:rPr>
          <w:rFonts w:ascii="Times New Roman" w:hAnsi="Times New Roman"/>
          <w:noProof/>
          <w:color w:val="auto"/>
          <w:sz w:val="48"/>
          <w:szCs w:val="48"/>
        </w:rPr>
        <w:pict>
          <v:line id="Straight Connector 5" o:spid="_x0000_s1027" alt="horizontal line" style="position:absolute;z-index:251666432;visibility:visible;mso-wrap-distance-top:-8e-5mm;mso-wrap-distance-bottom:-8e-5mm;mso-width-relative:margin" from="-4.7pt,8.55pt" to="476.2pt,8.55pt" strokecolor="#e71583">
            <o:lock v:ext="edit" shapetype="f"/>
          </v:line>
        </w:pict>
      </w:r>
    </w:p>
    <w:p w:rsidR="00F97CC3" w:rsidRPr="00F97CC3" w:rsidRDefault="00F97CC3" w:rsidP="00F97CC3">
      <w:pPr>
        <w:pStyle w:val="HeadingRed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034683" w:rsidRPr="00F97CC3" w:rsidRDefault="002A6E0D" w:rsidP="003D4299">
      <w:pPr>
        <w:pStyle w:val="Heading1"/>
        <w:rPr>
          <w:rFonts w:cs="Times New Roman"/>
        </w:rPr>
      </w:pPr>
      <w:bookmarkStart w:id="0" w:name="_Toc407103937"/>
      <w:r w:rsidRPr="00F97CC3">
        <w:rPr>
          <w:rFonts w:cs="Times New Roman"/>
        </w:rPr>
        <w:t>Introduction</w:t>
      </w:r>
      <w:bookmarkEnd w:id="0"/>
      <w:r w:rsidRPr="00F97CC3">
        <w:rPr>
          <w:rFonts w:cs="Times New Roman"/>
        </w:rPr>
        <w:t xml:space="preserve"> </w:t>
      </w:r>
    </w:p>
    <w:p w:rsidR="00B958A1" w:rsidRPr="00F97CC3" w:rsidRDefault="00B958A1" w:rsidP="00B958A1">
      <w:pPr>
        <w:spacing w:line="240" w:lineRule="auto"/>
        <w:rPr>
          <w:rFonts w:eastAsia="Calibri"/>
          <w:color w:val="auto"/>
          <w:szCs w:val="24"/>
          <w:lang w:eastAsia="ja-JP"/>
        </w:rPr>
      </w:pPr>
      <w:r w:rsidRPr="00F97CC3">
        <w:rPr>
          <w:rFonts w:eastAsia="Calibri"/>
          <w:color w:val="auto"/>
          <w:szCs w:val="24"/>
          <w:lang w:eastAsia="ja-JP"/>
        </w:rPr>
        <w:t xml:space="preserve">During the summer of 2014, the Massachusetts Department of Elementary and Secondary Education 21st Century Community Learning Centers (ESE 21st CCLC) </w:t>
      </w:r>
      <w:r w:rsidR="002056F7" w:rsidRPr="000C4CB8">
        <w:rPr>
          <w:rFonts w:eastAsia="Calibri"/>
          <w:color w:val="auto"/>
          <w:szCs w:val="24"/>
          <w:lang w:eastAsia="ja-JP"/>
        </w:rPr>
        <w:t xml:space="preserve">Summer Enhancement </w:t>
      </w:r>
      <w:r w:rsidRPr="00F97CC3">
        <w:rPr>
          <w:rFonts w:eastAsia="Calibri"/>
          <w:color w:val="auto"/>
          <w:szCs w:val="24"/>
          <w:lang w:eastAsia="ja-JP"/>
        </w:rPr>
        <w:t>Grant Program funded 10 summer learning programs with a special emphasis on utilization of project-based learning approaches, outreach to diverse learners, and a blended academic and enrichment learning approach. Each of the selected sites had existing summer programs in place</w:t>
      </w:r>
      <w:r w:rsidR="003F7028">
        <w:rPr>
          <w:rFonts w:eastAsia="Calibri"/>
          <w:color w:val="auto"/>
          <w:szCs w:val="24"/>
          <w:lang w:eastAsia="ja-JP"/>
        </w:rPr>
        <w:t>,</w:t>
      </w:r>
      <w:r w:rsidRPr="00F97CC3">
        <w:rPr>
          <w:rFonts w:eastAsia="Calibri"/>
          <w:color w:val="auto"/>
          <w:szCs w:val="24"/>
          <w:lang w:eastAsia="ja-JP"/>
        </w:rPr>
        <w:t xml:space="preserve"> and three of </w:t>
      </w:r>
      <w:r w:rsidRPr="002056F7">
        <w:rPr>
          <w:rFonts w:eastAsia="Calibri"/>
          <w:color w:val="auto"/>
          <w:szCs w:val="24"/>
          <w:lang w:eastAsia="ja-JP"/>
        </w:rPr>
        <w:t xml:space="preserve">the </w:t>
      </w:r>
      <w:r w:rsidR="003F7028" w:rsidRPr="002056F7">
        <w:rPr>
          <w:rFonts w:eastAsia="Calibri"/>
          <w:color w:val="auto"/>
          <w:szCs w:val="24"/>
          <w:lang w:eastAsia="ja-JP"/>
        </w:rPr>
        <w:t>sites</w:t>
      </w:r>
      <w:r w:rsidR="003F7028" w:rsidRPr="00F97CC3">
        <w:rPr>
          <w:rFonts w:eastAsia="Calibri"/>
          <w:color w:val="auto"/>
          <w:szCs w:val="24"/>
          <w:lang w:eastAsia="ja-JP"/>
        </w:rPr>
        <w:t xml:space="preserve"> </w:t>
      </w:r>
      <w:r w:rsidRPr="00F97CC3">
        <w:rPr>
          <w:rFonts w:eastAsia="Calibri"/>
          <w:color w:val="auto"/>
          <w:szCs w:val="24"/>
          <w:lang w:eastAsia="ja-JP"/>
        </w:rPr>
        <w:t xml:space="preserve">(North Adams, Triton Regional, and Wareham school districts) had previously participated in the </w:t>
      </w:r>
      <w:r w:rsidRPr="002056F7">
        <w:rPr>
          <w:rFonts w:eastAsia="Calibri"/>
          <w:color w:val="auto"/>
          <w:szCs w:val="24"/>
          <w:lang w:eastAsia="ja-JP"/>
        </w:rPr>
        <w:t>Summer Enhancement Grant Pilot</w:t>
      </w:r>
      <w:r w:rsidRPr="00F97CC3">
        <w:rPr>
          <w:rFonts w:eastAsia="Calibri"/>
          <w:color w:val="auto"/>
          <w:szCs w:val="24"/>
          <w:lang w:eastAsia="ja-JP"/>
        </w:rPr>
        <w:t xml:space="preserve">. One of the key purposes of the </w:t>
      </w:r>
      <w:r w:rsidR="002056F7" w:rsidRPr="000C4CB8">
        <w:rPr>
          <w:rFonts w:eastAsia="Calibri"/>
          <w:color w:val="auto"/>
          <w:szCs w:val="24"/>
          <w:lang w:eastAsia="ja-JP"/>
        </w:rPr>
        <w:t>Summer Enhancement Grant Program</w:t>
      </w:r>
      <w:r w:rsidR="002056F7" w:rsidRPr="00F97CC3">
        <w:rPr>
          <w:rFonts w:eastAsia="Calibri"/>
          <w:color w:val="auto"/>
          <w:szCs w:val="24"/>
          <w:lang w:eastAsia="ja-JP"/>
        </w:rPr>
        <w:t xml:space="preserve"> </w:t>
      </w:r>
      <w:r w:rsidR="00424CF6" w:rsidRPr="00F97CC3">
        <w:rPr>
          <w:rFonts w:eastAsia="Calibri"/>
          <w:color w:val="auto"/>
          <w:szCs w:val="24"/>
          <w:lang w:eastAsia="ja-JP"/>
        </w:rPr>
        <w:t xml:space="preserve">was to expand the </w:t>
      </w:r>
      <w:r w:rsidRPr="00F97CC3">
        <w:rPr>
          <w:rFonts w:eastAsia="Calibri"/>
          <w:color w:val="auto"/>
          <w:szCs w:val="24"/>
          <w:lang w:eastAsia="ja-JP"/>
        </w:rPr>
        <w:t>best practices identified through the pilot phase with a</w:t>
      </w:r>
      <w:r w:rsidR="003F7028">
        <w:rPr>
          <w:rFonts w:eastAsia="Calibri"/>
          <w:color w:val="auto"/>
          <w:szCs w:val="24"/>
          <w:lang w:eastAsia="ja-JP"/>
        </w:rPr>
        <w:t>n emphasis on implementing high-</w:t>
      </w:r>
      <w:r w:rsidRPr="00F97CC3">
        <w:rPr>
          <w:rFonts w:eastAsia="Calibri"/>
          <w:color w:val="auto"/>
          <w:szCs w:val="24"/>
          <w:lang w:eastAsia="ja-JP"/>
        </w:rPr>
        <w:t>quality</w:t>
      </w:r>
      <w:r w:rsidR="003F7028">
        <w:rPr>
          <w:rFonts w:eastAsia="Calibri"/>
          <w:color w:val="auto"/>
          <w:szCs w:val="24"/>
          <w:lang w:eastAsia="ja-JP"/>
        </w:rPr>
        <w:t>,</w:t>
      </w:r>
      <w:r w:rsidRPr="00F97CC3">
        <w:rPr>
          <w:rFonts w:eastAsia="Calibri"/>
          <w:color w:val="auto"/>
          <w:szCs w:val="24"/>
          <w:lang w:eastAsia="ja-JP"/>
        </w:rPr>
        <w:t xml:space="preserve"> academically enriching summer learning experiences that can help to mitigate summer learning loss. Program sites were selected through a rigorous </w:t>
      </w:r>
      <w:r w:rsidRPr="000C4CB8">
        <w:rPr>
          <w:rFonts w:eastAsia="Calibri"/>
          <w:color w:val="auto"/>
          <w:szCs w:val="24"/>
          <w:lang w:eastAsia="ja-JP"/>
        </w:rPr>
        <w:t>request</w:t>
      </w:r>
      <w:r w:rsidR="00A51350">
        <w:rPr>
          <w:rFonts w:eastAsia="Calibri"/>
          <w:color w:val="auto"/>
          <w:szCs w:val="24"/>
          <w:lang w:eastAsia="ja-JP"/>
        </w:rPr>
        <w:t>-</w:t>
      </w:r>
      <w:r w:rsidRPr="000C4CB8">
        <w:rPr>
          <w:rFonts w:eastAsia="Calibri"/>
          <w:color w:val="auto"/>
          <w:szCs w:val="24"/>
          <w:lang w:eastAsia="ja-JP"/>
        </w:rPr>
        <w:t>for</w:t>
      </w:r>
      <w:r w:rsidR="00A51350">
        <w:rPr>
          <w:rFonts w:eastAsia="Calibri"/>
          <w:color w:val="auto"/>
          <w:szCs w:val="24"/>
          <w:lang w:eastAsia="ja-JP"/>
        </w:rPr>
        <w:t>-</w:t>
      </w:r>
      <w:r w:rsidRPr="000C4CB8">
        <w:rPr>
          <w:rFonts w:eastAsia="Calibri"/>
          <w:color w:val="auto"/>
          <w:szCs w:val="24"/>
          <w:lang w:eastAsia="ja-JP"/>
        </w:rPr>
        <w:t>proposal process</w:t>
      </w:r>
      <w:r w:rsidRPr="00F97CC3">
        <w:rPr>
          <w:rFonts w:eastAsia="Calibri"/>
          <w:color w:val="auto"/>
          <w:szCs w:val="24"/>
          <w:lang w:eastAsia="ja-JP"/>
        </w:rPr>
        <w:t>.</w:t>
      </w:r>
      <w:r w:rsidR="00895F0B" w:rsidRPr="00F97CC3">
        <w:rPr>
          <w:szCs w:val="24"/>
        </w:rPr>
        <w:t xml:space="preserve"> </w:t>
      </w:r>
      <w:r w:rsidR="00895F0B" w:rsidRPr="003E6833">
        <w:rPr>
          <w:color w:val="auto"/>
          <w:szCs w:val="24"/>
        </w:rPr>
        <w:t xml:space="preserve">Eight programs served elementary age youth and </w:t>
      </w:r>
      <w:r w:rsidR="003E6833" w:rsidRPr="003E6833">
        <w:rPr>
          <w:color w:val="auto"/>
          <w:szCs w:val="24"/>
        </w:rPr>
        <w:t>two</w:t>
      </w:r>
      <w:r w:rsidR="00895F0B" w:rsidRPr="003E6833">
        <w:rPr>
          <w:color w:val="auto"/>
          <w:szCs w:val="24"/>
        </w:rPr>
        <w:t xml:space="preserve"> programs served high school age youth.</w:t>
      </w:r>
      <w:r w:rsidR="00895F0B" w:rsidRPr="00F97CC3">
        <w:rPr>
          <w:szCs w:val="24"/>
        </w:rPr>
        <w:t xml:space="preserve">  </w:t>
      </w:r>
    </w:p>
    <w:p w:rsidR="00B958A1" w:rsidRPr="00F97CC3" w:rsidRDefault="00B958A1" w:rsidP="00B958A1">
      <w:pPr>
        <w:spacing w:line="240" w:lineRule="auto"/>
        <w:rPr>
          <w:rFonts w:eastAsia="Calibri"/>
          <w:color w:val="auto"/>
          <w:szCs w:val="24"/>
          <w:lang w:eastAsia="ja-JP"/>
        </w:rPr>
      </w:pPr>
    </w:p>
    <w:p w:rsidR="002068E4" w:rsidRPr="00F97CC3" w:rsidRDefault="00424CF6" w:rsidP="00B958A1">
      <w:pPr>
        <w:spacing w:line="240" w:lineRule="auto"/>
        <w:rPr>
          <w:rFonts w:eastAsia="Calibri"/>
          <w:color w:val="auto"/>
          <w:szCs w:val="24"/>
          <w:lang w:eastAsia="ja-JP"/>
        </w:rPr>
      </w:pPr>
      <w:r w:rsidRPr="00F97CC3">
        <w:rPr>
          <w:rFonts w:eastAsia="Calibri"/>
          <w:color w:val="auto"/>
          <w:szCs w:val="24"/>
          <w:lang w:eastAsia="ja-JP"/>
        </w:rPr>
        <w:t xml:space="preserve">The </w:t>
      </w:r>
      <w:r w:rsidR="003F7028">
        <w:rPr>
          <w:rFonts w:eastAsia="Calibri"/>
          <w:color w:val="auto"/>
          <w:szCs w:val="24"/>
          <w:lang w:eastAsia="ja-JP"/>
        </w:rPr>
        <w:t>10</w:t>
      </w:r>
      <w:r w:rsidRPr="00F97CC3">
        <w:rPr>
          <w:rFonts w:eastAsia="Calibri"/>
          <w:color w:val="auto"/>
          <w:szCs w:val="24"/>
          <w:lang w:eastAsia="ja-JP"/>
        </w:rPr>
        <w:t xml:space="preserve"> selected program sites </w:t>
      </w:r>
      <w:r w:rsidR="00B958A1" w:rsidRPr="00F97CC3">
        <w:rPr>
          <w:rFonts w:eastAsia="Calibri"/>
          <w:color w:val="auto"/>
          <w:szCs w:val="24"/>
          <w:lang w:eastAsia="ja-JP"/>
        </w:rPr>
        <w:t xml:space="preserve">served high proportions of </w:t>
      </w:r>
      <w:r w:rsidRPr="00662850">
        <w:rPr>
          <w:rFonts w:eastAsia="Calibri"/>
          <w:color w:val="auto"/>
          <w:szCs w:val="24"/>
          <w:lang w:eastAsia="ja-JP"/>
        </w:rPr>
        <w:t>low-performing students</w:t>
      </w:r>
      <w:r w:rsidR="00662850">
        <w:rPr>
          <w:rFonts w:eastAsia="Calibri"/>
          <w:color w:val="auto"/>
          <w:szCs w:val="24"/>
          <w:lang w:eastAsia="ja-JP"/>
        </w:rPr>
        <w:t xml:space="preserve"> from low-income families</w:t>
      </w:r>
      <w:r w:rsidRPr="00F97CC3">
        <w:rPr>
          <w:rFonts w:eastAsia="Calibri"/>
          <w:color w:val="auto"/>
          <w:szCs w:val="24"/>
          <w:lang w:eastAsia="ja-JP"/>
        </w:rPr>
        <w:t>, coalesced</w:t>
      </w:r>
      <w:r w:rsidR="00B958A1" w:rsidRPr="00F97CC3">
        <w:rPr>
          <w:rFonts w:eastAsia="Calibri"/>
          <w:color w:val="auto"/>
          <w:szCs w:val="24"/>
          <w:lang w:eastAsia="ja-JP"/>
        </w:rPr>
        <w:t xml:space="preserve"> around a variety of </w:t>
      </w:r>
      <w:r w:rsidRPr="00F97CC3">
        <w:rPr>
          <w:rFonts w:eastAsia="Calibri"/>
          <w:color w:val="auto"/>
          <w:szCs w:val="24"/>
          <w:lang w:eastAsia="ja-JP"/>
        </w:rPr>
        <w:t xml:space="preserve">curricular </w:t>
      </w:r>
      <w:r w:rsidR="00B958A1" w:rsidRPr="00F97CC3">
        <w:rPr>
          <w:rFonts w:eastAsia="Calibri"/>
          <w:color w:val="auto"/>
          <w:szCs w:val="24"/>
          <w:lang w:eastAsia="ja-JP"/>
        </w:rPr>
        <w:t xml:space="preserve">themes, </w:t>
      </w:r>
      <w:r w:rsidR="00866E0C" w:rsidRPr="00F97CC3">
        <w:rPr>
          <w:rFonts w:eastAsia="Calibri"/>
          <w:color w:val="auto"/>
          <w:szCs w:val="24"/>
          <w:lang w:eastAsia="ja-JP"/>
        </w:rPr>
        <w:t xml:space="preserve">and </w:t>
      </w:r>
      <w:r w:rsidRPr="00F97CC3">
        <w:rPr>
          <w:rFonts w:eastAsia="Calibri"/>
          <w:color w:val="auto"/>
          <w:szCs w:val="24"/>
          <w:lang w:eastAsia="ja-JP"/>
        </w:rPr>
        <w:t>engaged in multiple partnerships with local community educati</w:t>
      </w:r>
      <w:r w:rsidR="00866E0C" w:rsidRPr="00F97CC3">
        <w:rPr>
          <w:rFonts w:eastAsia="Calibri"/>
          <w:color w:val="auto"/>
          <w:szCs w:val="24"/>
          <w:lang w:eastAsia="ja-JP"/>
        </w:rPr>
        <w:t>onal and cultural organizations</w:t>
      </w:r>
      <w:r w:rsidR="001E5596">
        <w:rPr>
          <w:rFonts w:eastAsia="Calibri"/>
          <w:color w:val="auto"/>
          <w:szCs w:val="24"/>
          <w:lang w:eastAsia="ja-JP"/>
        </w:rPr>
        <w:t xml:space="preserve">. </w:t>
      </w:r>
      <w:r w:rsidR="00866E0C" w:rsidRPr="00F97CC3">
        <w:rPr>
          <w:rFonts w:eastAsia="Calibri"/>
          <w:color w:val="auto"/>
          <w:szCs w:val="24"/>
          <w:lang w:eastAsia="ja-JP"/>
        </w:rPr>
        <w:t>Program content</w:t>
      </w:r>
      <w:r w:rsidR="005D7D82">
        <w:rPr>
          <w:rFonts w:eastAsia="Calibri"/>
          <w:color w:val="auto"/>
          <w:szCs w:val="24"/>
          <w:lang w:eastAsia="ja-JP"/>
        </w:rPr>
        <w:t xml:space="preserve">, presented </w:t>
      </w:r>
      <w:r w:rsidR="005D7D82" w:rsidRPr="00F97CC3">
        <w:rPr>
          <w:rFonts w:eastAsia="Calibri"/>
          <w:color w:val="auto"/>
          <w:szCs w:val="24"/>
          <w:lang w:eastAsia="ja-JP"/>
        </w:rPr>
        <w:t>in the context of a blended academic and enrichment learning experience</w:t>
      </w:r>
      <w:r w:rsidR="005D7D82">
        <w:rPr>
          <w:rFonts w:eastAsia="Calibri"/>
          <w:color w:val="auto"/>
          <w:szCs w:val="24"/>
          <w:lang w:eastAsia="ja-JP"/>
        </w:rPr>
        <w:t>,</w:t>
      </w:r>
      <w:r w:rsidRPr="00F97CC3">
        <w:rPr>
          <w:rFonts w:eastAsia="Calibri"/>
          <w:color w:val="auto"/>
          <w:szCs w:val="24"/>
          <w:lang w:eastAsia="ja-JP"/>
        </w:rPr>
        <w:t xml:space="preserve"> </w:t>
      </w:r>
      <w:r w:rsidR="00B958A1" w:rsidRPr="00F97CC3">
        <w:rPr>
          <w:rFonts w:eastAsia="Calibri"/>
          <w:color w:val="auto"/>
          <w:szCs w:val="24"/>
          <w:lang w:eastAsia="ja-JP"/>
        </w:rPr>
        <w:t>generally focused on reinforcing the academic skills learned during the scho</w:t>
      </w:r>
      <w:r w:rsidR="005D7D82">
        <w:rPr>
          <w:rFonts w:eastAsia="Calibri"/>
          <w:color w:val="auto"/>
          <w:szCs w:val="24"/>
          <w:lang w:eastAsia="ja-JP"/>
        </w:rPr>
        <w:t>ol year</w:t>
      </w:r>
      <w:r w:rsidR="00B958A1" w:rsidRPr="00F97CC3">
        <w:rPr>
          <w:rFonts w:eastAsia="Calibri"/>
          <w:color w:val="auto"/>
          <w:szCs w:val="24"/>
          <w:lang w:eastAsia="ja-JP"/>
        </w:rPr>
        <w:t xml:space="preserve"> and helping prepare students to succeed in the </w:t>
      </w:r>
      <w:r w:rsidR="00B958A1" w:rsidRPr="002056F7">
        <w:rPr>
          <w:rFonts w:eastAsia="Calibri"/>
          <w:color w:val="auto"/>
          <w:szCs w:val="24"/>
          <w:lang w:eastAsia="ja-JP"/>
        </w:rPr>
        <w:t>upcoming school year</w:t>
      </w:r>
      <w:r w:rsidR="00B958A1" w:rsidRPr="00F97CC3">
        <w:rPr>
          <w:rFonts w:eastAsia="Calibri"/>
          <w:color w:val="auto"/>
          <w:szCs w:val="24"/>
          <w:lang w:eastAsia="ja-JP"/>
        </w:rPr>
        <w:t xml:space="preserve">. </w:t>
      </w:r>
      <w:r w:rsidR="00986DCD" w:rsidRPr="00F97CC3">
        <w:rPr>
          <w:rFonts w:eastAsia="Calibri"/>
          <w:color w:val="auto"/>
          <w:szCs w:val="24"/>
          <w:lang w:eastAsia="ja-JP"/>
        </w:rPr>
        <w:t>A profile of participating program</w:t>
      </w:r>
      <w:r w:rsidR="005D7D82">
        <w:rPr>
          <w:rFonts w:eastAsia="Calibri"/>
          <w:color w:val="auto"/>
          <w:szCs w:val="24"/>
          <w:lang w:eastAsia="ja-JP"/>
        </w:rPr>
        <w:t xml:space="preserve"> </w:t>
      </w:r>
      <w:r w:rsidR="00986DCD" w:rsidRPr="00F97CC3">
        <w:rPr>
          <w:rFonts w:eastAsia="Calibri"/>
          <w:color w:val="auto"/>
          <w:szCs w:val="24"/>
          <w:lang w:eastAsia="ja-JP"/>
        </w:rPr>
        <w:t>s</w:t>
      </w:r>
      <w:r w:rsidR="005D7D82">
        <w:rPr>
          <w:rFonts w:eastAsia="Calibri"/>
          <w:color w:val="auto"/>
          <w:szCs w:val="24"/>
          <w:lang w:eastAsia="ja-JP"/>
        </w:rPr>
        <w:t>ites</w:t>
      </w:r>
      <w:r w:rsidR="00986DCD" w:rsidRPr="00F97CC3">
        <w:rPr>
          <w:rFonts w:eastAsia="Calibri"/>
          <w:color w:val="auto"/>
          <w:szCs w:val="24"/>
          <w:lang w:eastAsia="ja-JP"/>
        </w:rPr>
        <w:t xml:space="preserve"> is in Table 1. </w:t>
      </w:r>
      <w:r w:rsidR="00B958A1" w:rsidRPr="00F97CC3">
        <w:rPr>
          <w:rFonts w:eastAsia="Calibri"/>
          <w:color w:val="auto"/>
          <w:szCs w:val="24"/>
          <w:lang w:eastAsia="ja-JP"/>
        </w:rPr>
        <w:t xml:space="preserve">This </w:t>
      </w:r>
      <w:r w:rsidR="00866E0C" w:rsidRPr="00F97CC3">
        <w:rPr>
          <w:rFonts w:eastAsia="Calibri"/>
          <w:color w:val="auto"/>
          <w:szCs w:val="24"/>
          <w:lang w:eastAsia="ja-JP"/>
        </w:rPr>
        <w:t>Brief</w:t>
      </w:r>
      <w:r w:rsidR="00B958A1" w:rsidRPr="00F97CC3">
        <w:rPr>
          <w:rFonts w:eastAsia="Calibri"/>
          <w:color w:val="auto"/>
          <w:szCs w:val="24"/>
          <w:lang w:eastAsia="ja-JP"/>
        </w:rPr>
        <w:t xml:space="preserve"> presents findings from </w:t>
      </w:r>
      <w:r w:rsidR="00866E0C" w:rsidRPr="00F97CC3">
        <w:rPr>
          <w:rFonts w:eastAsia="Calibri"/>
          <w:color w:val="auto"/>
          <w:szCs w:val="24"/>
          <w:lang w:eastAsia="ja-JP"/>
        </w:rPr>
        <w:t>research activities</w:t>
      </w:r>
      <w:r w:rsidR="00B958A1" w:rsidRPr="00F97CC3">
        <w:rPr>
          <w:rFonts w:eastAsia="Calibri"/>
          <w:color w:val="auto"/>
          <w:szCs w:val="24"/>
          <w:lang w:eastAsia="ja-JP"/>
        </w:rPr>
        <w:t xml:space="preserve"> conducted by the National Institute on Out-of-School Time (NIOST) at </w:t>
      </w:r>
      <w:r w:rsidR="00986DCD" w:rsidRPr="00F97CC3">
        <w:rPr>
          <w:rFonts w:eastAsia="Calibri"/>
          <w:color w:val="auto"/>
          <w:szCs w:val="24"/>
          <w:lang w:eastAsia="ja-JP"/>
        </w:rPr>
        <w:t xml:space="preserve">Wellesley Centers for Women at </w:t>
      </w:r>
      <w:r w:rsidR="00B958A1" w:rsidRPr="00F97CC3">
        <w:rPr>
          <w:rFonts w:eastAsia="Calibri"/>
          <w:color w:val="auto"/>
          <w:szCs w:val="24"/>
          <w:lang w:eastAsia="ja-JP"/>
        </w:rPr>
        <w:t>Wellesley College</w:t>
      </w:r>
      <w:r w:rsidR="005D7D82">
        <w:rPr>
          <w:rFonts w:eastAsia="Calibri"/>
          <w:color w:val="auto"/>
          <w:szCs w:val="24"/>
          <w:lang w:eastAsia="ja-JP"/>
        </w:rPr>
        <w:t>.</w:t>
      </w:r>
    </w:p>
    <w:p w:rsidR="00895F0B" w:rsidRPr="00F97CC3" w:rsidRDefault="00895F0B" w:rsidP="00A01B9F">
      <w:pPr>
        <w:spacing w:line="240" w:lineRule="auto"/>
        <w:rPr>
          <w:b/>
          <w:bCs/>
          <w:color w:val="009DD9" w:themeColor="accent2"/>
          <w:sz w:val="28"/>
          <w:szCs w:val="28"/>
        </w:rPr>
      </w:pPr>
    </w:p>
    <w:p w:rsidR="00986DCD" w:rsidRPr="00F97CC3" w:rsidRDefault="00986DCD" w:rsidP="00986DCD">
      <w:pPr>
        <w:spacing w:line="240" w:lineRule="auto"/>
        <w:rPr>
          <w:color w:val="auto"/>
          <w:szCs w:val="24"/>
        </w:rPr>
      </w:pPr>
      <w:r w:rsidRPr="00F97CC3">
        <w:rPr>
          <w:color w:val="auto"/>
          <w:szCs w:val="24"/>
        </w:rPr>
        <w:t>The Wellesley Centers for Women, of which NIOST is a part, is one of the largest research-and-action organizations in the world. For over 35 years, NIOST has successfully brought national attention to the importance of children and youth during the out-of-school time hours</w:t>
      </w:r>
      <w:r w:rsidR="001E5596">
        <w:rPr>
          <w:color w:val="auto"/>
          <w:szCs w:val="24"/>
        </w:rPr>
        <w:t xml:space="preserve">. </w:t>
      </w:r>
      <w:r w:rsidR="005D7D82">
        <w:rPr>
          <w:color w:val="auto"/>
          <w:szCs w:val="24"/>
        </w:rPr>
        <w:t>NIOST provides leadership</w:t>
      </w:r>
      <w:r w:rsidRPr="00F97CC3">
        <w:rPr>
          <w:color w:val="auto"/>
          <w:szCs w:val="24"/>
        </w:rPr>
        <w:t xml:space="preserve"> in many areas of out-of-school time system building, policy development, program research and evaluation, increased standards, professional development, and program quality improvement. </w:t>
      </w:r>
    </w:p>
    <w:p w:rsidR="00986DCD" w:rsidRPr="00F97CC3" w:rsidRDefault="00986DCD" w:rsidP="00986DCD">
      <w:pPr>
        <w:spacing w:line="240" w:lineRule="auto"/>
        <w:rPr>
          <w:color w:val="auto"/>
          <w:szCs w:val="24"/>
        </w:rPr>
      </w:pPr>
    </w:p>
    <w:p w:rsidR="002C013D" w:rsidRPr="00F97CC3" w:rsidRDefault="002C013D" w:rsidP="005808F8">
      <w:pPr>
        <w:rPr>
          <w:szCs w:val="24"/>
        </w:rPr>
      </w:pPr>
    </w:p>
    <w:p w:rsidR="00FB2542" w:rsidRPr="00F97CC3" w:rsidRDefault="00FB2542" w:rsidP="005808F8">
      <w:pPr>
        <w:rPr>
          <w:b/>
          <w:szCs w:val="24"/>
        </w:rPr>
        <w:sectPr w:rsidR="00FB2542" w:rsidRPr="00F97CC3" w:rsidSect="00CF6CD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2240" w:h="15840" w:code="1"/>
          <w:pgMar w:top="965" w:right="1440" w:bottom="1080" w:left="1440" w:header="274" w:footer="432" w:gutter="0"/>
          <w:cols w:space="720"/>
          <w:docGrid w:linePitch="272"/>
        </w:sectPr>
      </w:pPr>
    </w:p>
    <w:p w:rsidR="005808F8" w:rsidRPr="00A51350" w:rsidRDefault="005808F8" w:rsidP="00A51350">
      <w:pPr>
        <w:rPr>
          <w:b/>
          <w:sz w:val="22"/>
          <w:szCs w:val="22"/>
        </w:rPr>
      </w:pPr>
      <w:r w:rsidRPr="00A51350">
        <w:rPr>
          <w:b/>
          <w:sz w:val="22"/>
          <w:szCs w:val="22"/>
        </w:rPr>
        <w:lastRenderedPageBreak/>
        <w:t>Table 1. Profile of Summer Enhancement Program</w:t>
      </w:r>
      <w:r w:rsidR="005D7D82" w:rsidRPr="00A51350">
        <w:rPr>
          <w:b/>
          <w:sz w:val="22"/>
          <w:szCs w:val="22"/>
        </w:rPr>
        <w:t xml:space="preserve"> Site</w:t>
      </w:r>
      <w:r w:rsidRPr="00A51350">
        <w:rPr>
          <w:b/>
          <w:sz w:val="22"/>
          <w:szCs w:val="22"/>
        </w:rPr>
        <w:t>s</w:t>
      </w:r>
    </w:p>
    <w:tbl>
      <w:tblPr>
        <w:tblStyle w:val="TableGrid1"/>
        <w:tblW w:w="13968" w:type="dxa"/>
        <w:tblLayout w:type="fixed"/>
        <w:tblLook w:val="04A0"/>
      </w:tblPr>
      <w:tblGrid>
        <w:gridCol w:w="1458"/>
        <w:gridCol w:w="1350"/>
        <w:gridCol w:w="1260"/>
        <w:gridCol w:w="1440"/>
        <w:gridCol w:w="1350"/>
        <w:gridCol w:w="1170"/>
        <w:gridCol w:w="1080"/>
        <w:gridCol w:w="1170"/>
        <w:gridCol w:w="1170"/>
        <w:gridCol w:w="1350"/>
        <w:gridCol w:w="1170"/>
      </w:tblGrid>
      <w:tr w:rsidR="00755F1D" w:rsidRPr="00F97CC3" w:rsidTr="00A51350">
        <w:tc>
          <w:tcPr>
            <w:tcW w:w="1458" w:type="dxa"/>
            <w:tcBorders>
              <w:bottom w:val="single" w:sz="4" w:space="0" w:color="auto"/>
            </w:tcBorders>
            <w:hideMark/>
          </w:tcPr>
          <w:p w:rsidR="00755F1D" w:rsidRPr="00117C99" w:rsidRDefault="005D7D82" w:rsidP="00B70BC6">
            <w:pPr>
              <w:spacing w:line="240" w:lineRule="auto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Program Site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55F1D" w:rsidRPr="00117C99" w:rsidRDefault="00755F1D" w:rsidP="00B70BC6">
            <w:pPr>
              <w:spacing w:line="240" w:lineRule="auto"/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Boston</w:t>
            </w:r>
          </w:p>
          <w:p w:rsidR="00755F1D" w:rsidRPr="00117C99" w:rsidRDefault="00755F1D" w:rsidP="00B70BC6">
            <w:pPr>
              <w:spacing w:line="240" w:lineRule="auto"/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English High School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55F1D" w:rsidRPr="00117C99" w:rsidRDefault="00755F1D" w:rsidP="00B70BC6">
            <w:pPr>
              <w:spacing w:line="240" w:lineRule="auto"/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Fitchburg</w:t>
            </w:r>
          </w:p>
          <w:p w:rsidR="00755F1D" w:rsidRPr="00117C99" w:rsidRDefault="00755F1D" w:rsidP="00B70BC6">
            <w:pPr>
              <w:spacing w:line="240" w:lineRule="auto"/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High School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55F1D" w:rsidRPr="00117C99" w:rsidRDefault="00755F1D" w:rsidP="00B70BC6">
            <w:pPr>
              <w:spacing w:line="240" w:lineRule="auto"/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Lowell</w:t>
            </w:r>
          </w:p>
          <w:p w:rsidR="00755F1D" w:rsidRPr="00117C99" w:rsidRDefault="00755F1D" w:rsidP="00B70BC6">
            <w:pPr>
              <w:spacing w:line="240" w:lineRule="auto"/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Shaughnessy Elem. School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55F1D" w:rsidRPr="00117C99" w:rsidRDefault="00755F1D" w:rsidP="00B70BC6">
            <w:pPr>
              <w:spacing w:line="240" w:lineRule="auto"/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New Bedford</w:t>
            </w:r>
          </w:p>
          <w:p w:rsidR="00755F1D" w:rsidRPr="00117C99" w:rsidRDefault="00755F1D" w:rsidP="00B70BC6">
            <w:pPr>
              <w:spacing w:line="240" w:lineRule="auto"/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Lincoln Elem. School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55F1D" w:rsidRPr="00117C99" w:rsidRDefault="00755F1D" w:rsidP="00B70BC6">
            <w:pPr>
              <w:spacing w:line="240" w:lineRule="auto"/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North Adams</w:t>
            </w:r>
          </w:p>
          <w:p w:rsidR="00755F1D" w:rsidRPr="00117C99" w:rsidRDefault="00755F1D" w:rsidP="00B70BC6">
            <w:pPr>
              <w:spacing w:line="240" w:lineRule="auto"/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Brayton K</w:t>
            </w:r>
            <w:r w:rsidR="00117C99" w:rsidRPr="00117C99">
              <w:rPr>
                <w:rFonts w:eastAsia="Calibri"/>
                <w:b/>
                <w:color w:val="auto"/>
                <w:szCs w:val="22"/>
              </w:rPr>
              <w:t>–</w:t>
            </w:r>
            <w:r w:rsidRPr="00117C99">
              <w:rPr>
                <w:rFonts w:eastAsia="Calibri"/>
                <w:b/>
                <w:color w:val="auto"/>
                <w:szCs w:val="22"/>
              </w:rPr>
              <w:t>7 School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5F1D" w:rsidRPr="00117C99" w:rsidRDefault="00755F1D" w:rsidP="00B70BC6">
            <w:pPr>
              <w:spacing w:line="240" w:lineRule="auto"/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Pittsfield</w:t>
            </w:r>
          </w:p>
          <w:p w:rsidR="00755F1D" w:rsidRPr="00117C99" w:rsidRDefault="00755F1D" w:rsidP="00B70BC6">
            <w:pPr>
              <w:spacing w:line="240" w:lineRule="auto"/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Reid M</w:t>
            </w:r>
            <w:r w:rsidR="00117C99" w:rsidRPr="00117C99">
              <w:rPr>
                <w:rFonts w:eastAsia="Calibri"/>
                <w:b/>
                <w:color w:val="auto"/>
                <w:szCs w:val="22"/>
              </w:rPr>
              <w:t xml:space="preserve">iddle </w:t>
            </w:r>
            <w:r w:rsidRPr="00117C99">
              <w:rPr>
                <w:rFonts w:eastAsia="Calibri"/>
                <w:b/>
                <w:color w:val="auto"/>
                <w:szCs w:val="22"/>
              </w:rPr>
              <w:t>S</w:t>
            </w:r>
            <w:r w:rsidR="00117C99" w:rsidRPr="00117C99">
              <w:rPr>
                <w:rFonts w:eastAsia="Calibri"/>
                <w:b/>
                <w:color w:val="auto"/>
                <w:szCs w:val="22"/>
              </w:rPr>
              <w:t>chool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55F1D" w:rsidRPr="00117C99" w:rsidRDefault="00755F1D" w:rsidP="00B70BC6">
            <w:pPr>
              <w:spacing w:line="240" w:lineRule="auto"/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Triton</w:t>
            </w:r>
          </w:p>
          <w:p w:rsidR="00755F1D" w:rsidRPr="00117C99" w:rsidRDefault="00755F1D" w:rsidP="00B70BC6">
            <w:pPr>
              <w:spacing w:line="240" w:lineRule="auto"/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Salisbury Elem. School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55F1D" w:rsidRPr="00117C99" w:rsidRDefault="00755F1D" w:rsidP="00B70BC6">
            <w:pPr>
              <w:spacing w:line="240" w:lineRule="auto"/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Wareham</w:t>
            </w:r>
          </w:p>
          <w:p w:rsidR="00755F1D" w:rsidRPr="00117C99" w:rsidRDefault="00755F1D" w:rsidP="00B70BC6">
            <w:pPr>
              <w:spacing w:line="240" w:lineRule="auto"/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Middle School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55F1D" w:rsidRPr="00117C99" w:rsidRDefault="00755F1D" w:rsidP="00B70BC6">
            <w:pPr>
              <w:spacing w:line="240" w:lineRule="auto"/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West Springfield</w:t>
            </w:r>
          </w:p>
          <w:p w:rsidR="00755F1D" w:rsidRPr="00117C99" w:rsidRDefault="00755F1D" w:rsidP="00B70BC6">
            <w:pPr>
              <w:spacing w:line="240" w:lineRule="auto"/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Coburn Elem. School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55F1D" w:rsidRPr="00117C99" w:rsidRDefault="00755F1D" w:rsidP="00B70BC6">
            <w:pPr>
              <w:spacing w:line="240" w:lineRule="auto"/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Whitman</w:t>
            </w:r>
          </w:p>
          <w:p w:rsidR="00755F1D" w:rsidRPr="00117C99" w:rsidRDefault="00755F1D" w:rsidP="00B70BC6">
            <w:pPr>
              <w:spacing w:line="240" w:lineRule="auto"/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117C99">
              <w:rPr>
                <w:rFonts w:eastAsia="Calibri"/>
                <w:b/>
                <w:color w:val="auto"/>
                <w:szCs w:val="22"/>
              </w:rPr>
              <w:t>Hanson Reg. High School</w:t>
            </w:r>
          </w:p>
        </w:tc>
      </w:tr>
      <w:tr w:rsidR="002C013D" w:rsidRPr="00F97CC3" w:rsidTr="00A513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8" w:rsidRPr="002056F7" w:rsidRDefault="005808F8" w:rsidP="00755F1D">
            <w:pPr>
              <w:spacing w:line="240" w:lineRule="auto"/>
              <w:rPr>
                <w:rFonts w:eastAsia="Calibri"/>
                <w:color w:val="auto"/>
                <w:szCs w:val="22"/>
              </w:rPr>
            </w:pPr>
            <w:r w:rsidRPr="002056F7">
              <w:rPr>
                <w:rFonts w:eastAsia="Calibri"/>
                <w:color w:val="auto"/>
                <w:szCs w:val="22"/>
              </w:rPr>
              <w:t>Youth Served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45</w:t>
            </w:r>
          </w:p>
        </w:tc>
      </w:tr>
      <w:tr w:rsidR="002C013D" w:rsidRPr="00F97CC3" w:rsidTr="00A513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8" w:rsidRPr="002056F7" w:rsidRDefault="005808F8" w:rsidP="00755F1D">
            <w:pPr>
              <w:spacing w:line="240" w:lineRule="auto"/>
              <w:rPr>
                <w:rFonts w:eastAsia="Calibri"/>
                <w:color w:val="auto"/>
                <w:szCs w:val="22"/>
              </w:rPr>
            </w:pPr>
            <w:r w:rsidRPr="002056F7">
              <w:rPr>
                <w:rFonts w:eastAsia="Calibri"/>
                <w:color w:val="auto"/>
                <w:szCs w:val="22"/>
              </w:rPr>
              <w:t>Grade</w:t>
            </w:r>
            <w:r w:rsidR="002C013D" w:rsidRPr="002056F7">
              <w:rPr>
                <w:rFonts w:eastAsia="Calibri"/>
                <w:color w:val="auto"/>
                <w:szCs w:val="22"/>
              </w:rPr>
              <w:t>s Served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117C99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6</w:t>
            </w:r>
            <w:r w:rsidR="00117C99">
              <w:rPr>
                <w:rFonts w:eastAsia="Calibri"/>
                <w:color w:val="auto"/>
                <w:szCs w:val="22"/>
              </w:rPr>
              <w:t>–</w:t>
            </w:r>
            <w:r w:rsidRPr="00F97CC3">
              <w:rPr>
                <w:rFonts w:eastAsia="Calibri"/>
                <w:color w:val="auto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117C99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K</w:t>
            </w:r>
            <w:r w:rsidR="00117C99">
              <w:rPr>
                <w:rFonts w:eastAsia="Calibri"/>
                <w:color w:val="auto"/>
                <w:szCs w:val="22"/>
              </w:rPr>
              <w:t>–</w:t>
            </w:r>
            <w:r w:rsidRPr="00F97CC3">
              <w:rPr>
                <w:rFonts w:eastAsia="Calibri"/>
                <w:color w:val="auto"/>
                <w:szCs w:val="22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117C99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1</w:t>
            </w:r>
            <w:r w:rsidR="00117C99">
              <w:rPr>
                <w:rFonts w:eastAsia="Calibri"/>
                <w:color w:val="auto"/>
                <w:szCs w:val="22"/>
              </w:rPr>
              <w:t>–</w:t>
            </w:r>
            <w:r w:rsidRPr="00F97CC3">
              <w:rPr>
                <w:rFonts w:eastAsia="Calibri"/>
                <w:color w:val="auto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3</w:t>
            </w:r>
            <w:r w:rsidR="00117C99">
              <w:rPr>
                <w:rFonts w:eastAsia="Calibri"/>
                <w:color w:val="auto"/>
                <w:szCs w:val="22"/>
              </w:rPr>
              <w:t>–</w:t>
            </w:r>
            <w:r w:rsidRPr="00F97CC3">
              <w:rPr>
                <w:rFonts w:eastAsia="Calibri"/>
                <w:color w:val="auto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8</w:t>
            </w:r>
            <w:r w:rsidR="00117C99">
              <w:rPr>
                <w:rFonts w:eastAsia="Calibri"/>
                <w:color w:val="auto"/>
                <w:szCs w:val="22"/>
              </w:rPr>
              <w:t>–</w:t>
            </w:r>
            <w:r w:rsidRPr="00F97CC3">
              <w:rPr>
                <w:rFonts w:eastAsia="Calibri"/>
                <w:color w:val="auto"/>
                <w:szCs w:val="22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K</w:t>
            </w:r>
            <w:r w:rsidR="00117C99">
              <w:rPr>
                <w:rFonts w:eastAsia="Calibri"/>
                <w:color w:val="auto"/>
                <w:szCs w:val="22"/>
              </w:rPr>
              <w:t>–</w:t>
            </w:r>
            <w:r w:rsidRPr="00F97CC3">
              <w:rPr>
                <w:rFonts w:eastAsia="Calibri"/>
                <w:color w:val="auto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8</w:t>
            </w:r>
            <w:r w:rsidR="00117C99">
              <w:rPr>
                <w:rFonts w:eastAsia="Calibri"/>
                <w:color w:val="auto"/>
                <w:szCs w:val="22"/>
              </w:rPr>
              <w:t>–</w:t>
            </w:r>
            <w:r w:rsidRPr="00F97CC3">
              <w:rPr>
                <w:rFonts w:eastAsia="Calibri"/>
                <w:color w:val="auto"/>
                <w:szCs w:val="22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K</w:t>
            </w:r>
            <w:r w:rsidR="00117C99">
              <w:rPr>
                <w:rFonts w:eastAsia="Calibri"/>
                <w:color w:val="auto"/>
                <w:szCs w:val="22"/>
              </w:rPr>
              <w:t>–</w:t>
            </w:r>
            <w:r w:rsidRPr="00F97CC3">
              <w:rPr>
                <w:rFonts w:eastAsia="Calibri"/>
                <w:color w:val="auto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9</w:t>
            </w:r>
          </w:p>
        </w:tc>
      </w:tr>
      <w:tr w:rsidR="002C013D" w:rsidRPr="00F97CC3" w:rsidTr="00A513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8" w:rsidRPr="002056F7" w:rsidRDefault="002C013D" w:rsidP="00755F1D">
            <w:pPr>
              <w:spacing w:line="240" w:lineRule="auto"/>
              <w:rPr>
                <w:rFonts w:eastAsia="Calibri"/>
                <w:color w:val="auto"/>
                <w:szCs w:val="22"/>
              </w:rPr>
            </w:pPr>
            <w:r w:rsidRPr="002056F7">
              <w:rPr>
                <w:rFonts w:eastAsia="Calibri"/>
                <w:color w:val="auto"/>
                <w:szCs w:val="22"/>
              </w:rPr>
              <w:t xml:space="preserve">Program </w:t>
            </w:r>
            <w:r w:rsidR="005808F8" w:rsidRPr="002056F7">
              <w:rPr>
                <w:rFonts w:eastAsia="Calibri"/>
                <w:color w:val="auto"/>
                <w:szCs w:val="22"/>
              </w:rPr>
              <w:t>Weeks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4.5</w:t>
            </w:r>
          </w:p>
        </w:tc>
      </w:tr>
      <w:tr w:rsidR="002C013D" w:rsidRPr="00F97CC3" w:rsidTr="00A513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8" w:rsidRPr="002056F7" w:rsidRDefault="005808F8" w:rsidP="00755F1D">
            <w:pPr>
              <w:spacing w:line="240" w:lineRule="auto"/>
              <w:rPr>
                <w:rFonts w:eastAsia="Calibri"/>
                <w:color w:val="auto"/>
                <w:szCs w:val="22"/>
              </w:rPr>
            </w:pPr>
            <w:r w:rsidRPr="002056F7">
              <w:rPr>
                <w:rFonts w:eastAsia="Calibri"/>
                <w:color w:val="auto"/>
                <w:szCs w:val="22"/>
              </w:rPr>
              <w:t>Hours</w:t>
            </w:r>
            <w:r w:rsidR="002C013D" w:rsidRPr="002056F7">
              <w:rPr>
                <w:rFonts w:eastAsia="Calibri"/>
                <w:color w:val="auto"/>
                <w:szCs w:val="22"/>
              </w:rPr>
              <w:t xml:space="preserve"> Offered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144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755F1D">
            <w:pPr>
              <w:spacing w:line="240" w:lineRule="auto"/>
              <w:jc w:val="center"/>
              <w:rPr>
                <w:rFonts w:eastAsia="Calibri"/>
                <w:color w:val="auto"/>
                <w:szCs w:val="22"/>
              </w:rPr>
            </w:pPr>
            <w:r w:rsidRPr="00F97CC3">
              <w:rPr>
                <w:rFonts w:eastAsia="Calibri"/>
                <w:color w:val="auto"/>
                <w:szCs w:val="22"/>
              </w:rPr>
              <w:t>152</w:t>
            </w:r>
          </w:p>
        </w:tc>
      </w:tr>
      <w:tr w:rsidR="002C013D" w:rsidRPr="00F97CC3" w:rsidTr="00A513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8" w:rsidRPr="002056F7" w:rsidRDefault="00CD7BD8" w:rsidP="00755F1D">
            <w:pPr>
              <w:spacing w:line="240" w:lineRule="auto"/>
              <w:rPr>
                <w:rFonts w:eastAsia="Calibri"/>
                <w:color w:val="auto"/>
                <w:szCs w:val="22"/>
              </w:rPr>
            </w:pPr>
            <w:r w:rsidRPr="002056F7">
              <w:rPr>
                <w:rFonts w:eastAsia="Calibri"/>
                <w:color w:val="auto"/>
                <w:szCs w:val="22"/>
              </w:rPr>
              <w:t>Academic</w:t>
            </w:r>
            <w:r w:rsidR="002C013D" w:rsidRPr="002056F7">
              <w:rPr>
                <w:rFonts w:eastAsia="Calibri"/>
                <w:color w:val="auto"/>
                <w:szCs w:val="22"/>
              </w:rPr>
              <w:t xml:space="preserve"> Emphasis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9" w:rsidRDefault="00DD2B3D" w:rsidP="00635C2F">
            <w:pPr>
              <w:jc w:val="center"/>
              <w:rPr>
                <w:rFonts w:eastAsia="Calibri"/>
              </w:rPr>
            </w:pPr>
            <w:r w:rsidRPr="00F97CC3">
              <w:rPr>
                <w:rFonts w:eastAsia="Calibri"/>
              </w:rPr>
              <w:t xml:space="preserve">ELA, </w:t>
            </w:r>
          </w:p>
          <w:p w:rsidR="005808F8" w:rsidRPr="00F97CC3" w:rsidRDefault="00DD2B3D" w:rsidP="00635C2F">
            <w:pPr>
              <w:jc w:val="center"/>
              <w:rPr>
                <w:rFonts w:eastAsia="Calibri"/>
              </w:rPr>
            </w:pPr>
            <w:r w:rsidRPr="00F97CC3">
              <w:rPr>
                <w:rFonts w:eastAsia="Calibri"/>
              </w:rPr>
              <w:t>Math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635C2F">
            <w:pPr>
              <w:jc w:val="center"/>
              <w:rPr>
                <w:rFonts w:eastAsia="Calibri"/>
              </w:rPr>
            </w:pPr>
            <w:r w:rsidRPr="00F97CC3">
              <w:rPr>
                <w:rFonts w:eastAsia="Calibri"/>
              </w:rPr>
              <w:t>STEAM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635C2F">
            <w:pPr>
              <w:jc w:val="center"/>
              <w:rPr>
                <w:rFonts w:eastAsia="Calibri"/>
              </w:rPr>
            </w:pPr>
            <w:r w:rsidRPr="00F97CC3">
              <w:rPr>
                <w:rFonts w:eastAsia="Calibri"/>
              </w:rPr>
              <w:t>ELA</w:t>
            </w:r>
            <w:r w:rsidR="002C013D" w:rsidRPr="00F97CC3">
              <w:rPr>
                <w:rFonts w:eastAsia="Calibri"/>
              </w:rPr>
              <w:t>,</w:t>
            </w:r>
            <w:r w:rsidR="00755F1D" w:rsidRPr="00F97CC3">
              <w:rPr>
                <w:rFonts w:eastAsia="Calibri"/>
              </w:rPr>
              <w:t xml:space="preserve"> </w:t>
            </w:r>
            <w:r w:rsidRPr="00F97CC3">
              <w:rPr>
                <w:rFonts w:eastAsia="Calibri"/>
              </w:rPr>
              <w:t>Science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635C2F" w:rsidP="00635C2F">
            <w:pPr>
              <w:jc w:val="center"/>
              <w:rPr>
                <w:rFonts w:eastAsia="Calibri"/>
              </w:rPr>
            </w:pPr>
            <w:r w:rsidRPr="00F97CC3">
              <w:rPr>
                <w:rFonts w:eastAsia="Calibri"/>
              </w:rPr>
              <w:t>Science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2C013D" w:rsidP="00635C2F">
            <w:pPr>
              <w:jc w:val="center"/>
              <w:rPr>
                <w:rFonts w:eastAsia="Calibri"/>
              </w:rPr>
            </w:pPr>
            <w:r w:rsidRPr="00F97CC3">
              <w:rPr>
                <w:rFonts w:eastAsia="Calibri"/>
              </w:rPr>
              <w:t>Reading,</w:t>
            </w:r>
            <w:r w:rsidR="00DD2B3D" w:rsidRPr="00F97CC3">
              <w:rPr>
                <w:rFonts w:eastAsia="Calibri"/>
              </w:rPr>
              <w:t xml:space="preserve"> </w:t>
            </w:r>
            <w:r w:rsidR="005808F8" w:rsidRPr="00F97CC3">
              <w:rPr>
                <w:rFonts w:eastAsia="Calibri"/>
              </w:rPr>
              <w:t>Math</w:t>
            </w:r>
            <w:r w:rsidRPr="00F97CC3">
              <w:rPr>
                <w:rFonts w:eastAsia="Calibri"/>
              </w:rPr>
              <w:t>,</w:t>
            </w:r>
            <w:r w:rsidR="00755F1D" w:rsidRPr="00F97CC3">
              <w:rPr>
                <w:rFonts w:eastAsia="Calibri"/>
              </w:rPr>
              <w:t xml:space="preserve"> S</w:t>
            </w:r>
            <w:r w:rsidR="005808F8" w:rsidRPr="00F97CC3">
              <w:rPr>
                <w:rFonts w:eastAsia="Calibri"/>
              </w:rPr>
              <w:t>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635C2F" w:rsidP="00635C2F">
            <w:pPr>
              <w:jc w:val="center"/>
              <w:rPr>
                <w:rFonts w:eastAsia="Calibri"/>
              </w:rPr>
            </w:pPr>
            <w:r w:rsidRPr="00F97CC3">
              <w:rPr>
                <w:rFonts w:eastAsia="Calibri"/>
              </w:rPr>
              <w:t>STEM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635C2F">
            <w:pPr>
              <w:jc w:val="center"/>
              <w:rPr>
                <w:rFonts w:eastAsia="Calibri"/>
              </w:rPr>
            </w:pPr>
            <w:r w:rsidRPr="00F97CC3">
              <w:rPr>
                <w:rFonts w:eastAsia="Calibri"/>
              </w:rPr>
              <w:t>Reading</w:t>
            </w:r>
            <w:r w:rsidR="002C013D" w:rsidRPr="00F97CC3">
              <w:rPr>
                <w:rFonts w:eastAsia="Calibri"/>
              </w:rPr>
              <w:t>,</w:t>
            </w:r>
            <w:r w:rsidRPr="00F97CC3">
              <w:rPr>
                <w:rFonts w:eastAsia="Calibri"/>
              </w:rPr>
              <w:t xml:space="preserve"> Math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635C2F">
            <w:pPr>
              <w:jc w:val="center"/>
              <w:rPr>
                <w:rFonts w:eastAsia="Calibri"/>
              </w:rPr>
            </w:pPr>
            <w:r w:rsidRPr="00F97CC3">
              <w:rPr>
                <w:rFonts w:eastAsia="Calibri"/>
              </w:rPr>
              <w:t>STEAM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9" w:rsidRDefault="002C013D" w:rsidP="00635C2F">
            <w:pPr>
              <w:jc w:val="center"/>
              <w:rPr>
                <w:rFonts w:eastAsia="Calibri"/>
              </w:rPr>
            </w:pPr>
            <w:r w:rsidRPr="00F97CC3">
              <w:rPr>
                <w:rFonts w:eastAsia="Calibri"/>
              </w:rPr>
              <w:t xml:space="preserve">ELA, </w:t>
            </w:r>
          </w:p>
          <w:p w:rsidR="005808F8" w:rsidRPr="00F97CC3" w:rsidRDefault="002C013D" w:rsidP="00635C2F">
            <w:pPr>
              <w:jc w:val="center"/>
              <w:rPr>
                <w:rFonts w:eastAsia="Calibri"/>
              </w:rPr>
            </w:pPr>
            <w:r w:rsidRPr="00F97CC3">
              <w:rPr>
                <w:rFonts w:eastAsia="Calibri"/>
              </w:rPr>
              <w:t>Math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F8" w:rsidRPr="00F97CC3" w:rsidRDefault="005808F8" w:rsidP="00635C2F">
            <w:pPr>
              <w:jc w:val="center"/>
              <w:rPr>
                <w:rFonts w:eastAsia="Calibri"/>
              </w:rPr>
            </w:pPr>
            <w:r w:rsidRPr="00F97CC3">
              <w:rPr>
                <w:rFonts w:eastAsia="Calibri"/>
              </w:rPr>
              <w:t>Math</w:t>
            </w:r>
            <w:r w:rsidR="002C013D" w:rsidRPr="00F97CC3">
              <w:rPr>
                <w:rFonts w:eastAsia="Calibri"/>
              </w:rPr>
              <w:t>,</w:t>
            </w:r>
            <w:r w:rsidRPr="00F97CC3">
              <w:rPr>
                <w:rFonts w:eastAsia="Calibri"/>
              </w:rPr>
              <w:t xml:space="preserve"> Science</w:t>
            </w:r>
          </w:p>
        </w:tc>
      </w:tr>
    </w:tbl>
    <w:p w:rsidR="00F97CC3" w:rsidRPr="00D84B4A" w:rsidRDefault="00D84B4A" w:rsidP="00F97CC3">
      <w:pPr>
        <w:pStyle w:val="Heading1"/>
        <w:spacing w:line="240" w:lineRule="auto"/>
        <w:rPr>
          <w:rFonts w:cs="Times New Roman"/>
          <w:color w:val="auto"/>
        </w:rPr>
      </w:pPr>
      <w:bookmarkStart w:id="1" w:name="_Toc407103938"/>
      <w:r w:rsidRPr="00D84B4A">
        <w:rPr>
          <w:i/>
          <w:color w:val="auto"/>
          <w:sz w:val="18"/>
          <w:szCs w:val="18"/>
        </w:rPr>
        <w:t>Note</w:t>
      </w:r>
      <w:r w:rsidRPr="00D84B4A">
        <w:rPr>
          <w:color w:val="auto"/>
          <w:sz w:val="18"/>
          <w:szCs w:val="18"/>
        </w:rPr>
        <w:t xml:space="preserve">. </w:t>
      </w:r>
      <w:r>
        <w:rPr>
          <w:color w:val="auto"/>
          <w:sz w:val="18"/>
          <w:szCs w:val="18"/>
        </w:rPr>
        <w:t>Fitchburg High School was location for program serving grade 6-8.</w:t>
      </w:r>
    </w:p>
    <w:bookmarkEnd w:id="1"/>
    <w:p w:rsidR="00FB2542" w:rsidRPr="00F97CC3" w:rsidRDefault="00FB2542" w:rsidP="0095074F">
      <w:pPr>
        <w:spacing w:line="240" w:lineRule="auto"/>
        <w:rPr>
          <w:b/>
          <w:szCs w:val="24"/>
        </w:rPr>
      </w:pPr>
    </w:p>
    <w:p w:rsidR="00FB2542" w:rsidRPr="00F97CC3" w:rsidRDefault="00FB2542" w:rsidP="0095074F">
      <w:pPr>
        <w:spacing w:line="240" w:lineRule="auto"/>
        <w:rPr>
          <w:b/>
          <w:szCs w:val="24"/>
        </w:rPr>
      </w:pPr>
    </w:p>
    <w:p w:rsidR="00FB2542" w:rsidRPr="00F97CC3" w:rsidRDefault="00FB2542" w:rsidP="0095074F">
      <w:pPr>
        <w:spacing w:line="240" w:lineRule="auto"/>
        <w:rPr>
          <w:b/>
          <w:szCs w:val="24"/>
        </w:rPr>
        <w:sectPr w:rsidR="00FB2542" w:rsidRPr="00F97CC3" w:rsidSect="00FB2542">
          <w:pgSz w:w="15840" w:h="12240" w:orient="landscape" w:code="1"/>
          <w:pgMar w:top="1440" w:right="965" w:bottom="1440" w:left="1080" w:header="274" w:footer="432" w:gutter="0"/>
          <w:cols w:space="720"/>
          <w:docGrid w:linePitch="272"/>
        </w:sectPr>
      </w:pPr>
    </w:p>
    <w:p w:rsidR="00451CE6" w:rsidRPr="00F97CC3" w:rsidRDefault="00451CE6" w:rsidP="00451CE6">
      <w:pPr>
        <w:pStyle w:val="Heading1"/>
        <w:rPr>
          <w:rFonts w:cs="Times New Roman"/>
        </w:rPr>
      </w:pPr>
      <w:r w:rsidRPr="00F97CC3">
        <w:rPr>
          <w:rFonts w:cs="Times New Roman"/>
        </w:rPr>
        <w:lastRenderedPageBreak/>
        <w:t>Participants</w:t>
      </w:r>
    </w:p>
    <w:p w:rsidR="00451CE6" w:rsidRDefault="00451CE6" w:rsidP="0095074F">
      <w:pPr>
        <w:spacing w:line="240" w:lineRule="auto"/>
        <w:rPr>
          <w:b/>
          <w:szCs w:val="24"/>
        </w:rPr>
      </w:pPr>
      <w:r w:rsidRPr="00F97CC3">
        <w:rPr>
          <w:szCs w:val="24"/>
        </w:rPr>
        <w:t>There were generally an equal proportion of boys and girls attending the summer enhancement programs, except for Boston English, which was 70</w:t>
      </w:r>
      <w:r w:rsidR="00D52CF8">
        <w:rPr>
          <w:szCs w:val="24"/>
        </w:rPr>
        <w:t xml:space="preserve"> percent</w:t>
      </w:r>
      <w:r w:rsidRPr="00F97CC3">
        <w:rPr>
          <w:szCs w:val="24"/>
        </w:rPr>
        <w:t xml:space="preserve"> male, and Pittsfield, which was almost 70</w:t>
      </w:r>
      <w:r w:rsidR="00D52CF8">
        <w:rPr>
          <w:szCs w:val="24"/>
        </w:rPr>
        <w:t xml:space="preserve"> percent</w:t>
      </w:r>
      <w:r w:rsidRPr="00F97CC3">
        <w:rPr>
          <w:szCs w:val="24"/>
        </w:rPr>
        <w:t xml:space="preserve"> female</w:t>
      </w:r>
      <w:r>
        <w:rPr>
          <w:szCs w:val="24"/>
        </w:rPr>
        <w:t xml:space="preserve">. </w:t>
      </w:r>
      <w:r w:rsidRPr="00F97CC3">
        <w:rPr>
          <w:szCs w:val="24"/>
        </w:rPr>
        <w:t>Sixty-three percent</w:t>
      </w:r>
      <w:r w:rsidR="00117C99">
        <w:rPr>
          <w:szCs w:val="24"/>
        </w:rPr>
        <w:t xml:space="preserve"> </w:t>
      </w:r>
      <w:r w:rsidRPr="00F97CC3">
        <w:rPr>
          <w:szCs w:val="24"/>
        </w:rPr>
        <w:t xml:space="preserve">of all youth were </w:t>
      </w:r>
      <w:r w:rsidRPr="00B05326">
        <w:rPr>
          <w:szCs w:val="24"/>
        </w:rPr>
        <w:t>white,</w:t>
      </w:r>
      <w:r w:rsidRPr="00F97CC3">
        <w:rPr>
          <w:szCs w:val="24"/>
        </w:rPr>
        <w:t xml:space="preserve"> 15</w:t>
      </w:r>
      <w:r w:rsidR="00D52CF8">
        <w:rPr>
          <w:szCs w:val="24"/>
        </w:rPr>
        <w:t xml:space="preserve"> percent</w:t>
      </w:r>
      <w:r w:rsidRPr="00F97CC3">
        <w:rPr>
          <w:szCs w:val="24"/>
        </w:rPr>
        <w:t xml:space="preserve"> Hispanic, 8</w:t>
      </w:r>
      <w:r w:rsidR="00D52CF8">
        <w:rPr>
          <w:szCs w:val="24"/>
        </w:rPr>
        <w:t xml:space="preserve"> percent</w:t>
      </w:r>
      <w:r w:rsidRPr="00F97CC3">
        <w:rPr>
          <w:szCs w:val="24"/>
        </w:rPr>
        <w:t xml:space="preserve"> </w:t>
      </w:r>
      <w:r w:rsidR="00B05326">
        <w:rPr>
          <w:szCs w:val="24"/>
        </w:rPr>
        <w:t>b</w:t>
      </w:r>
      <w:r w:rsidRPr="00F97CC3">
        <w:rPr>
          <w:szCs w:val="24"/>
        </w:rPr>
        <w:t>lack, and 8</w:t>
      </w:r>
      <w:r w:rsidR="00D52CF8">
        <w:rPr>
          <w:szCs w:val="24"/>
        </w:rPr>
        <w:t xml:space="preserve"> percent</w:t>
      </w:r>
      <w:r w:rsidRPr="00F97CC3">
        <w:rPr>
          <w:szCs w:val="24"/>
        </w:rPr>
        <w:t xml:space="preserve"> Asian. A small proportion of children (6</w:t>
      </w:r>
      <w:r w:rsidR="00D52CF8">
        <w:rPr>
          <w:szCs w:val="24"/>
        </w:rPr>
        <w:t xml:space="preserve"> percent</w:t>
      </w:r>
      <w:r w:rsidRPr="00F97CC3">
        <w:rPr>
          <w:szCs w:val="24"/>
        </w:rPr>
        <w:t>) were reported by school districts as multi</w:t>
      </w:r>
      <w:r w:rsidR="00B05326">
        <w:rPr>
          <w:szCs w:val="24"/>
        </w:rPr>
        <w:t>-</w:t>
      </w:r>
      <w:r w:rsidRPr="00F97CC3">
        <w:rPr>
          <w:szCs w:val="24"/>
        </w:rPr>
        <w:t xml:space="preserve">racial. Sixty-eight percent of the children served in programs qualified for </w:t>
      </w:r>
      <w:r w:rsidRPr="00662850">
        <w:rPr>
          <w:szCs w:val="24"/>
        </w:rPr>
        <w:t>free</w:t>
      </w:r>
      <w:r w:rsidR="00662850" w:rsidRPr="00662850">
        <w:rPr>
          <w:szCs w:val="24"/>
        </w:rPr>
        <w:t>-</w:t>
      </w:r>
      <w:r w:rsidRPr="00662850">
        <w:rPr>
          <w:szCs w:val="24"/>
        </w:rPr>
        <w:t xml:space="preserve"> or reduced</w:t>
      </w:r>
      <w:r w:rsidR="00662850" w:rsidRPr="00662850">
        <w:rPr>
          <w:szCs w:val="24"/>
        </w:rPr>
        <w:t>-priced</w:t>
      </w:r>
      <w:r w:rsidRPr="00662850">
        <w:rPr>
          <w:szCs w:val="24"/>
        </w:rPr>
        <w:t xml:space="preserve"> lunch</w:t>
      </w:r>
      <w:r w:rsidRPr="00F97CC3">
        <w:rPr>
          <w:szCs w:val="24"/>
        </w:rPr>
        <w:t xml:space="preserve"> in their districts</w:t>
      </w:r>
      <w:r>
        <w:rPr>
          <w:szCs w:val="24"/>
        </w:rPr>
        <w:t xml:space="preserve">. </w:t>
      </w:r>
      <w:r w:rsidRPr="00F97CC3">
        <w:rPr>
          <w:szCs w:val="24"/>
        </w:rPr>
        <w:t>Nineteen percent of the total youth population served had limited English proficiency (LEP) status, which was largely driven by the high proportion (87</w:t>
      </w:r>
      <w:r w:rsidR="00D52CF8">
        <w:rPr>
          <w:szCs w:val="24"/>
        </w:rPr>
        <w:t xml:space="preserve"> percent</w:t>
      </w:r>
      <w:r w:rsidRPr="00F97CC3">
        <w:rPr>
          <w:szCs w:val="24"/>
        </w:rPr>
        <w:t>) of LEP students in the West Springfield program. The mean number of hours that youth attended</w:t>
      </w:r>
      <w:r w:rsidR="00D84B4A">
        <w:rPr>
          <w:szCs w:val="24"/>
        </w:rPr>
        <w:t xml:space="preserve"> across</w:t>
      </w:r>
      <w:r w:rsidRPr="00F97CC3">
        <w:rPr>
          <w:szCs w:val="24"/>
        </w:rPr>
        <w:t xml:space="preserve"> programs was 114 hours (see Table 2)</w:t>
      </w:r>
      <w:r>
        <w:rPr>
          <w:szCs w:val="24"/>
        </w:rPr>
        <w:t xml:space="preserve">. </w:t>
      </w:r>
    </w:p>
    <w:p w:rsidR="00451CE6" w:rsidRDefault="00451CE6" w:rsidP="0095074F">
      <w:pPr>
        <w:spacing w:line="240" w:lineRule="auto"/>
        <w:rPr>
          <w:b/>
          <w:szCs w:val="24"/>
        </w:rPr>
      </w:pPr>
    </w:p>
    <w:p w:rsidR="0095074F" w:rsidRPr="00A51350" w:rsidRDefault="0095074F" w:rsidP="0095074F">
      <w:pPr>
        <w:spacing w:line="240" w:lineRule="auto"/>
        <w:rPr>
          <w:b/>
          <w:sz w:val="22"/>
          <w:szCs w:val="22"/>
        </w:rPr>
      </w:pPr>
      <w:r w:rsidRPr="00A51350">
        <w:rPr>
          <w:b/>
          <w:sz w:val="22"/>
          <w:szCs w:val="22"/>
        </w:rPr>
        <w:t>Table 2. Mean Number of Hours Youth Attended by Program</w:t>
      </w:r>
      <w:r w:rsidR="002056F7" w:rsidRPr="00A51350">
        <w:rPr>
          <w:b/>
          <w:sz w:val="22"/>
          <w:szCs w:val="22"/>
        </w:rPr>
        <w:t xml:space="preserve"> Site</w:t>
      </w:r>
    </w:p>
    <w:tbl>
      <w:tblPr>
        <w:tblW w:w="82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5"/>
        <w:gridCol w:w="990"/>
        <w:gridCol w:w="2880"/>
      </w:tblGrid>
      <w:tr w:rsidR="00986DCD" w:rsidRPr="00F97CC3" w:rsidTr="00AD0F3C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95074F" w:rsidRPr="00F97CC3" w:rsidRDefault="0095074F" w:rsidP="005808F8">
            <w:pPr>
              <w:spacing w:line="240" w:lineRule="auto"/>
              <w:rPr>
                <w:b/>
                <w:color w:val="000000"/>
                <w:szCs w:val="22"/>
              </w:rPr>
            </w:pPr>
            <w:r w:rsidRPr="00F97CC3">
              <w:rPr>
                <w:b/>
                <w:color w:val="000000"/>
                <w:sz w:val="22"/>
                <w:szCs w:val="22"/>
              </w:rPr>
              <w:t>Program</w:t>
            </w:r>
            <w:r w:rsidR="002056F7">
              <w:rPr>
                <w:b/>
                <w:color w:val="000000"/>
                <w:sz w:val="22"/>
                <w:szCs w:val="22"/>
              </w:rPr>
              <w:t xml:space="preserve"> Site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5074F" w:rsidRPr="00DC58C7" w:rsidRDefault="0095074F" w:rsidP="00AD0F3C">
            <w:pPr>
              <w:spacing w:line="240" w:lineRule="auto"/>
              <w:jc w:val="center"/>
              <w:rPr>
                <w:b/>
                <w:i/>
                <w:color w:val="000000"/>
                <w:szCs w:val="22"/>
              </w:rPr>
            </w:pPr>
            <w:r w:rsidRPr="00DC58C7">
              <w:rPr>
                <w:b/>
                <w:i/>
                <w:color w:val="000000"/>
                <w:sz w:val="22"/>
                <w:szCs w:val="22"/>
              </w:rPr>
              <w:t>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95074F" w:rsidRPr="00F97CC3" w:rsidRDefault="0095074F" w:rsidP="00AD0F3C">
            <w:pPr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F97CC3">
              <w:rPr>
                <w:b/>
                <w:color w:val="000000"/>
                <w:sz w:val="22"/>
                <w:szCs w:val="22"/>
              </w:rPr>
              <w:t>Mean Attendance Hours</w:t>
            </w:r>
          </w:p>
        </w:tc>
      </w:tr>
      <w:tr w:rsidR="00986DCD" w:rsidRPr="00F97CC3" w:rsidTr="00AD0F3C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95074F" w:rsidRPr="00F97CC3" w:rsidRDefault="0095074F" w:rsidP="005808F8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Boston English High School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5074F" w:rsidRPr="00F97CC3" w:rsidRDefault="0095074F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95074F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194</w:t>
            </w:r>
          </w:p>
        </w:tc>
      </w:tr>
      <w:tr w:rsidR="00986DCD" w:rsidRPr="00F97CC3" w:rsidTr="00AD0F3C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95074F" w:rsidRPr="00F97CC3" w:rsidRDefault="0095074F" w:rsidP="005808F8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 xml:space="preserve">Fitchburg </w:t>
            </w:r>
            <w:r w:rsidR="00755F1D" w:rsidRPr="00F97CC3">
              <w:rPr>
                <w:color w:val="000000"/>
                <w:sz w:val="22"/>
                <w:szCs w:val="22"/>
              </w:rPr>
              <w:t>High School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5074F" w:rsidRPr="00F97CC3" w:rsidRDefault="0095074F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95074F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84</w:t>
            </w:r>
          </w:p>
        </w:tc>
      </w:tr>
      <w:tr w:rsidR="00986DCD" w:rsidRPr="00F97CC3" w:rsidTr="00AD0F3C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95074F" w:rsidRPr="00F97CC3" w:rsidRDefault="00927F19" w:rsidP="005808F8">
            <w:pPr>
              <w:spacing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Lowell S</w:t>
            </w:r>
            <w:r w:rsidR="0095074F" w:rsidRPr="00F97CC3">
              <w:rPr>
                <w:color w:val="000000"/>
                <w:sz w:val="22"/>
                <w:szCs w:val="22"/>
              </w:rPr>
              <w:t>hau</w:t>
            </w:r>
            <w:r>
              <w:rPr>
                <w:color w:val="000000"/>
                <w:sz w:val="22"/>
                <w:szCs w:val="22"/>
              </w:rPr>
              <w:t>gh</w:t>
            </w:r>
            <w:r w:rsidR="0095074F" w:rsidRPr="00F97CC3">
              <w:rPr>
                <w:color w:val="000000"/>
                <w:sz w:val="22"/>
                <w:szCs w:val="22"/>
              </w:rPr>
              <w:t>nessy Elementary</w:t>
            </w:r>
            <w:r w:rsidR="00DC58C7">
              <w:rPr>
                <w:color w:val="000000"/>
                <w:sz w:val="22"/>
                <w:szCs w:val="22"/>
              </w:rPr>
              <w:t xml:space="preserve"> </w:t>
            </w:r>
            <w:r w:rsidR="00DC58C7" w:rsidRPr="00F97CC3">
              <w:rPr>
                <w:color w:val="000000"/>
                <w:sz w:val="22"/>
                <w:szCs w:val="22"/>
              </w:rPr>
              <w:t>School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5074F" w:rsidRPr="00F97CC3" w:rsidRDefault="0095074F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95074F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105</w:t>
            </w:r>
          </w:p>
        </w:tc>
      </w:tr>
      <w:tr w:rsidR="00986DCD" w:rsidRPr="00F97CC3" w:rsidTr="00AD0F3C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95074F" w:rsidRPr="00F97CC3" w:rsidRDefault="0095074F" w:rsidP="005808F8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New Bedford Lincoln Elementary</w:t>
            </w:r>
            <w:r w:rsidR="00DC58C7">
              <w:rPr>
                <w:color w:val="000000"/>
                <w:sz w:val="22"/>
                <w:szCs w:val="22"/>
              </w:rPr>
              <w:t xml:space="preserve"> </w:t>
            </w:r>
            <w:r w:rsidR="00DC58C7" w:rsidRPr="00F97CC3">
              <w:rPr>
                <w:color w:val="000000"/>
                <w:sz w:val="22"/>
                <w:szCs w:val="22"/>
              </w:rPr>
              <w:t>School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5074F" w:rsidRPr="00F97CC3" w:rsidRDefault="0095074F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95074F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93</w:t>
            </w:r>
          </w:p>
        </w:tc>
      </w:tr>
      <w:tr w:rsidR="00986DCD" w:rsidRPr="00F97CC3" w:rsidTr="00AD0F3C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95074F" w:rsidRPr="00F97CC3" w:rsidRDefault="0095074F" w:rsidP="00DC58C7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North Adams Brayton K</w:t>
            </w:r>
            <w:r w:rsidR="00DC58C7">
              <w:rPr>
                <w:color w:val="000000"/>
                <w:sz w:val="22"/>
                <w:szCs w:val="22"/>
              </w:rPr>
              <w:t>–</w:t>
            </w:r>
            <w:r w:rsidRPr="00F97CC3">
              <w:rPr>
                <w:color w:val="000000"/>
                <w:sz w:val="22"/>
                <w:szCs w:val="22"/>
              </w:rPr>
              <w:t>7</w:t>
            </w:r>
            <w:r w:rsidR="00DC58C7">
              <w:rPr>
                <w:color w:val="000000"/>
                <w:sz w:val="22"/>
                <w:szCs w:val="22"/>
              </w:rPr>
              <w:t xml:space="preserve"> </w:t>
            </w:r>
            <w:r w:rsidR="00DC58C7" w:rsidRPr="00F97CC3">
              <w:rPr>
                <w:color w:val="000000"/>
                <w:sz w:val="22"/>
                <w:szCs w:val="22"/>
              </w:rPr>
              <w:t>School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5074F" w:rsidRPr="00F97CC3" w:rsidRDefault="0095074F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95074F" w:rsidRPr="00F97CC3" w:rsidRDefault="00866E0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E6250A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986DCD" w:rsidRPr="00F97CC3" w:rsidTr="00AD0F3C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95074F" w:rsidRPr="00F97CC3" w:rsidRDefault="0095074F" w:rsidP="005808F8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Pittsfield Reid Middle School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5074F" w:rsidRPr="00F97CC3" w:rsidRDefault="0095074F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95074F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986DCD" w:rsidRPr="00F97CC3" w:rsidTr="00AD0F3C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95074F" w:rsidRPr="00F97CC3" w:rsidRDefault="00755F1D" w:rsidP="005808F8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 xml:space="preserve">Triton/Salisbury </w:t>
            </w:r>
            <w:r w:rsidR="0095074F" w:rsidRPr="00F97CC3">
              <w:rPr>
                <w:color w:val="000000"/>
                <w:sz w:val="22"/>
                <w:szCs w:val="22"/>
              </w:rPr>
              <w:t>Elementary</w:t>
            </w:r>
            <w:r w:rsidRPr="00F97CC3">
              <w:rPr>
                <w:color w:val="000000"/>
                <w:sz w:val="22"/>
                <w:szCs w:val="22"/>
              </w:rPr>
              <w:t xml:space="preserve"> School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5074F" w:rsidRPr="00F97CC3" w:rsidRDefault="0095074F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95074F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161</w:t>
            </w:r>
          </w:p>
        </w:tc>
      </w:tr>
      <w:tr w:rsidR="00755F1D" w:rsidRPr="00F97CC3" w:rsidTr="00AD0F3C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755F1D" w:rsidRPr="00F97CC3" w:rsidRDefault="00755F1D" w:rsidP="005808F8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Wareham Middle School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55F1D" w:rsidRPr="00F97CC3" w:rsidRDefault="00755F1D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755F1D" w:rsidRPr="00F97CC3" w:rsidRDefault="00755F1D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106</w:t>
            </w:r>
          </w:p>
        </w:tc>
      </w:tr>
      <w:tr w:rsidR="00DD2B3D" w:rsidRPr="00F97CC3" w:rsidTr="00DD2B3D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3D" w:rsidRPr="00F97CC3" w:rsidRDefault="00DD2B3D" w:rsidP="00B70BC6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West Springfield Coburn Elementary School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3D" w:rsidRPr="00F97CC3" w:rsidRDefault="00DD2B3D" w:rsidP="00B70BC6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3D" w:rsidRPr="00F97CC3" w:rsidRDefault="00DD2B3D" w:rsidP="00B70BC6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63</w:t>
            </w:r>
          </w:p>
        </w:tc>
      </w:tr>
      <w:tr w:rsidR="00755F1D" w:rsidRPr="00F97CC3" w:rsidTr="00AD0F3C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755F1D" w:rsidRPr="00F97CC3" w:rsidRDefault="00755F1D" w:rsidP="005808F8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Whitman-Hanson Regional High School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55F1D" w:rsidRPr="00F97CC3" w:rsidRDefault="00755F1D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755F1D" w:rsidRPr="00F97CC3" w:rsidRDefault="00755F1D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124</w:t>
            </w:r>
          </w:p>
        </w:tc>
      </w:tr>
    </w:tbl>
    <w:p w:rsidR="00EF49B0" w:rsidRDefault="00EF49B0" w:rsidP="003D4299">
      <w:pPr>
        <w:pStyle w:val="Heading1"/>
        <w:rPr>
          <w:rFonts w:cs="Times New Roman"/>
        </w:rPr>
      </w:pPr>
    </w:p>
    <w:p w:rsidR="00DC58C7" w:rsidRPr="00DC58C7" w:rsidRDefault="00DC58C7" w:rsidP="00DC58C7"/>
    <w:p w:rsidR="002068E4" w:rsidRPr="00F97CC3" w:rsidRDefault="00CD3993" w:rsidP="003D4299">
      <w:pPr>
        <w:pStyle w:val="Heading1"/>
        <w:rPr>
          <w:rFonts w:cs="Times New Roman"/>
        </w:rPr>
      </w:pPr>
      <w:bookmarkStart w:id="2" w:name="_Toc407103939"/>
      <w:r w:rsidRPr="00F97CC3">
        <w:rPr>
          <w:rFonts w:cs="Times New Roman"/>
        </w:rPr>
        <w:t>Study Methods</w:t>
      </w:r>
      <w:bookmarkEnd w:id="2"/>
      <w:r w:rsidRPr="00F97CC3">
        <w:rPr>
          <w:rFonts w:cs="Times New Roman"/>
        </w:rPr>
        <w:t xml:space="preserve"> </w:t>
      </w:r>
    </w:p>
    <w:p w:rsidR="000B5963" w:rsidRPr="00F97CC3" w:rsidRDefault="000B5963" w:rsidP="000B5963">
      <w:pPr>
        <w:spacing w:line="240" w:lineRule="auto"/>
        <w:rPr>
          <w:rFonts w:eastAsia="Calibri"/>
          <w:color w:val="auto"/>
          <w:szCs w:val="24"/>
          <w:lang w:eastAsia="ja-JP"/>
        </w:rPr>
      </w:pPr>
      <w:r w:rsidRPr="00F97CC3">
        <w:rPr>
          <w:rFonts w:eastAsia="Calibri"/>
          <w:color w:val="auto"/>
          <w:szCs w:val="24"/>
          <w:lang w:eastAsia="ja-JP"/>
        </w:rPr>
        <w:t>Data for this brief were collected through (a) program observations</w:t>
      </w:r>
      <w:r w:rsidR="00EC65D7">
        <w:rPr>
          <w:rFonts w:eastAsia="Calibri"/>
          <w:color w:val="auto"/>
          <w:szCs w:val="24"/>
          <w:lang w:eastAsia="ja-JP"/>
        </w:rPr>
        <w:t>,</w:t>
      </w:r>
      <w:r w:rsidRPr="00F97CC3">
        <w:rPr>
          <w:rFonts w:eastAsia="Calibri"/>
          <w:color w:val="auto"/>
          <w:szCs w:val="24"/>
          <w:lang w:eastAsia="ja-JP"/>
        </w:rPr>
        <w:t xml:space="preserve"> (b) review </w:t>
      </w:r>
      <w:r w:rsidRPr="0086083F">
        <w:rPr>
          <w:rFonts w:eastAsia="Calibri"/>
          <w:color w:val="auto"/>
          <w:szCs w:val="24"/>
          <w:lang w:eastAsia="ja-JP"/>
        </w:rPr>
        <w:t xml:space="preserve">of </w:t>
      </w:r>
      <w:r w:rsidR="0086083F">
        <w:rPr>
          <w:rFonts w:eastAsia="Calibri"/>
          <w:color w:val="auto"/>
          <w:szCs w:val="24"/>
          <w:lang w:eastAsia="ja-JP"/>
        </w:rPr>
        <w:t>child-</w:t>
      </w:r>
      <w:r w:rsidRPr="0086083F">
        <w:rPr>
          <w:rFonts w:eastAsia="Calibri"/>
          <w:color w:val="auto"/>
          <w:szCs w:val="24"/>
          <w:lang w:eastAsia="ja-JP"/>
        </w:rPr>
        <w:t>level</w:t>
      </w:r>
      <w:r w:rsidRPr="00F97CC3">
        <w:rPr>
          <w:rFonts w:eastAsia="Calibri"/>
          <w:color w:val="auto"/>
          <w:szCs w:val="24"/>
          <w:lang w:eastAsia="ja-JP"/>
        </w:rPr>
        <w:t xml:space="preserve"> assessment data collected by program leaders</w:t>
      </w:r>
      <w:r w:rsidR="00EC65D7">
        <w:rPr>
          <w:rFonts w:eastAsia="Calibri"/>
          <w:color w:val="auto"/>
          <w:szCs w:val="24"/>
          <w:lang w:eastAsia="ja-JP"/>
        </w:rPr>
        <w:t>,</w:t>
      </w:r>
      <w:r w:rsidRPr="00F97CC3">
        <w:rPr>
          <w:rFonts w:eastAsia="Calibri"/>
          <w:color w:val="auto"/>
          <w:szCs w:val="24"/>
          <w:lang w:eastAsia="ja-JP"/>
        </w:rPr>
        <w:t xml:space="preserve"> and (c) post-program </w:t>
      </w:r>
      <w:r w:rsidR="0086083F" w:rsidRPr="0086083F">
        <w:rPr>
          <w:rFonts w:eastAsia="Calibri"/>
          <w:color w:val="auto"/>
          <w:szCs w:val="24"/>
          <w:lang w:eastAsia="ja-JP"/>
        </w:rPr>
        <w:t>school-</w:t>
      </w:r>
      <w:r w:rsidR="00455A88" w:rsidRPr="0086083F">
        <w:rPr>
          <w:rFonts w:eastAsia="Calibri"/>
          <w:color w:val="auto"/>
          <w:szCs w:val="24"/>
          <w:lang w:eastAsia="ja-JP"/>
        </w:rPr>
        <w:t xml:space="preserve">level </w:t>
      </w:r>
      <w:r w:rsidRPr="0086083F">
        <w:rPr>
          <w:rFonts w:eastAsia="Calibri"/>
          <w:color w:val="auto"/>
          <w:szCs w:val="24"/>
          <w:lang w:eastAsia="ja-JP"/>
        </w:rPr>
        <w:t>data</w:t>
      </w:r>
      <w:r w:rsidRPr="00F97CC3">
        <w:rPr>
          <w:rFonts w:eastAsia="Calibri"/>
          <w:color w:val="auto"/>
          <w:szCs w:val="24"/>
          <w:lang w:eastAsia="ja-JP"/>
        </w:rPr>
        <w:t xml:space="preserve"> provided by program leaders and school district research or data managers. </w:t>
      </w:r>
    </w:p>
    <w:p w:rsidR="000B5963" w:rsidRPr="00F97CC3" w:rsidRDefault="000B5963" w:rsidP="000B5963">
      <w:pPr>
        <w:spacing w:line="240" w:lineRule="auto"/>
        <w:rPr>
          <w:rFonts w:eastAsia="Calibri"/>
          <w:color w:val="auto"/>
          <w:szCs w:val="24"/>
          <w:lang w:eastAsia="ja-JP"/>
        </w:rPr>
      </w:pPr>
    </w:p>
    <w:p w:rsidR="00CD7BD8" w:rsidRPr="00F97CC3" w:rsidRDefault="00A51350" w:rsidP="00CD7BD8">
      <w:pPr>
        <w:rPr>
          <w:color w:val="auto"/>
          <w:szCs w:val="24"/>
        </w:rPr>
      </w:pPr>
      <w:r>
        <w:rPr>
          <w:rFonts w:eastAsia="Calibri"/>
          <w:iCs/>
          <w:color w:val="auto"/>
          <w:szCs w:val="24"/>
          <w:lang w:eastAsia="ja-JP"/>
        </w:rPr>
        <w:t>T</w:t>
      </w:r>
      <w:r w:rsidR="000B5963" w:rsidRPr="00F97CC3">
        <w:rPr>
          <w:rFonts w:eastAsia="Calibri"/>
          <w:iCs/>
          <w:color w:val="auto"/>
          <w:szCs w:val="24"/>
          <w:lang w:eastAsia="ja-JP"/>
        </w:rPr>
        <w:t xml:space="preserve">he </w:t>
      </w:r>
      <w:r w:rsidR="000B5963" w:rsidRPr="004A0503">
        <w:rPr>
          <w:rFonts w:eastAsia="Calibri"/>
          <w:iCs/>
          <w:color w:val="auto"/>
          <w:szCs w:val="24"/>
          <w:lang w:eastAsia="ja-JP"/>
        </w:rPr>
        <w:t xml:space="preserve">Survey of </w:t>
      </w:r>
      <w:r w:rsidR="00D84B4A">
        <w:rPr>
          <w:rFonts w:eastAsia="Calibri"/>
          <w:iCs/>
          <w:color w:val="auto"/>
          <w:szCs w:val="24"/>
          <w:lang w:eastAsia="ja-JP"/>
        </w:rPr>
        <w:t>Academic</w:t>
      </w:r>
      <w:r w:rsidR="000B5963" w:rsidRPr="004A0503">
        <w:rPr>
          <w:rFonts w:eastAsia="Calibri"/>
          <w:iCs/>
          <w:color w:val="auto"/>
          <w:szCs w:val="24"/>
          <w:lang w:eastAsia="ja-JP"/>
        </w:rPr>
        <w:t xml:space="preserve"> Youth Outcomes</w:t>
      </w:r>
      <w:r w:rsidR="000B5963" w:rsidRPr="004A0503">
        <w:rPr>
          <w:rFonts w:eastAsia="Calibri"/>
          <w:i/>
          <w:iCs/>
          <w:color w:val="auto"/>
          <w:szCs w:val="24"/>
          <w:lang w:eastAsia="ja-JP"/>
        </w:rPr>
        <w:t xml:space="preserve"> </w:t>
      </w:r>
      <w:r w:rsidR="000B5963" w:rsidRPr="004A0503">
        <w:rPr>
          <w:rFonts w:eastAsia="Calibri"/>
          <w:iCs/>
          <w:color w:val="auto"/>
          <w:szCs w:val="24"/>
          <w:lang w:eastAsia="ja-JP"/>
        </w:rPr>
        <w:t>(</w:t>
      </w:r>
      <w:r w:rsidR="000B5963" w:rsidRPr="004A0503">
        <w:rPr>
          <w:rFonts w:eastAsia="Calibri"/>
          <w:color w:val="auto"/>
          <w:szCs w:val="24"/>
          <w:lang w:eastAsia="ja-JP"/>
        </w:rPr>
        <w:t>SAYO)</w:t>
      </w:r>
      <w:r>
        <w:rPr>
          <w:rFonts w:eastAsia="Calibri"/>
          <w:color w:val="auto"/>
          <w:szCs w:val="24"/>
          <w:lang w:eastAsia="ja-JP"/>
        </w:rPr>
        <w:t xml:space="preserve"> </w:t>
      </w:r>
      <w:r w:rsidRPr="00F97CC3">
        <w:rPr>
          <w:rFonts w:eastAsia="Calibri"/>
          <w:iCs/>
          <w:color w:val="auto"/>
          <w:szCs w:val="24"/>
          <w:lang w:eastAsia="ja-JP"/>
        </w:rPr>
        <w:t>was used</w:t>
      </w:r>
      <w:r>
        <w:rPr>
          <w:rFonts w:eastAsia="Calibri"/>
          <w:iCs/>
          <w:color w:val="auto"/>
          <w:szCs w:val="24"/>
          <w:lang w:eastAsia="ja-JP"/>
        </w:rPr>
        <w:t xml:space="preserve"> to collect</w:t>
      </w:r>
      <w:r w:rsidRPr="00F97CC3">
        <w:rPr>
          <w:rFonts w:eastAsia="Calibri"/>
          <w:iCs/>
          <w:color w:val="auto"/>
          <w:szCs w:val="24"/>
          <w:lang w:eastAsia="ja-JP"/>
        </w:rPr>
        <w:t xml:space="preserve"> child-level assessment</w:t>
      </w:r>
      <w:r>
        <w:rPr>
          <w:rFonts w:eastAsia="Calibri"/>
          <w:iCs/>
          <w:color w:val="auto"/>
          <w:szCs w:val="24"/>
          <w:lang w:eastAsia="ja-JP"/>
        </w:rPr>
        <w:t xml:space="preserve"> data</w:t>
      </w:r>
      <w:r w:rsidR="000B5963" w:rsidRPr="004A0503">
        <w:rPr>
          <w:rFonts w:eastAsia="Calibri"/>
          <w:color w:val="auto"/>
          <w:szCs w:val="24"/>
          <w:lang w:eastAsia="ja-JP"/>
        </w:rPr>
        <w:t>.</w:t>
      </w:r>
      <w:r w:rsidR="000B5963" w:rsidRPr="00F97CC3">
        <w:rPr>
          <w:rFonts w:eastAsia="Calibri"/>
          <w:color w:val="auto"/>
          <w:szCs w:val="24"/>
          <w:lang w:eastAsia="ja-JP"/>
        </w:rPr>
        <w:t xml:space="preserve"> SAYO is designed specifically for use in out-of-school time programs and is a research-based </w:t>
      </w:r>
      <w:r w:rsidR="0086083F" w:rsidRPr="0086083F">
        <w:rPr>
          <w:rFonts w:eastAsia="Calibri"/>
          <w:color w:val="auto"/>
          <w:szCs w:val="24"/>
          <w:lang w:eastAsia="ja-JP"/>
        </w:rPr>
        <w:t xml:space="preserve">scientifically </w:t>
      </w:r>
      <w:r w:rsidR="000B5963" w:rsidRPr="0086083F">
        <w:rPr>
          <w:rFonts w:eastAsia="Calibri"/>
          <w:color w:val="auto"/>
          <w:szCs w:val="24"/>
          <w:lang w:eastAsia="ja-JP"/>
        </w:rPr>
        <w:t>tested</w:t>
      </w:r>
      <w:r w:rsidR="000B5963" w:rsidRPr="00F97CC3">
        <w:rPr>
          <w:rFonts w:eastAsia="Calibri"/>
          <w:color w:val="auto"/>
          <w:szCs w:val="24"/>
          <w:lang w:eastAsia="ja-JP"/>
        </w:rPr>
        <w:t xml:space="preserve"> instrument. </w:t>
      </w:r>
      <w:r w:rsidR="00455A88" w:rsidRPr="00F97CC3">
        <w:rPr>
          <w:rFonts w:eastAsia="Calibri"/>
          <w:color w:val="auto"/>
          <w:szCs w:val="24"/>
          <w:lang w:eastAsia="ja-JP"/>
        </w:rPr>
        <w:t xml:space="preserve">Outcomes included for </w:t>
      </w:r>
      <w:r w:rsidR="007659C3" w:rsidRPr="00F97CC3">
        <w:rPr>
          <w:rFonts w:eastAsia="Calibri"/>
          <w:color w:val="auto"/>
          <w:szCs w:val="24"/>
          <w:lang w:eastAsia="ja-JP"/>
        </w:rPr>
        <w:t>assessment included</w:t>
      </w:r>
      <w:r w:rsidR="00456FA0" w:rsidRPr="00F97CC3">
        <w:rPr>
          <w:rFonts w:eastAsia="Calibri"/>
          <w:color w:val="auto"/>
          <w:szCs w:val="24"/>
          <w:lang w:eastAsia="ja-JP"/>
        </w:rPr>
        <w:t xml:space="preserve"> </w:t>
      </w:r>
      <w:r w:rsidR="00455A88" w:rsidRPr="00F97CC3">
        <w:rPr>
          <w:rFonts w:eastAsia="Calibri"/>
          <w:color w:val="auto"/>
          <w:szCs w:val="24"/>
          <w:lang w:eastAsia="ja-JP"/>
        </w:rPr>
        <w:t>a combination of academic and intermediary skill domains</w:t>
      </w:r>
      <w:r w:rsidR="001E5596">
        <w:rPr>
          <w:rFonts w:eastAsia="Calibri"/>
          <w:color w:val="auto"/>
          <w:szCs w:val="24"/>
          <w:lang w:eastAsia="ja-JP"/>
        </w:rPr>
        <w:t xml:space="preserve">. </w:t>
      </w:r>
      <w:r w:rsidR="00455A88" w:rsidRPr="00F97CC3">
        <w:rPr>
          <w:rFonts w:eastAsia="Calibri"/>
          <w:color w:val="auto"/>
          <w:szCs w:val="24"/>
          <w:lang w:eastAsia="ja-JP"/>
        </w:rPr>
        <w:t xml:space="preserve">These outcomes included Science, </w:t>
      </w:r>
      <w:r w:rsidR="00D84B4A">
        <w:rPr>
          <w:rFonts w:eastAsia="Calibri"/>
          <w:color w:val="auto"/>
          <w:szCs w:val="24"/>
          <w:lang w:eastAsia="ja-JP"/>
        </w:rPr>
        <w:t xml:space="preserve">Social Science, </w:t>
      </w:r>
      <w:r w:rsidR="00455A88" w:rsidRPr="00F97CC3">
        <w:rPr>
          <w:rFonts w:eastAsia="Calibri"/>
          <w:color w:val="auto"/>
          <w:szCs w:val="24"/>
          <w:lang w:eastAsia="ja-JP"/>
        </w:rPr>
        <w:t>Reading, Verbal Communication, Written Communication, Mathematics</w:t>
      </w:r>
      <w:r w:rsidR="00EC65D7">
        <w:rPr>
          <w:rFonts w:eastAsia="Calibri"/>
          <w:color w:val="auto"/>
          <w:szCs w:val="24"/>
          <w:lang w:eastAsia="ja-JP"/>
        </w:rPr>
        <w:t>, Mathematics Problem</w:t>
      </w:r>
      <w:r w:rsidR="00CF0BDA">
        <w:rPr>
          <w:rFonts w:eastAsia="Calibri"/>
          <w:color w:val="auto"/>
          <w:szCs w:val="24"/>
          <w:lang w:eastAsia="ja-JP"/>
        </w:rPr>
        <w:t xml:space="preserve"> </w:t>
      </w:r>
      <w:r w:rsidR="00455A88" w:rsidRPr="00F97CC3">
        <w:rPr>
          <w:rFonts w:eastAsia="Calibri"/>
          <w:color w:val="auto"/>
          <w:szCs w:val="24"/>
          <w:lang w:eastAsia="ja-JP"/>
        </w:rPr>
        <w:t>Solving, Learning Skills, Behavior, Initiat</w:t>
      </w:r>
      <w:r w:rsidR="002E5370">
        <w:rPr>
          <w:rFonts w:eastAsia="Calibri"/>
          <w:color w:val="auto"/>
          <w:szCs w:val="24"/>
          <w:lang w:eastAsia="ja-JP"/>
        </w:rPr>
        <w:t xml:space="preserve">ive, Relations with Adults, </w:t>
      </w:r>
      <w:r w:rsidR="00455A88" w:rsidRPr="00F97CC3">
        <w:rPr>
          <w:rFonts w:eastAsia="Calibri"/>
          <w:color w:val="auto"/>
          <w:szCs w:val="24"/>
          <w:lang w:eastAsia="ja-JP"/>
        </w:rPr>
        <w:t>Relations with Peers</w:t>
      </w:r>
      <w:r w:rsidR="002E5370">
        <w:rPr>
          <w:rFonts w:eastAsia="Calibri"/>
          <w:color w:val="auto"/>
          <w:szCs w:val="24"/>
          <w:lang w:eastAsia="ja-JP"/>
        </w:rPr>
        <w:t>, and Problem Solving</w:t>
      </w:r>
      <w:r w:rsidR="00455A88" w:rsidRPr="00F97CC3">
        <w:rPr>
          <w:rFonts w:eastAsia="Calibri"/>
          <w:color w:val="auto"/>
          <w:szCs w:val="24"/>
          <w:lang w:eastAsia="ja-JP"/>
        </w:rPr>
        <w:t>.</w:t>
      </w:r>
      <w:r w:rsidR="00CD7BD8" w:rsidRPr="00F97CC3">
        <w:rPr>
          <w:rFonts w:eastAsia="Calibri"/>
          <w:color w:val="auto"/>
          <w:szCs w:val="24"/>
          <w:lang w:eastAsia="ja-JP"/>
        </w:rPr>
        <w:t xml:space="preserve"> </w:t>
      </w:r>
      <w:r w:rsidR="000B5963" w:rsidRPr="00F97CC3">
        <w:rPr>
          <w:color w:val="auto"/>
          <w:szCs w:val="24"/>
        </w:rPr>
        <w:t xml:space="preserve">Each outcome area is measured by asking teachers and staff to respond to four or five questions related to observable youth behaviors. </w:t>
      </w:r>
    </w:p>
    <w:p w:rsidR="00CD7BD8" w:rsidRPr="00A51350" w:rsidRDefault="00CD7BD8" w:rsidP="00CD7BD8">
      <w:pPr>
        <w:rPr>
          <w:color w:val="auto"/>
          <w:szCs w:val="24"/>
        </w:rPr>
      </w:pPr>
    </w:p>
    <w:p w:rsidR="00CD7BD8" w:rsidRPr="00A51350" w:rsidRDefault="00CD7BD8" w:rsidP="00CD7BD8">
      <w:pPr>
        <w:rPr>
          <w:color w:val="auto"/>
          <w:szCs w:val="24"/>
        </w:rPr>
      </w:pPr>
      <w:r w:rsidRPr="00A51350">
        <w:rPr>
          <w:color w:val="auto"/>
          <w:szCs w:val="24"/>
        </w:rPr>
        <w:t xml:space="preserve">Each program was asked to select a minimum of two of the academic </w:t>
      </w:r>
      <w:r w:rsidR="0051385C" w:rsidRPr="00A51350">
        <w:rPr>
          <w:color w:val="auto"/>
          <w:szCs w:val="24"/>
        </w:rPr>
        <w:t xml:space="preserve">SAYO </w:t>
      </w:r>
      <w:r w:rsidRPr="00A51350">
        <w:rPr>
          <w:color w:val="auto"/>
          <w:szCs w:val="24"/>
        </w:rPr>
        <w:t>domains for measurement</w:t>
      </w:r>
      <w:r w:rsidR="001E5596" w:rsidRPr="00A51350">
        <w:rPr>
          <w:color w:val="auto"/>
          <w:szCs w:val="24"/>
        </w:rPr>
        <w:t xml:space="preserve">. </w:t>
      </w:r>
      <w:r w:rsidRPr="00A51350">
        <w:rPr>
          <w:color w:val="auto"/>
          <w:szCs w:val="24"/>
        </w:rPr>
        <w:t xml:space="preserve">In addition to </w:t>
      </w:r>
      <w:r w:rsidR="0051385C" w:rsidRPr="00A51350">
        <w:rPr>
          <w:color w:val="auto"/>
          <w:szCs w:val="24"/>
        </w:rPr>
        <w:t>the academic domains</w:t>
      </w:r>
      <w:r w:rsidRPr="00A51350">
        <w:rPr>
          <w:color w:val="auto"/>
          <w:szCs w:val="24"/>
        </w:rPr>
        <w:t xml:space="preserve">, programs were asked to select intermediary outcomes from </w:t>
      </w:r>
      <w:r w:rsidR="0051385C" w:rsidRPr="00A51350">
        <w:rPr>
          <w:color w:val="auto"/>
          <w:szCs w:val="24"/>
        </w:rPr>
        <w:t>the</w:t>
      </w:r>
      <w:r w:rsidRPr="00A51350">
        <w:rPr>
          <w:color w:val="auto"/>
          <w:szCs w:val="24"/>
        </w:rPr>
        <w:t xml:space="preserve"> list of </w:t>
      </w:r>
      <w:r w:rsidR="00F4558D" w:rsidRPr="00A51350">
        <w:rPr>
          <w:color w:val="auto"/>
          <w:szCs w:val="24"/>
        </w:rPr>
        <w:t>eight</w:t>
      </w:r>
      <w:r w:rsidRPr="00A51350">
        <w:rPr>
          <w:color w:val="auto"/>
          <w:szCs w:val="24"/>
        </w:rPr>
        <w:t xml:space="preserve"> options</w:t>
      </w:r>
      <w:r w:rsidR="00F4558D" w:rsidRPr="00A51350">
        <w:rPr>
          <w:color w:val="auto"/>
          <w:szCs w:val="24"/>
        </w:rPr>
        <w:t>:</w:t>
      </w:r>
      <w:r w:rsidR="007659C3" w:rsidRPr="00A51350">
        <w:rPr>
          <w:color w:val="auto"/>
          <w:szCs w:val="24"/>
        </w:rPr>
        <w:t xml:space="preserve"> (</w:t>
      </w:r>
      <w:r w:rsidRPr="00A51350">
        <w:rPr>
          <w:color w:val="auto"/>
          <w:szCs w:val="24"/>
        </w:rPr>
        <w:t>1) Learning Skills</w:t>
      </w:r>
      <w:r w:rsidR="0051385C" w:rsidRPr="00A51350">
        <w:rPr>
          <w:color w:val="auto"/>
          <w:szCs w:val="24"/>
        </w:rPr>
        <w:t xml:space="preserve"> (required)</w:t>
      </w:r>
      <w:r w:rsidR="007659C3" w:rsidRPr="00A51350">
        <w:rPr>
          <w:color w:val="auto"/>
          <w:szCs w:val="24"/>
        </w:rPr>
        <w:t>, (</w:t>
      </w:r>
      <w:r w:rsidRPr="00A51350">
        <w:rPr>
          <w:color w:val="auto"/>
          <w:szCs w:val="24"/>
        </w:rPr>
        <w:t>2) Behavior, (3) Engageme</w:t>
      </w:r>
      <w:r w:rsidR="002E5370">
        <w:rPr>
          <w:color w:val="auto"/>
          <w:szCs w:val="24"/>
        </w:rPr>
        <w:t xml:space="preserve">nt, (4) Initiative, (5) Problem </w:t>
      </w:r>
      <w:r w:rsidRPr="00A51350">
        <w:rPr>
          <w:color w:val="auto"/>
          <w:szCs w:val="24"/>
        </w:rPr>
        <w:t xml:space="preserve">Solving, (6) Communication, (7) </w:t>
      </w:r>
      <w:r w:rsidR="00D84B4A">
        <w:rPr>
          <w:color w:val="auto"/>
          <w:szCs w:val="24"/>
        </w:rPr>
        <w:t>Relations</w:t>
      </w:r>
      <w:r w:rsidRPr="00A51350">
        <w:rPr>
          <w:color w:val="auto"/>
          <w:szCs w:val="24"/>
        </w:rPr>
        <w:t xml:space="preserve"> with Adults, </w:t>
      </w:r>
      <w:r w:rsidR="00F4558D" w:rsidRPr="00A51350">
        <w:rPr>
          <w:color w:val="auto"/>
          <w:szCs w:val="24"/>
        </w:rPr>
        <w:t xml:space="preserve">and </w:t>
      </w:r>
      <w:r w:rsidR="007659C3" w:rsidRPr="00A51350">
        <w:rPr>
          <w:color w:val="auto"/>
          <w:szCs w:val="24"/>
        </w:rPr>
        <w:t>(8</w:t>
      </w:r>
      <w:r w:rsidRPr="00A51350">
        <w:rPr>
          <w:color w:val="auto"/>
          <w:szCs w:val="24"/>
        </w:rPr>
        <w:t xml:space="preserve">) </w:t>
      </w:r>
      <w:r w:rsidR="00D84B4A">
        <w:rPr>
          <w:color w:val="auto"/>
          <w:szCs w:val="24"/>
        </w:rPr>
        <w:t>Relations</w:t>
      </w:r>
      <w:r w:rsidRPr="00A51350">
        <w:rPr>
          <w:color w:val="auto"/>
          <w:szCs w:val="24"/>
        </w:rPr>
        <w:t xml:space="preserve"> with Peers. </w:t>
      </w:r>
    </w:p>
    <w:p w:rsidR="00CD7BD8" w:rsidRPr="00F97CC3" w:rsidRDefault="00CD7BD8" w:rsidP="000B5963">
      <w:pPr>
        <w:spacing w:line="240" w:lineRule="auto"/>
        <w:rPr>
          <w:rFonts w:eastAsia="Calibri"/>
          <w:color w:val="auto"/>
          <w:szCs w:val="24"/>
          <w:lang w:eastAsia="ja-JP"/>
        </w:rPr>
      </w:pPr>
    </w:p>
    <w:p w:rsidR="000B5963" w:rsidRPr="00F97CC3" w:rsidRDefault="000B5963" w:rsidP="000B5963">
      <w:pPr>
        <w:spacing w:line="240" w:lineRule="auto"/>
        <w:rPr>
          <w:rFonts w:eastAsia="Calibri"/>
          <w:color w:val="auto"/>
          <w:szCs w:val="24"/>
          <w:lang w:eastAsia="ja-JP"/>
        </w:rPr>
      </w:pPr>
      <w:r w:rsidRPr="00F97CC3">
        <w:rPr>
          <w:rFonts w:eastAsia="Calibri"/>
          <w:color w:val="auto"/>
          <w:szCs w:val="24"/>
          <w:lang w:eastAsia="ja-JP"/>
        </w:rPr>
        <w:t xml:space="preserve">The </w:t>
      </w:r>
      <w:r w:rsidRPr="004A0503">
        <w:rPr>
          <w:rFonts w:eastAsia="Calibri"/>
          <w:color w:val="auto"/>
          <w:szCs w:val="24"/>
          <w:lang w:eastAsia="ja-JP"/>
        </w:rPr>
        <w:t>Assessment of Program Practices Tool (APT)</w:t>
      </w:r>
      <w:r w:rsidRPr="00F97CC3">
        <w:rPr>
          <w:rFonts w:eastAsia="Calibri"/>
          <w:color w:val="auto"/>
          <w:szCs w:val="24"/>
          <w:lang w:eastAsia="ja-JP"/>
        </w:rPr>
        <w:t xml:space="preserve"> was used to evaluate characteristics related to the overall structure/organization and functioning of the program, as well as features of the academic and enrichment activities. During a program visit, researchers observed the overall program according to five </w:t>
      </w:r>
      <w:r w:rsidRPr="0037308A">
        <w:rPr>
          <w:rFonts w:eastAsia="Calibri"/>
          <w:color w:val="auto"/>
          <w:szCs w:val="24"/>
          <w:lang w:eastAsia="ja-JP"/>
        </w:rPr>
        <w:t>dimensions:</w:t>
      </w:r>
      <w:r w:rsidRPr="00F97CC3">
        <w:rPr>
          <w:rFonts w:eastAsia="Calibri"/>
          <w:color w:val="auto"/>
          <w:szCs w:val="24"/>
          <w:lang w:eastAsia="ja-JP"/>
        </w:rPr>
        <w:t xml:space="preserve"> (a) </w:t>
      </w:r>
      <w:r w:rsidRPr="00F97CC3">
        <w:rPr>
          <w:rFonts w:eastAsia="Calibri"/>
          <w:iCs/>
          <w:color w:val="auto"/>
          <w:szCs w:val="24"/>
          <w:lang w:eastAsia="ja-JP"/>
        </w:rPr>
        <w:t xml:space="preserve">informal program time (e.g., arrival time), </w:t>
      </w:r>
      <w:r w:rsidRPr="00F97CC3">
        <w:rPr>
          <w:rFonts w:eastAsia="Calibri"/>
          <w:color w:val="auto"/>
          <w:szCs w:val="24"/>
          <w:lang w:eastAsia="ja-JP"/>
        </w:rPr>
        <w:t>(b)</w:t>
      </w:r>
      <w:r w:rsidRPr="00F97CC3">
        <w:rPr>
          <w:rFonts w:eastAsia="Calibri"/>
          <w:iCs/>
          <w:color w:val="auto"/>
          <w:szCs w:val="24"/>
          <w:lang w:eastAsia="ja-JP"/>
        </w:rPr>
        <w:t xml:space="preserve"> academic organization, </w:t>
      </w:r>
      <w:r w:rsidRPr="00F97CC3">
        <w:rPr>
          <w:rFonts w:eastAsia="Calibri"/>
          <w:color w:val="auto"/>
          <w:szCs w:val="24"/>
          <w:lang w:eastAsia="ja-JP"/>
        </w:rPr>
        <w:t>(c)</w:t>
      </w:r>
      <w:r w:rsidRPr="00F97CC3">
        <w:rPr>
          <w:rFonts w:eastAsia="Calibri"/>
          <w:iCs/>
          <w:color w:val="auto"/>
          <w:szCs w:val="24"/>
          <w:lang w:eastAsia="ja-JP"/>
        </w:rPr>
        <w:t xml:space="preserve"> youth participation, </w:t>
      </w:r>
      <w:r w:rsidRPr="00F97CC3">
        <w:rPr>
          <w:rFonts w:eastAsia="Calibri"/>
          <w:color w:val="auto"/>
          <w:szCs w:val="24"/>
          <w:lang w:eastAsia="ja-JP"/>
        </w:rPr>
        <w:t>(d)</w:t>
      </w:r>
      <w:r w:rsidRPr="00F97CC3">
        <w:rPr>
          <w:rFonts w:eastAsia="Calibri"/>
          <w:iCs/>
          <w:color w:val="auto"/>
          <w:szCs w:val="24"/>
          <w:lang w:eastAsia="ja-JP"/>
        </w:rPr>
        <w:t xml:space="preserve"> staff management of academic learning time, </w:t>
      </w:r>
      <w:r w:rsidRPr="00F97CC3">
        <w:rPr>
          <w:rFonts w:eastAsia="Calibri"/>
          <w:iCs/>
          <w:color w:val="auto"/>
          <w:szCs w:val="24"/>
          <w:lang w:eastAsia="ja-JP"/>
        </w:rPr>
        <w:lastRenderedPageBreak/>
        <w:t xml:space="preserve">and </w:t>
      </w:r>
      <w:r w:rsidRPr="00F97CC3">
        <w:rPr>
          <w:rFonts w:eastAsia="Calibri"/>
          <w:color w:val="auto"/>
          <w:szCs w:val="24"/>
          <w:lang w:eastAsia="ja-JP"/>
        </w:rPr>
        <w:t>(e)</w:t>
      </w:r>
      <w:r w:rsidRPr="00F97CC3">
        <w:rPr>
          <w:rFonts w:eastAsia="Calibri"/>
          <w:iCs/>
          <w:color w:val="auto"/>
          <w:szCs w:val="24"/>
          <w:lang w:eastAsia="ja-JP"/>
        </w:rPr>
        <w:t xml:space="preserve"> overall social-emotional environment.</w:t>
      </w:r>
      <w:r w:rsidRPr="00F97CC3">
        <w:rPr>
          <w:rFonts w:eastAsia="Calibri"/>
          <w:color w:val="auto"/>
          <w:szCs w:val="24"/>
          <w:lang w:eastAsia="ja-JP"/>
        </w:rPr>
        <w:t xml:space="preserve"> In addition, researchers evaluated each of the academic and enrichment activities that they observed according to six </w:t>
      </w:r>
      <w:r w:rsidRPr="0037308A">
        <w:rPr>
          <w:rFonts w:eastAsia="Calibri"/>
          <w:color w:val="auto"/>
          <w:szCs w:val="24"/>
          <w:lang w:eastAsia="ja-JP"/>
        </w:rPr>
        <w:t>dimensions:</w:t>
      </w:r>
      <w:r w:rsidRPr="00F97CC3">
        <w:rPr>
          <w:rFonts w:eastAsia="Calibri"/>
          <w:color w:val="auto"/>
          <w:szCs w:val="24"/>
          <w:lang w:eastAsia="ja-JP"/>
        </w:rPr>
        <w:t xml:space="preserve"> (a) </w:t>
      </w:r>
      <w:r w:rsidRPr="00F97CC3">
        <w:rPr>
          <w:rFonts w:eastAsia="Calibri"/>
          <w:iCs/>
          <w:color w:val="auto"/>
          <w:szCs w:val="24"/>
          <w:lang w:eastAsia="ja-JP"/>
        </w:rPr>
        <w:t>organization and nature of the activity</w:t>
      </w:r>
      <w:r w:rsidRPr="00F97CC3">
        <w:rPr>
          <w:rFonts w:eastAsia="Calibri"/>
          <w:color w:val="auto"/>
          <w:szCs w:val="24"/>
          <w:lang w:eastAsia="ja-JP"/>
        </w:rPr>
        <w:t xml:space="preserve">, (b) </w:t>
      </w:r>
      <w:r w:rsidRPr="00F97CC3">
        <w:rPr>
          <w:rFonts w:eastAsia="Calibri"/>
          <w:iCs/>
          <w:color w:val="auto"/>
          <w:szCs w:val="24"/>
          <w:lang w:eastAsia="ja-JP"/>
        </w:rPr>
        <w:t xml:space="preserve">staff ability to promote youth engagement and stimulate thinking, </w:t>
      </w:r>
      <w:r w:rsidRPr="00F97CC3">
        <w:rPr>
          <w:rFonts w:eastAsia="Calibri"/>
          <w:color w:val="auto"/>
          <w:szCs w:val="24"/>
          <w:lang w:eastAsia="ja-JP"/>
        </w:rPr>
        <w:t xml:space="preserve">(c) </w:t>
      </w:r>
      <w:r w:rsidRPr="00F97CC3">
        <w:rPr>
          <w:rFonts w:eastAsia="Calibri"/>
          <w:iCs/>
          <w:color w:val="auto"/>
          <w:szCs w:val="24"/>
          <w:lang w:eastAsia="ja-JP"/>
        </w:rPr>
        <w:t>staff ability to positively guide youth behavior</w:t>
      </w:r>
      <w:r w:rsidRPr="00F97CC3">
        <w:rPr>
          <w:rFonts w:eastAsia="Calibri"/>
          <w:color w:val="auto"/>
          <w:szCs w:val="24"/>
          <w:lang w:eastAsia="ja-JP"/>
        </w:rPr>
        <w:t xml:space="preserve">, (d) </w:t>
      </w:r>
      <w:r w:rsidRPr="00F97CC3">
        <w:rPr>
          <w:rFonts w:eastAsia="Calibri"/>
          <w:iCs/>
          <w:color w:val="auto"/>
          <w:szCs w:val="24"/>
          <w:lang w:eastAsia="ja-JP"/>
        </w:rPr>
        <w:t>staff build relationships and support individual youth</w:t>
      </w:r>
      <w:r w:rsidRPr="00F97CC3">
        <w:rPr>
          <w:rFonts w:eastAsia="Calibri"/>
          <w:color w:val="auto"/>
          <w:szCs w:val="24"/>
          <w:lang w:eastAsia="ja-JP"/>
        </w:rPr>
        <w:t xml:space="preserve">, (e) </w:t>
      </w:r>
      <w:r w:rsidRPr="00F97CC3">
        <w:rPr>
          <w:rFonts w:eastAsia="Calibri"/>
          <w:iCs/>
          <w:color w:val="auto"/>
          <w:szCs w:val="24"/>
          <w:lang w:eastAsia="ja-JP"/>
        </w:rPr>
        <w:t>youth participation in activity time, and (f) youth relations with others.</w:t>
      </w:r>
      <w:r w:rsidRPr="00F97CC3">
        <w:rPr>
          <w:rFonts w:eastAsia="Calibri"/>
          <w:i/>
          <w:iCs/>
          <w:color w:val="auto"/>
          <w:szCs w:val="24"/>
          <w:lang w:eastAsia="ja-JP"/>
        </w:rPr>
        <w:t xml:space="preserve"> </w:t>
      </w:r>
      <w:r w:rsidRPr="00F97CC3">
        <w:rPr>
          <w:rFonts w:eastAsia="Calibri"/>
          <w:color w:val="auto"/>
          <w:szCs w:val="24"/>
          <w:lang w:eastAsia="ja-JP"/>
        </w:rPr>
        <w:t>Researchers rated each of the items that comprised these dimensions on a scale from 1</w:t>
      </w:r>
      <w:r w:rsidRPr="00F97CC3">
        <w:rPr>
          <w:rFonts w:eastAsia="Calibri"/>
          <w:i/>
          <w:iCs/>
          <w:color w:val="auto"/>
          <w:szCs w:val="24"/>
          <w:lang w:eastAsia="ja-JP"/>
        </w:rPr>
        <w:t xml:space="preserve"> (not true)</w:t>
      </w:r>
      <w:r w:rsidRPr="00F97CC3">
        <w:rPr>
          <w:rFonts w:eastAsia="Calibri"/>
          <w:color w:val="auto"/>
          <w:szCs w:val="24"/>
          <w:lang w:eastAsia="ja-JP"/>
        </w:rPr>
        <w:t xml:space="preserve"> to 4</w:t>
      </w:r>
      <w:r w:rsidRPr="00F97CC3">
        <w:rPr>
          <w:rFonts w:eastAsia="Calibri"/>
          <w:i/>
          <w:iCs/>
          <w:color w:val="auto"/>
          <w:szCs w:val="24"/>
          <w:lang w:eastAsia="ja-JP"/>
        </w:rPr>
        <w:t xml:space="preserve"> (very true).</w:t>
      </w:r>
      <w:r w:rsidRPr="00F97CC3">
        <w:rPr>
          <w:rFonts w:eastAsia="Calibri"/>
          <w:color w:val="auto"/>
          <w:szCs w:val="24"/>
          <w:lang w:eastAsia="ja-JP"/>
        </w:rPr>
        <w:t xml:space="preserve"> Individual item ratings for each of the dimensions were combined, and then an overall mean score was create</w:t>
      </w:r>
      <w:r w:rsidR="0051385C" w:rsidRPr="00F97CC3">
        <w:rPr>
          <w:rFonts w:eastAsia="Calibri"/>
          <w:color w:val="auto"/>
          <w:szCs w:val="24"/>
          <w:lang w:eastAsia="ja-JP"/>
        </w:rPr>
        <w:t>d for each of the dimensions.</w:t>
      </w:r>
    </w:p>
    <w:p w:rsidR="001A116F" w:rsidRPr="00F97CC3" w:rsidRDefault="001A116F" w:rsidP="00A01B9F">
      <w:pPr>
        <w:spacing w:line="240" w:lineRule="auto"/>
        <w:rPr>
          <w:szCs w:val="24"/>
        </w:rPr>
      </w:pPr>
    </w:p>
    <w:p w:rsidR="00424CF6" w:rsidRPr="00F97CC3" w:rsidRDefault="001C6A41" w:rsidP="00EF49B0">
      <w:pPr>
        <w:rPr>
          <w:szCs w:val="24"/>
        </w:rPr>
      </w:pPr>
      <w:r w:rsidRPr="00F97CC3">
        <w:rPr>
          <w:szCs w:val="24"/>
        </w:rPr>
        <w:t xml:space="preserve">Data for examining summer learning loss </w:t>
      </w:r>
      <w:r w:rsidR="00981D1F">
        <w:rPr>
          <w:szCs w:val="24"/>
        </w:rPr>
        <w:t>were</w:t>
      </w:r>
      <w:r w:rsidRPr="00F97CC3">
        <w:rPr>
          <w:szCs w:val="24"/>
        </w:rPr>
        <w:t xml:space="preserve"> collected in the fall through program leaders and associated school personnel. Given the number of school districts participating, there was great variety in the assessments </w:t>
      </w:r>
      <w:r w:rsidR="003E35A6" w:rsidRPr="00F97CC3">
        <w:rPr>
          <w:szCs w:val="24"/>
        </w:rPr>
        <w:t xml:space="preserve">and in the rigor of </w:t>
      </w:r>
      <w:r w:rsidR="004D70F2" w:rsidRPr="00F97CC3">
        <w:rPr>
          <w:szCs w:val="24"/>
        </w:rPr>
        <w:t>assessments</w:t>
      </w:r>
      <w:r w:rsidR="003E35A6" w:rsidRPr="00F97CC3">
        <w:rPr>
          <w:szCs w:val="24"/>
        </w:rPr>
        <w:t xml:space="preserve"> utilized to investigate </w:t>
      </w:r>
      <w:r w:rsidRPr="00F97CC3">
        <w:rPr>
          <w:szCs w:val="24"/>
        </w:rPr>
        <w:t xml:space="preserve">possible impacts of summer participation on summer learning loss. </w:t>
      </w:r>
    </w:p>
    <w:p w:rsidR="00927F19" w:rsidRDefault="004D70F2" w:rsidP="00EF49B0">
      <w:r w:rsidRPr="00F97CC3">
        <w:t xml:space="preserve"> </w:t>
      </w:r>
    </w:p>
    <w:p w:rsidR="00927F19" w:rsidRPr="00F97CC3" w:rsidRDefault="00927F19" w:rsidP="00EF49B0"/>
    <w:p w:rsidR="007378E7" w:rsidRPr="007378E7" w:rsidRDefault="002A6E0D" w:rsidP="007378E7">
      <w:pPr>
        <w:pStyle w:val="Heading1"/>
        <w:rPr>
          <w:rFonts w:cs="Times New Roman"/>
        </w:rPr>
      </w:pPr>
      <w:bookmarkStart w:id="3" w:name="_Toc407103940"/>
      <w:r w:rsidRPr="00F97CC3">
        <w:rPr>
          <w:rFonts w:cs="Times New Roman"/>
        </w:rPr>
        <w:t>Findings</w:t>
      </w:r>
      <w:bookmarkEnd w:id="3"/>
    </w:p>
    <w:p w:rsidR="00455A88" w:rsidRPr="00981D1F" w:rsidRDefault="00455A88" w:rsidP="00B7538A">
      <w:pPr>
        <w:spacing w:line="240" w:lineRule="auto"/>
        <w:rPr>
          <w:b/>
          <w:i/>
          <w:szCs w:val="24"/>
        </w:rPr>
      </w:pPr>
      <w:r w:rsidRPr="00981D1F">
        <w:rPr>
          <w:b/>
          <w:i/>
          <w:szCs w:val="24"/>
        </w:rPr>
        <w:t>SAYO Assessment</w:t>
      </w:r>
    </w:p>
    <w:p w:rsidR="00B7538A" w:rsidRPr="00F97CC3" w:rsidRDefault="00895F0B" w:rsidP="00B7538A">
      <w:pPr>
        <w:spacing w:line="240" w:lineRule="auto"/>
        <w:rPr>
          <w:szCs w:val="24"/>
        </w:rPr>
      </w:pPr>
      <w:r w:rsidRPr="00F97CC3">
        <w:rPr>
          <w:szCs w:val="24"/>
        </w:rPr>
        <w:t>SAYO data were collected from</w:t>
      </w:r>
      <w:r w:rsidR="00B7538A" w:rsidRPr="00F97CC3">
        <w:rPr>
          <w:szCs w:val="24"/>
        </w:rPr>
        <w:t xml:space="preserve"> all</w:t>
      </w:r>
      <w:r w:rsidRPr="00F97CC3">
        <w:rPr>
          <w:szCs w:val="24"/>
        </w:rPr>
        <w:t xml:space="preserve"> </w:t>
      </w:r>
      <w:r w:rsidR="00981D1F">
        <w:rPr>
          <w:szCs w:val="24"/>
        </w:rPr>
        <w:t>10</w:t>
      </w:r>
      <w:r w:rsidRPr="00F97CC3">
        <w:rPr>
          <w:szCs w:val="24"/>
        </w:rPr>
        <w:t xml:space="preserve"> programs participating in the </w:t>
      </w:r>
      <w:r w:rsidR="00B7538A" w:rsidRPr="00E6250A">
        <w:rPr>
          <w:szCs w:val="24"/>
        </w:rPr>
        <w:t xml:space="preserve">2014 Summer Enhancement Grant </w:t>
      </w:r>
      <w:r w:rsidR="000C4CB8" w:rsidRPr="00E6250A">
        <w:rPr>
          <w:szCs w:val="24"/>
        </w:rPr>
        <w:t>Program</w:t>
      </w:r>
      <w:r w:rsidR="00B7538A" w:rsidRPr="00E6250A">
        <w:rPr>
          <w:szCs w:val="24"/>
        </w:rPr>
        <w:t>.</w:t>
      </w:r>
      <w:r w:rsidR="00B7538A" w:rsidRPr="00F97CC3">
        <w:rPr>
          <w:szCs w:val="24"/>
        </w:rPr>
        <w:t xml:space="preserve"> Aggregate</w:t>
      </w:r>
      <w:r w:rsidRPr="00F97CC3">
        <w:rPr>
          <w:szCs w:val="24"/>
        </w:rPr>
        <w:t xml:space="preserve"> results show improvement from pre</w:t>
      </w:r>
      <w:r w:rsidR="00B7538A" w:rsidRPr="00F97CC3">
        <w:rPr>
          <w:szCs w:val="24"/>
        </w:rPr>
        <w:t xml:space="preserve">- </w:t>
      </w:r>
      <w:r w:rsidRPr="00F97CC3">
        <w:rPr>
          <w:szCs w:val="24"/>
        </w:rPr>
        <w:t>to post</w:t>
      </w:r>
      <w:r w:rsidR="00B7538A" w:rsidRPr="00F97CC3">
        <w:rPr>
          <w:szCs w:val="24"/>
        </w:rPr>
        <w:t>-</w:t>
      </w:r>
      <w:r w:rsidR="007659C3" w:rsidRPr="00F97CC3">
        <w:rPr>
          <w:szCs w:val="24"/>
        </w:rPr>
        <w:t>assessment overall</w:t>
      </w:r>
      <w:r w:rsidR="00B7538A" w:rsidRPr="00F97CC3">
        <w:rPr>
          <w:szCs w:val="24"/>
        </w:rPr>
        <w:t xml:space="preserve"> </w:t>
      </w:r>
      <w:r w:rsidR="007659C3" w:rsidRPr="00F97CC3">
        <w:rPr>
          <w:szCs w:val="24"/>
        </w:rPr>
        <w:t>for youth</w:t>
      </w:r>
      <w:r w:rsidRPr="00F97CC3">
        <w:rPr>
          <w:szCs w:val="24"/>
        </w:rPr>
        <w:t xml:space="preserve"> in almost every outcome area measured</w:t>
      </w:r>
      <w:r w:rsidR="001E5596">
        <w:rPr>
          <w:szCs w:val="24"/>
        </w:rPr>
        <w:t xml:space="preserve">. </w:t>
      </w:r>
      <w:r w:rsidRPr="00F97CC3">
        <w:rPr>
          <w:szCs w:val="24"/>
        </w:rPr>
        <w:t>One outcome area, Social Science, showed a slight decrease in ratings from pre</w:t>
      </w:r>
      <w:r w:rsidR="00B7538A" w:rsidRPr="00F97CC3">
        <w:rPr>
          <w:szCs w:val="24"/>
        </w:rPr>
        <w:t>-</w:t>
      </w:r>
      <w:r w:rsidRPr="00F97CC3">
        <w:rPr>
          <w:szCs w:val="24"/>
        </w:rPr>
        <w:t xml:space="preserve"> to post</w:t>
      </w:r>
      <w:r w:rsidR="00B7538A" w:rsidRPr="00F97CC3">
        <w:rPr>
          <w:szCs w:val="24"/>
        </w:rPr>
        <w:t>-assessment</w:t>
      </w:r>
      <w:r w:rsidRPr="00F97CC3">
        <w:rPr>
          <w:szCs w:val="24"/>
        </w:rPr>
        <w:t xml:space="preserve">. </w:t>
      </w:r>
      <w:r w:rsidR="00B7538A" w:rsidRPr="00F97CC3">
        <w:rPr>
          <w:szCs w:val="24"/>
        </w:rPr>
        <w:t>Program teachers generally rated intermediary skill gain higher than academic</w:t>
      </w:r>
      <w:r w:rsidR="00AF3D14" w:rsidRPr="00F97CC3">
        <w:rPr>
          <w:szCs w:val="24"/>
        </w:rPr>
        <w:t xml:space="preserve"> (Social Science, Science, Reading, Communication, and Math</w:t>
      </w:r>
      <w:r w:rsidR="00981D1F">
        <w:rPr>
          <w:szCs w:val="24"/>
        </w:rPr>
        <w:t>ematics</w:t>
      </w:r>
      <w:r w:rsidR="00AF3D14" w:rsidRPr="00F97CC3">
        <w:rPr>
          <w:szCs w:val="24"/>
        </w:rPr>
        <w:t>)</w:t>
      </w:r>
      <w:r w:rsidR="00B7538A" w:rsidRPr="00F97CC3">
        <w:rPr>
          <w:szCs w:val="24"/>
        </w:rPr>
        <w:t xml:space="preserve"> skill gain</w:t>
      </w:r>
      <w:r w:rsidR="001B5946" w:rsidRPr="00F97CC3">
        <w:rPr>
          <w:szCs w:val="24"/>
        </w:rPr>
        <w:t xml:space="preserve"> (see Table 3)</w:t>
      </w:r>
      <w:r w:rsidR="00B7538A" w:rsidRPr="00F97CC3">
        <w:rPr>
          <w:szCs w:val="24"/>
        </w:rPr>
        <w:t xml:space="preserve">. </w:t>
      </w:r>
    </w:p>
    <w:p w:rsidR="00B7538A" w:rsidRPr="00F97CC3" w:rsidRDefault="00B7538A" w:rsidP="00B7538A">
      <w:pPr>
        <w:spacing w:line="240" w:lineRule="auto"/>
        <w:rPr>
          <w:rFonts w:eastAsia="Calibri"/>
          <w:color w:val="auto"/>
          <w:szCs w:val="24"/>
        </w:rPr>
      </w:pPr>
    </w:p>
    <w:p w:rsidR="00B7538A" w:rsidRPr="00A51350" w:rsidRDefault="00B7538A" w:rsidP="00B7538A">
      <w:pPr>
        <w:spacing w:line="240" w:lineRule="auto"/>
        <w:rPr>
          <w:rFonts w:eastAsia="Calibri"/>
          <w:b/>
          <w:color w:val="auto"/>
          <w:sz w:val="22"/>
          <w:szCs w:val="22"/>
        </w:rPr>
      </w:pPr>
      <w:r w:rsidRPr="00A51350">
        <w:rPr>
          <w:b/>
          <w:color w:val="000000"/>
          <w:sz w:val="22"/>
          <w:szCs w:val="22"/>
        </w:rPr>
        <w:t>Table</w:t>
      </w:r>
      <w:r w:rsidR="001B5946" w:rsidRPr="00A51350">
        <w:rPr>
          <w:b/>
          <w:color w:val="000000"/>
          <w:sz w:val="22"/>
          <w:szCs w:val="22"/>
        </w:rPr>
        <w:t xml:space="preserve"> </w:t>
      </w:r>
      <w:r w:rsidR="007659C3" w:rsidRPr="00A51350">
        <w:rPr>
          <w:b/>
          <w:color w:val="000000"/>
          <w:sz w:val="22"/>
          <w:szCs w:val="22"/>
        </w:rPr>
        <w:t xml:space="preserve">3. </w:t>
      </w:r>
      <w:r w:rsidRPr="00A51350">
        <w:rPr>
          <w:b/>
          <w:color w:val="000000"/>
          <w:sz w:val="22"/>
          <w:szCs w:val="22"/>
        </w:rPr>
        <w:t>SAYO Percentage Change from Pre- to Post-Assessment for All Youth</w:t>
      </w:r>
    </w:p>
    <w:tbl>
      <w:tblPr>
        <w:tblW w:w="74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5"/>
        <w:gridCol w:w="1070"/>
        <w:gridCol w:w="3250"/>
      </w:tblGrid>
      <w:tr w:rsidR="00B7538A" w:rsidRPr="00F97CC3" w:rsidTr="00FB2542">
        <w:trPr>
          <w:trHeight w:val="288"/>
          <w:tblHeader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AF3D14">
            <w:pPr>
              <w:spacing w:line="240" w:lineRule="auto"/>
              <w:rPr>
                <w:b/>
                <w:bCs/>
                <w:color w:val="000000"/>
                <w:szCs w:val="22"/>
              </w:rPr>
            </w:pPr>
            <w:r w:rsidRPr="00F97CC3">
              <w:rPr>
                <w:b/>
                <w:bCs/>
                <w:color w:val="000000"/>
                <w:sz w:val="22"/>
                <w:szCs w:val="22"/>
              </w:rPr>
              <w:t xml:space="preserve">SAYO </w:t>
            </w:r>
            <w:r w:rsidR="00AF3D14" w:rsidRPr="00F97CC3">
              <w:rPr>
                <w:b/>
                <w:bCs/>
                <w:color w:val="000000"/>
                <w:sz w:val="22"/>
                <w:szCs w:val="22"/>
              </w:rPr>
              <w:t>Outcome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2E5370" w:rsidP="00AD0F3C">
            <w:pPr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F97CC3">
              <w:rPr>
                <w:b/>
                <w:bCs/>
                <w:color w:val="000000"/>
                <w:sz w:val="22"/>
                <w:szCs w:val="22"/>
              </w:rPr>
              <w:t>Mean Percent Change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Social Science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-5%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Science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14%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13%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Verbal Communication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11%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Written Communication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11%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5%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CF0BDA" w:rsidP="00B7538A">
            <w:pPr>
              <w:spacing w:line="240" w:lineRule="auto"/>
              <w:rPr>
                <w:color w:val="000000"/>
                <w:szCs w:val="22"/>
              </w:rPr>
            </w:pPr>
            <w:r w:rsidRPr="00CF0BDA">
              <w:rPr>
                <w:color w:val="000000"/>
                <w:sz w:val="22"/>
                <w:szCs w:val="22"/>
              </w:rPr>
              <w:t xml:space="preserve">Mathematics Problem </w:t>
            </w:r>
            <w:r w:rsidR="00B7538A" w:rsidRPr="00CF0BDA">
              <w:rPr>
                <w:color w:val="000000"/>
                <w:sz w:val="22"/>
                <w:szCs w:val="22"/>
              </w:rPr>
              <w:t>Solving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23%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Learning Skills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23%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Behavior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749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20%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Initiative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25%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Relations with Adults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24%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Relations with Peers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22%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CF0BDA" w:rsidP="00B7538A">
            <w:pPr>
              <w:spacing w:line="240" w:lineRule="auto"/>
              <w:rPr>
                <w:color w:val="000000"/>
                <w:szCs w:val="22"/>
              </w:rPr>
            </w:pPr>
            <w:r w:rsidRPr="00CF0BDA">
              <w:rPr>
                <w:color w:val="000000"/>
                <w:sz w:val="22"/>
                <w:szCs w:val="22"/>
              </w:rPr>
              <w:t xml:space="preserve">Problem </w:t>
            </w:r>
            <w:r w:rsidR="00B7538A" w:rsidRPr="00CF0BDA">
              <w:rPr>
                <w:color w:val="000000"/>
                <w:sz w:val="22"/>
                <w:szCs w:val="22"/>
              </w:rPr>
              <w:t>Solving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40%</w:t>
            </w:r>
          </w:p>
        </w:tc>
      </w:tr>
    </w:tbl>
    <w:p w:rsidR="00B7538A" w:rsidRPr="00F97CC3" w:rsidRDefault="00B7538A" w:rsidP="00B7538A">
      <w:pPr>
        <w:spacing w:line="240" w:lineRule="auto"/>
        <w:rPr>
          <w:rFonts w:eastAsia="Calibri"/>
          <w:color w:val="auto"/>
          <w:szCs w:val="24"/>
        </w:rPr>
      </w:pPr>
    </w:p>
    <w:p w:rsidR="00AF3D14" w:rsidRPr="00F97CC3" w:rsidRDefault="00B7538A" w:rsidP="00AF3D14">
      <w:pPr>
        <w:spacing w:line="240" w:lineRule="auto"/>
        <w:rPr>
          <w:rFonts w:eastAsia="Calibri"/>
          <w:color w:val="auto"/>
          <w:szCs w:val="24"/>
        </w:rPr>
      </w:pPr>
      <w:r w:rsidRPr="00F97CC3">
        <w:rPr>
          <w:rFonts w:eastAsia="Calibri"/>
          <w:color w:val="auto"/>
          <w:szCs w:val="24"/>
        </w:rPr>
        <w:t>More than 85</w:t>
      </w:r>
      <w:r w:rsidR="00D52CF8">
        <w:rPr>
          <w:rFonts w:eastAsia="Calibri"/>
          <w:color w:val="auto"/>
          <w:szCs w:val="24"/>
        </w:rPr>
        <w:t xml:space="preserve"> percent</w:t>
      </w:r>
      <w:r w:rsidRPr="00F97CC3">
        <w:rPr>
          <w:rFonts w:eastAsia="Calibri"/>
          <w:color w:val="auto"/>
          <w:szCs w:val="24"/>
        </w:rPr>
        <w:t xml:space="preserve"> of youth participating in this year’s summer learning prog</w:t>
      </w:r>
      <w:r w:rsidR="0051385C" w:rsidRPr="00F97CC3">
        <w:rPr>
          <w:rFonts w:eastAsia="Calibri"/>
          <w:color w:val="auto"/>
          <w:szCs w:val="24"/>
        </w:rPr>
        <w:t xml:space="preserve">ram were enrolled in </w:t>
      </w:r>
      <w:r w:rsidR="0051385C" w:rsidRPr="00E6250A">
        <w:rPr>
          <w:rFonts w:eastAsia="Calibri"/>
          <w:color w:val="auto"/>
          <w:szCs w:val="24"/>
        </w:rPr>
        <w:t>elementary-</w:t>
      </w:r>
      <w:r w:rsidRPr="00E6250A">
        <w:rPr>
          <w:rFonts w:eastAsia="Calibri"/>
          <w:color w:val="auto"/>
          <w:szCs w:val="24"/>
        </w:rPr>
        <w:t>age programs</w:t>
      </w:r>
      <w:r w:rsidR="001E5596" w:rsidRPr="00E6250A">
        <w:rPr>
          <w:rFonts w:eastAsia="Calibri"/>
          <w:color w:val="auto"/>
          <w:szCs w:val="24"/>
        </w:rPr>
        <w:t>.</w:t>
      </w:r>
      <w:r w:rsidR="001E5596">
        <w:rPr>
          <w:rFonts w:eastAsia="Calibri"/>
          <w:color w:val="auto"/>
          <w:szCs w:val="24"/>
        </w:rPr>
        <w:t xml:space="preserve"> </w:t>
      </w:r>
      <w:r w:rsidRPr="00F97CC3">
        <w:rPr>
          <w:rFonts w:eastAsia="Calibri"/>
          <w:color w:val="auto"/>
          <w:szCs w:val="24"/>
        </w:rPr>
        <w:t xml:space="preserve">SAYO data </w:t>
      </w:r>
      <w:r w:rsidR="000D6C9A">
        <w:rPr>
          <w:rFonts w:eastAsia="Calibri"/>
          <w:color w:val="auto"/>
          <w:szCs w:val="24"/>
        </w:rPr>
        <w:t>indicate</w:t>
      </w:r>
      <w:r w:rsidR="000D6C9A" w:rsidRPr="00F97CC3">
        <w:rPr>
          <w:rFonts w:eastAsia="Calibri"/>
          <w:color w:val="auto"/>
          <w:szCs w:val="24"/>
        </w:rPr>
        <w:t xml:space="preserve"> </w:t>
      </w:r>
      <w:r w:rsidRPr="00E6250A">
        <w:rPr>
          <w:rFonts w:eastAsia="Calibri"/>
          <w:color w:val="auto"/>
          <w:szCs w:val="24"/>
        </w:rPr>
        <w:t>that</w:t>
      </w:r>
      <w:r w:rsidR="00A51350">
        <w:rPr>
          <w:rFonts w:eastAsia="Calibri"/>
          <w:color w:val="auto"/>
          <w:szCs w:val="24"/>
        </w:rPr>
        <w:t xml:space="preserve"> on average</w:t>
      </w:r>
      <w:r w:rsidRPr="00E6250A">
        <w:rPr>
          <w:rFonts w:eastAsia="Calibri"/>
          <w:color w:val="auto"/>
          <w:szCs w:val="24"/>
        </w:rPr>
        <w:t xml:space="preserve"> youth</w:t>
      </w:r>
      <w:r w:rsidRPr="00F97CC3">
        <w:rPr>
          <w:rFonts w:eastAsia="Calibri"/>
          <w:color w:val="auto"/>
          <w:szCs w:val="24"/>
        </w:rPr>
        <w:t xml:space="preserve"> in elementary-age programs showed improvement from pre-</w:t>
      </w:r>
      <w:r w:rsidR="000B51CE" w:rsidRPr="00F97CC3">
        <w:rPr>
          <w:rFonts w:eastAsia="Calibri"/>
          <w:color w:val="auto"/>
          <w:szCs w:val="24"/>
        </w:rPr>
        <w:t>assessment</w:t>
      </w:r>
      <w:r w:rsidRPr="00F97CC3">
        <w:rPr>
          <w:rFonts w:eastAsia="Calibri"/>
          <w:color w:val="auto"/>
          <w:szCs w:val="24"/>
        </w:rPr>
        <w:t xml:space="preserve"> to post-assessment in all outcome areas measured. Avera</w:t>
      </w:r>
      <w:r w:rsidR="00AF3D14" w:rsidRPr="00F97CC3">
        <w:rPr>
          <w:rFonts w:eastAsia="Calibri"/>
          <w:color w:val="auto"/>
          <w:szCs w:val="24"/>
        </w:rPr>
        <w:t>ge gains ranged from 10</w:t>
      </w:r>
      <w:r w:rsidR="00D52CF8">
        <w:rPr>
          <w:rFonts w:eastAsia="Calibri"/>
          <w:color w:val="auto"/>
          <w:szCs w:val="24"/>
        </w:rPr>
        <w:t xml:space="preserve"> percent</w:t>
      </w:r>
      <w:r w:rsidR="00AF3D14" w:rsidRPr="00F97CC3">
        <w:rPr>
          <w:rFonts w:eastAsia="Calibri"/>
          <w:color w:val="auto"/>
          <w:szCs w:val="24"/>
        </w:rPr>
        <w:t xml:space="preserve"> to 46</w:t>
      </w:r>
      <w:r w:rsidR="00D52CF8">
        <w:rPr>
          <w:rFonts w:eastAsia="Calibri"/>
          <w:color w:val="auto"/>
          <w:szCs w:val="24"/>
        </w:rPr>
        <w:t xml:space="preserve"> percent</w:t>
      </w:r>
      <w:r w:rsidR="00AF3D14" w:rsidRPr="00F97CC3">
        <w:rPr>
          <w:rFonts w:eastAsia="Calibri"/>
          <w:color w:val="auto"/>
          <w:szCs w:val="24"/>
        </w:rPr>
        <w:t xml:space="preserve">. </w:t>
      </w:r>
      <w:r w:rsidR="0051385C" w:rsidRPr="00F97CC3">
        <w:rPr>
          <w:rFonts w:eastAsia="Calibri"/>
          <w:color w:val="auto"/>
          <w:szCs w:val="24"/>
        </w:rPr>
        <w:t>High school youth showed less improvement from pr</w:t>
      </w:r>
      <w:r w:rsidR="000B51CE">
        <w:rPr>
          <w:rFonts w:eastAsia="Calibri"/>
          <w:color w:val="auto"/>
          <w:szCs w:val="24"/>
        </w:rPr>
        <w:t>e-assessment to post-assessment</w:t>
      </w:r>
      <w:r w:rsidR="0051385C" w:rsidRPr="00F97CC3">
        <w:rPr>
          <w:rFonts w:eastAsia="Calibri"/>
          <w:color w:val="auto"/>
          <w:szCs w:val="24"/>
        </w:rPr>
        <w:t xml:space="preserve"> but were rated higher on average </w:t>
      </w:r>
      <w:r w:rsidR="000B51CE" w:rsidRPr="00F97CC3">
        <w:rPr>
          <w:rFonts w:eastAsia="Calibri"/>
          <w:color w:val="auto"/>
          <w:szCs w:val="24"/>
        </w:rPr>
        <w:t xml:space="preserve">at pre-assessment </w:t>
      </w:r>
      <w:r w:rsidR="0051385C" w:rsidRPr="00F97CC3">
        <w:rPr>
          <w:rFonts w:eastAsia="Calibri"/>
          <w:color w:val="auto"/>
          <w:szCs w:val="24"/>
        </w:rPr>
        <w:t>than elementary children and sample size was much smaller. For high school youth, a</w:t>
      </w:r>
      <w:r w:rsidR="00AF3D14" w:rsidRPr="00F97CC3">
        <w:rPr>
          <w:rFonts w:eastAsia="Calibri"/>
          <w:color w:val="auto"/>
          <w:szCs w:val="24"/>
        </w:rPr>
        <w:t xml:space="preserve">verage gains for </w:t>
      </w:r>
      <w:r w:rsidR="00455A88" w:rsidRPr="00F97CC3">
        <w:rPr>
          <w:rFonts w:eastAsia="Calibri"/>
          <w:color w:val="auto"/>
          <w:szCs w:val="24"/>
        </w:rPr>
        <w:t>academic</w:t>
      </w:r>
      <w:r w:rsidR="00AF3D14" w:rsidRPr="00F97CC3">
        <w:rPr>
          <w:rFonts w:eastAsia="Calibri"/>
          <w:color w:val="auto"/>
          <w:szCs w:val="24"/>
        </w:rPr>
        <w:t xml:space="preserve"> outcomes ranged from 1</w:t>
      </w:r>
      <w:r w:rsidR="00D52CF8">
        <w:rPr>
          <w:rFonts w:eastAsia="Calibri"/>
          <w:color w:val="auto"/>
          <w:szCs w:val="24"/>
        </w:rPr>
        <w:t xml:space="preserve"> percent</w:t>
      </w:r>
      <w:r w:rsidR="00AF3D14" w:rsidRPr="00F97CC3">
        <w:rPr>
          <w:rFonts w:eastAsia="Calibri"/>
          <w:color w:val="auto"/>
          <w:szCs w:val="24"/>
        </w:rPr>
        <w:t xml:space="preserve"> to 2</w:t>
      </w:r>
      <w:r w:rsidR="00D52CF8">
        <w:rPr>
          <w:rFonts w:eastAsia="Calibri"/>
          <w:color w:val="auto"/>
          <w:szCs w:val="24"/>
        </w:rPr>
        <w:t xml:space="preserve"> percent</w:t>
      </w:r>
      <w:r w:rsidR="00AF3D14" w:rsidRPr="00F97CC3">
        <w:rPr>
          <w:rFonts w:eastAsia="Calibri"/>
          <w:color w:val="auto"/>
          <w:szCs w:val="24"/>
        </w:rPr>
        <w:t xml:space="preserve">, while average gains for </w:t>
      </w:r>
      <w:r w:rsidR="00455A88" w:rsidRPr="00F97CC3">
        <w:rPr>
          <w:rFonts w:eastAsia="Calibri"/>
          <w:color w:val="auto"/>
          <w:szCs w:val="24"/>
        </w:rPr>
        <w:t>intermediary</w:t>
      </w:r>
      <w:r w:rsidR="00AF3D14" w:rsidRPr="00F97CC3">
        <w:rPr>
          <w:rFonts w:eastAsia="Calibri"/>
          <w:color w:val="auto"/>
          <w:szCs w:val="24"/>
        </w:rPr>
        <w:t xml:space="preserve"> outcomes ranged from 12</w:t>
      </w:r>
      <w:r w:rsidR="00D52CF8">
        <w:rPr>
          <w:rFonts w:eastAsia="Calibri"/>
          <w:color w:val="auto"/>
          <w:szCs w:val="24"/>
        </w:rPr>
        <w:t xml:space="preserve"> percent</w:t>
      </w:r>
      <w:r w:rsidR="002E5370">
        <w:rPr>
          <w:rFonts w:eastAsia="Calibri"/>
          <w:color w:val="auto"/>
          <w:szCs w:val="24"/>
        </w:rPr>
        <w:t xml:space="preserve"> to 24</w:t>
      </w:r>
      <w:r w:rsidR="00D52CF8">
        <w:rPr>
          <w:rFonts w:eastAsia="Calibri"/>
          <w:color w:val="auto"/>
          <w:szCs w:val="24"/>
        </w:rPr>
        <w:t xml:space="preserve"> percent</w:t>
      </w:r>
      <w:r w:rsidR="00455A88" w:rsidRPr="00F97CC3">
        <w:rPr>
          <w:rFonts w:eastAsia="Calibri"/>
          <w:color w:val="auto"/>
          <w:szCs w:val="24"/>
        </w:rPr>
        <w:t xml:space="preserve"> (s</w:t>
      </w:r>
      <w:r w:rsidR="001B5946" w:rsidRPr="00F97CC3">
        <w:rPr>
          <w:rFonts w:eastAsia="Calibri"/>
          <w:color w:val="auto"/>
          <w:szCs w:val="24"/>
        </w:rPr>
        <w:t>ee Table 4</w:t>
      </w:r>
      <w:r w:rsidR="00AF3D14" w:rsidRPr="00F97CC3">
        <w:rPr>
          <w:rFonts w:eastAsia="Calibri"/>
          <w:color w:val="auto"/>
          <w:szCs w:val="24"/>
        </w:rPr>
        <w:t>)</w:t>
      </w:r>
      <w:r w:rsidR="001E5596">
        <w:rPr>
          <w:rFonts w:eastAsia="Calibri"/>
          <w:color w:val="auto"/>
          <w:szCs w:val="24"/>
        </w:rPr>
        <w:t xml:space="preserve">. </w:t>
      </w:r>
      <w:r w:rsidR="00AF3D14" w:rsidRPr="00F97CC3">
        <w:rPr>
          <w:rFonts w:eastAsia="Calibri"/>
          <w:color w:val="auto"/>
          <w:szCs w:val="24"/>
        </w:rPr>
        <w:t xml:space="preserve"> </w:t>
      </w:r>
    </w:p>
    <w:p w:rsidR="00B7538A" w:rsidRPr="00F97CC3" w:rsidRDefault="00B7538A" w:rsidP="00B7538A">
      <w:pPr>
        <w:spacing w:line="240" w:lineRule="auto"/>
        <w:rPr>
          <w:rFonts w:eastAsia="Calibri"/>
          <w:color w:val="auto"/>
          <w:szCs w:val="24"/>
        </w:rPr>
      </w:pPr>
    </w:p>
    <w:p w:rsidR="00B7538A" w:rsidRPr="00F97CC3" w:rsidRDefault="00AD0F3C" w:rsidP="00B7538A">
      <w:pPr>
        <w:spacing w:line="240" w:lineRule="auto"/>
        <w:rPr>
          <w:rFonts w:eastAsia="Calibri"/>
          <w:b/>
          <w:color w:val="auto"/>
          <w:sz w:val="22"/>
          <w:szCs w:val="22"/>
        </w:rPr>
      </w:pPr>
      <w:r w:rsidRPr="00F97CC3">
        <w:rPr>
          <w:b/>
          <w:color w:val="000000"/>
          <w:sz w:val="22"/>
          <w:szCs w:val="22"/>
        </w:rPr>
        <w:lastRenderedPageBreak/>
        <w:t>Table</w:t>
      </w:r>
      <w:r w:rsidR="001B5946" w:rsidRPr="00F97CC3">
        <w:rPr>
          <w:b/>
          <w:color w:val="000000"/>
          <w:sz w:val="22"/>
          <w:szCs w:val="22"/>
        </w:rPr>
        <w:t xml:space="preserve"> </w:t>
      </w:r>
      <w:r w:rsidR="007659C3" w:rsidRPr="00F97CC3">
        <w:rPr>
          <w:b/>
          <w:color w:val="000000"/>
          <w:sz w:val="22"/>
          <w:szCs w:val="22"/>
        </w:rPr>
        <w:t xml:space="preserve">4. </w:t>
      </w:r>
      <w:r w:rsidR="00B7538A" w:rsidRPr="00F97CC3">
        <w:rPr>
          <w:b/>
          <w:color w:val="000000"/>
          <w:sz w:val="22"/>
          <w:szCs w:val="22"/>
        </w:rPr>
        <w:t>SAYO Percentage Change from Pre</w:t>
      </w:r>
      <w:r w:rsidR="00AF3D14" w:rsidRPr="00F97CC3">
        <w:rPr>
          <w:b/>
          <w:color w:val="000000"/>
          <w:sz w:val="22"/>
          <w:szCs w:val="22"/>
        </w:rPr>
        <w:t>-</w:t>
      </w:r>
      <w:r w:rsidR="00B7538A" w:rsidRPr="00F97CC3">
        <w:rPr>
          <w:b/>
          <w:color w:val="000000"/>
          <w:sz w:val="22"/>
          <w:szCs w:val="22"/>
        </w:rPr>
        <w:t xml:space="preserve"> to Post</w:t>
      </w:r>
      <w:r w:rsidR="00AF3D14" w:rsidRPr="00F97CC3">
        <w:rPr>
          <w:b/>
          <w:color w:val="000000"/>
          <w:sz w:val="22"/>
          <w:szCs w:val="22"/>
        </w:rPr>
        <w:t>-Assessment</w:t>
      </w:r>
      <w:r w:rsidR="00B7538A" w:rsidRPr="00F97CC3">
        <w:rPr>
          <w:b/>
          <w:color w:val="000000"/>
          <w:sz w:val="22"/>
          <w:szCs w:val="22"/>
        </w:rPr>
        <w:t xml:space="preserve"> </w:t>
      </w:r>
      <w:r w:rsidR="00455A88" w:rsidRPr="00F97CC3">
        <w:rPr>
          <w:b/>
          <w:color w:val="000000"/>
          <w:sz w:val="22"/>
          <w:szCs w:val="22"/>
        </w:rPr>
        <w:t>by Grade Cohort</w:t>
      </w:r>
    </w:p>
    <w:tbl>
      <w:tblPr>
        <w:tblW w:w="74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5"/>
        <w:gridCol w:w="1070"/>
        <w:gridCol w:w="3250"/>
      </w:tblGrid>
      <w:tr w:rsidR="00B7538A" w:rsidRPr="00F97CC3" w:rsidTr="00455A88">
        <w:trPr>
          <w:trHeight w:val="288"/>
          <w:tblHeader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AD0F3C" w:rsidP="00AD0F3C">
            <w:pPr>
              <w:spacing w:line="240" w:lineRule="auto"/>
              <w:rPr>
                <w:b/>
                <w:bCs/>
                <w:color w:val="000000"/>
                <w:szCs w:val="22"/>
              </w:rPr>
            </w:pPr>
            <w:r w:rsidRPr="00F97CC3">
              <w:rPr>
                <w:b/>
                <w:bCs/>
                <w:color w:val="000000"/>
                <w:sz w:val="22"/>
                <w:szCs w:val="22"/>
              </w:rPr>
              <w:t>SAYO</w:t>
            </w:r>
            <w:r w:rsidR="00B7538A" w:rsidRPr="00F97CC3">
              <w:rPr>
                <w:b/>
                <w:bCs/>
                <w:color w:val="000000"/>
                <w:sz w:val="22"/>
                <w:szCs w:val="22"/>
              </w:rPr>
              <w:t xml:space="preserve"> Outcome 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2E5370" w:rsidP="00AD0F3C">
            <w:pPr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F97CC3">
              <w:rPr>
                <w:b/>
                <w:bCs/>
                <w:color w:val="000000"/>
                <w:sz w:val="22"/>
                <w:szCs w:val="22"/>
              </w:rPr>
              <w:t>Mean Percent Change</w:t>
            </w:r>
          </w:p>
        </w:tc>
      </w:tr>
      <w:tr w:rsidR="00AF3D14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</w:tcPr>
          <w:p w:rsidR="00AF3D14" w:rsidRPr="00F97CC3" w:rsidRDefault="00AF3D14" w:rsidP="00B7538A">
            <w:pPr>
              <w:spacing w:line="240" w:lineRule="auto"/>
              <w:rPr>
                <w:b/>
                <w:color w:val="000000"/>
                <w:szCs w:val="22"/>
              </w:rPr>
            </w:pPr>
            <w:r w:rsidRPr="00F97CC3">
              <w:rPr>
                <w:b/>
                <w:color w:val="000000"/>
                <w:sz w:val="22"/>
                <w:szCs w:val="22"/>
              </w:rPr>
              <w:t>Elementary</w:t>
            </w:r>
            <w:r w:rsidR="00455A88" w:rsidRPr="00F97CC3">
              <w:rPr>
                <w:b/>
                <w:color w:val="000000"/>
                <w:sz w:val="22"/>
                <w:szCs w:val="22"/>
              </w:rPr>
              <w:t xml:space="preserve"> School Youth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F3D14" w:rsidRPr="00F97CC3" w:rsidRDefault="00AF3D14" w:rsidP="00AD0F3C">
            <w:pPr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3250" w:type="dxa"/>
            <w:shd w:val="clear" w:color="auto" w:fill="auto"/>
            <w:noWrap/>
            <w:vAlign w:val="center"/>
          </w:tcPr>
          <w:p w:rsidR="00AF3D14" w:rsidRPr="00F97CC3" w:rsidRDefault="00AF3D14" w:rsidP="00AD0F3C">
            <w:pPr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Science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16</w:t>
            </w:r>
            <w:r w:rsidR="00B7538A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17</w:t>
            </w:r>
            <w:r w:rsidR="00B7538A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Verbal Communication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16</w:t>
            </w:r>
            <w:r w:rsidR="00B7538A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Written Communication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14</w:t>
            </w:r>
            <w:r w:rsidR="00B7538A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10</w:t>
            </w:r>
            <w:r w:rsidR="00B7538A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CF0BDA">
              <w:rPr>
                <w:color w:val="000000"/>
                <w:sz w:val="22"/>
                <w:szCs w:val="22"/>
              </w:rPr>
              <w:t>Mathematics Problem Solving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23</w:t>
            </w:r>
            <w:r w:rsidR="00B7538A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Learning Skills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25</w:t>
            </w:r>
            <w:r w:rsidR="00B7538A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Behavior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643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21</w:t>
            </w:r>
            <w:r w:rsidR="00B7538A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Initiative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27</w:t>
            </w:r>
            <w:r w:rsidR="00B7538A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Relations with Adults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24</w:t>
            </w:r>
            <w:r w:rsidR="00B7538A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Relations with Peers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22</w:t>
            </w:r>
            <w:r w:rsidR="00B7538A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B7538A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B7538A" w:rsidRPr="00F97CC3" w:rsidRDefault="00B7538A" w:rsidP="00B7538A">
            <w:pPr>
              <w:spacing w:line="240" w:lineRule="auto"/>
              <w:rPr>
                <w:color w:val="000000"/>
                <w:szCs w:val="22"/>
              </w:rPr>
            </w:pPr>
            <w:r w:rsidRPr="00CF0BDA">
              <w:rPr>
                <w:color w:val="000000"/>
                <w:sz w:val="22"/>
                <w:szCs w:val="22"/>
              </w:rPr>
              <w:t>Problem Solving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538A" w:rsidRPr="00F97CC3" w:rsidRDefault="00B7538A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B7538A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46</w:t>
            </w:r>
            <w:r w:rsidR="00B7538A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AF3D14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</w:tcPr>
          <w:p w:rsidR="00AF3D14" w:rsidRPr="00F97CC3" w:rsidRDefault="00AF3D14" w:rsidP="00B7538A">
            <w:pPr>
              <w:spacing w:line="240" w:lineRule="auto"/>
              <w:rPr>
                <w:color w:val="000000"/>
                <w:szCs w:val="22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F3D14" w:rsidRPr="00F97CC3" w:rsidRDefault="00AF3D14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250" w:type="dxa"/>
            <w:shd w:val="clear" w:color="auto" w:fill="auto"/>
            <w:noWrap/>
            <w:vAlign w:val="center"/>
          </w:tcPr>
          <w:p w:rsidR="00AF3D14" w:rsidRPr="00F97CC3" w:rsidRDefault="00AF3D14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AF3D14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</w:tcPr>
          <w:p w:rsidR="00AF3D14" w:rsidRPr="00F97CC3" w:rsidRDefault="00AF3D14" w:rsidP="005808F8">
            <w:pPr>
              <w:spacing w:line="240" w:lineRule="auto"/>
              <w:rPr>
                <w:b/>
                <w:color w:val="000000"/>
                <w:szCs w:val="22"/>
              </w:rPr>
            </w:pPr>
            <w:r w:rsidRPr="00F97CC3">
              <w:rPr>
                <w:b/>
                <w:color w:val="000000"/>
                <w:sz w:val="22"/>
                <w:szCs w:val="22"/>
              </w:rPr>
              <w:t>High School</w:t>
            </w:r>
            <w:r w:rsidR="00455A88" w:rsidRPr="00F97CC3">
              <w:rPr>
                <w:b/>
                <w:color w:val="000000"/>
                <w:sz w:val="22"/>
                <w:szCs w:val="22"/>
              </w:rPr>
              <w:t xml:space="preserve"> Youth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F3D14" w:rsidRPr="00F97CC3" w:rsidRDefault="00AF3D14" w:rsidP="00AD0F3C">
            <w:pPr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3250" w:type="dxa"/>
            <w:shd w:val="clear" w:color="auto" w:fill="auto"/>
            <w:noWrap/>
            <w:vAlign w:val="center"/>
          </w:tcPr>
          <w:p w:rsidR="00AF3D14" w:rsidRPr="00F97CC3" w:rsidRDefault="00AF3D14" w:rsidP="00AD0F3C">
            <w:pPr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AF3D14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</w:tcPr>
          <w:p w:rsidR="00AF3D14" w:rsidRPr="00F97CC3" w:rsidRDefault="00AF3D14" w:rsidP="005808F8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Social Science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F3D14" w:rsidRPr="00F97CC3" w:rsidRDefault="00AF3D14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 w:rsidR="00AF3D14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-5</w:t>
            </w:r>
            <w:r w:rsidR="00AF3D14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AF3D14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</w:tcPr>
          <w:p w:rsidR="00AF3D14" w:rsidRPr="00F97CC3" w:rsidRDefault="00AF3D14" w:rsidP="005808F8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Science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F3D14" w:rsidRPr="00F97CC3" w:rsidRDefault="00AF3D14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 w:rsidR="00AF3D14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</w:t>
            </w:r>
            <w:r w:rsidR="00AF3D14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AF3D14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</w:tcPr>
          <w:p w:rsidR="00AF3D14" w:rsidRPr="00F97CC3" w:rsidRDefault="00AF3D14" w:rsidP="005808F8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F3D14" w:rsidRPr="00F97CC3" w:rsidRDefault="00AF3D14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 w:rsidR="00AF3D14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</w:t>
            </w:r>
            <w:r w:rsidR="00AF3D14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AF3D14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</w:tcPr>
          <w:p w:rsidR="00AF3D14" w:rsidRPr="00F97CC3" w:rsidRDefault="00AF3D14" w:rsidP="005808F8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Verbal Communication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F3D14" w:rsidRPr="00F97CC3" w:rsidRDefault="00AF3D14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 w:rsidR="00AF3D14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</w:t>
            </w:r>
            <w:r w:rsidR="00AF3D14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AF3D14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</w:tcPr>
          <w:p w:rsidR="00AF3D14" w:rsidRPr="00F97CC3" w:rsidRDefault="00AF3D14" w:rsidP="005808F8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Written Communication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F3D14" w:rsidRPr="00F97CC3" w:rsidRDefault="00AF3D14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 w:rsidR="00AF3D14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2</w:t>
            </w:r>
            <w:r w:rsidR="00AF3D14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AF3D14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</w:tcPr>
          <w:p w:rsidR="00AF3D14" w:rsidRPr="00F97CC3" w:rsidRDefault="00AF3D14" w:rsidP="005808F8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F3D14" w:rsidRPr="00F97CC3" w:rsidRDefault="00AF3D14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 w:rsidR="00AF3D14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0</w:t>
            </w:r>
            <w:r w:rsidR="00AF3D14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AF3D14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</w:tcPr>
          <w:p w:rsidR="00AF3D14" w:rsidRPr="00F97CC3" w:rsidRDefault="00AF3D14" w:rsidP="005808F8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Learning Skills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F3D14" w:rsidRPr="00F97CC3" w:rsidRDefault="00AF3D14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 w:rsidR="00AF3D14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13</w:t>
            </w:r>
            <w:r w:rsidR="00AF3D14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AF3D14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</w:tcPr>
          <w:p w:rsidR="00AF3D14" w:rsidRPr="00F97CC3" w:rsidRDefault="00AF3D14" w:rsidP="005808F8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Behavior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F3D14" w:rsidRPr="00F97CC3" w:rsidRDefault="00AF3D14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 w:rsidR="00AF3D14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12</w:t>
            </w:r>
            <w:r w:rsidR="00AF3D14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AF3D14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</w:tcPr>
          <w:p w:rsidR="00AF3D14" w:rsidRPr="00F97CC3" w:rsidRDefault="00AF3D14" w:rsidP="005808F8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Initiative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F3D14" w:rsidRPr="00F97CC3" w:rsidRDefault="00AF3D14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 w:rsidR="00AF3D14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15</w:t>
            </w:r>
            <w:r w:rsidR="00AF3D14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AF3D14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</w:tcPr>
          <w:p w:rsidR="00AF3D14" w:rsidRPr="00F97CC3" w:rsidRDefault="00AF3D14" w:rsidP="005808F8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Relations with Adults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F3D14" w:rsidRPr="00F97CC3" w:rsidRDefault="00AF3D14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 w:rsidR="00AF3D14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24</w:t>
            </w:r>
            <w:r w:rsidR="00AF3D14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  <w:tr w:rsidR="00AF3D14" w:rsidRPr="00F97CC3" w:rsidTr="00AD0F3C">
        <w:trPr>
          <w:trHeight w:val="288"/>
        </w:trPr>
        <w:tc>
          <w:tcPr>
            <w:tcW w:w="3165" w:type="dxa"/>
            <w:shd w:val="clear" w:color="auto" w:fill="auto"/>
            <w:noWrap/>
            <w:vAlign w:val="bottom"/>
          </w:tcPr>
          <w:p w:rsidR="00AF3D14" w:rsidRPr="00F97CC3" w:rsidRDefault="00AF3D14" w:rsidP="005808F8">
            <w:pPr>
              <w:spacing w:line="240" w:lineRule="auto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Relations with Peers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F3D14" w:rsidRPr="00F97CC3" w:rsidRDefault="00AF3D14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 w:rsidR="00AF3D14" w:rsidRPr="00F97CC3" w:rsidRDefault="00AD0F3C" w:rsidP="00AD0F3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F97CC3">
              <w:rPr>
                <w:color w:val="000000"/>
                <w:sz w:val="22"/>
                <w:szCs w:val="22"/>
              </w:rPr>
              <w:t>19</w:t>
            </w:r>
            <w:r w:rsidR="00AF3D14" w:rsidRPr="00F97CC3">
              <w:rPr>
                <w:color w:val="000000"/>
                <w:sz w:val="22"/>
                <w:szCs w:val="22"/>
              </w:rPr>
              <w:t>%</w:t>
            </w:r>
          </w:p>
        </w:tc>
      </w:tr>
    </w:tbl>
    <w:p w:rsidR="00231E60" w:rsidRPr="00F97CC3" w:rsidRDefault="00231E60" w:rsidP="00A01B9F">
      <w:pPr>
        <w:spacing w:line="240" w:lineRule="auto"/>
        <w:rPr>
          <w:b/>
          <w:color w:val="009DD9" w:themeColor="accent2"/>
          <w:sz w:val="28"/>
          <w:szCs w:val="28"/>
        </w:rPr>
      </w:pPr>
    </w:p>
    <w:p w:rsidR="00231E60" w:rsidRPr="00927F19" w:rsidRDefault="00B70BC6" w:rsidP="00927F19">
      <w:pPr>
        <w:pStyle w:val="Heading2"/>
      </w:pPr>
      <w:bookmarkStart w:id="4" w:name="_Toc407103941"/>
      <w:r w:rsidRPr="00927F19">
        <w:t>APT Observation</w:t>
      </w:r>
      <w:bookmarkEnd w:id="4"/>
    </w:p>
    <w:p w:rsidR="00B70BC6" w:rsidRPr="00F97CC3" w:rsidRDefault="00B70BC6" w:rsidP="00B70BC6">
      <w:pPr>
        <w:spacing w:line="240" w:lineRule="auto"/>
        <w:rPr>
          <w:szCs w:val="24"/>
        </w:rPr>
      </w:pPr>
      <w:r w:rsidRPr="00F97CC3">
        <w:rPr>
          <w:szCs w:val="24"/>
        </w:rPr>
        <w:t xml:space="preserve">Using the APT, researchers conducted program observations at the </w:t>
      </w:r>
      <w:r w:rsidR="000D6C9A">
        <w:rPr>
          <w:szCs w:val="24"/>
        </w:rPr>
        <w:t>10</w:t>
      </w:r>
      <w:r w:rsidRPr="00F97CC3">
        <w:rPr>
          <w:szCs w:val="24"/>
        </w:rPr>
        <w:t xml:space="preserve"> summer enhancement sites to identify best practice and support continuous program improvement. One observation was conducted at each site. A total of 35 separate activity sessions were observed across the </w:t>
      </w:r>
      <w:r w:rsidR="000D6C9A">
        <w:rPr>
          <w:szCs w:val="24"/>
        </w:rPr>
        <w:t>10</w:t>
      </w:r>
      <w:r w:rsidRPr="00F97CC3">
        <w:rPr>
          <w:szCs w:val="24"/>
        </w:rPr>
        <w:t xml:space="preserve"> programs. </w:t>
      </w:r>
    </w:p>
    <w:p w:rsidR="00B70BC6" w:rsidRPr="00F97CC3" w:rsidRDefault="00B70BC6" w:rsidP="00B70BC6">
      <w:pPr>
        <w:spacing w:line="240" w:lineRule="auto"/>
        <w:rPr>
          <w:szCs w:val="24"/>
        </w:rPr>
      </w:pPr>
    </w:p>
    <w:p w:rsidR="00CB0935" w:rsidRPr="00F97CC3" w:rsidRDefault="00D541D5" w:rsidP="00B70BC6">
      <w:pPr>
        <w:spacing w:line="240" w:lineRule="auto"/>
        <w:rPr>
          <w:szCs w:val="24"/>
        </w:rPr>
      </w:pPr>
      <w:r w:rsidRPr="00F97CC3">
        <w:rPr>
          <w:szCs w:val="24"/>
        </w:rPr>
        <w:t>APT</w:t>
      </w:r>
      <w:r w:rsidR="00CF6CD7" w:rsidRPr="00F97CC3">
        <w:rPr>
          <w:szCs w:val="24"/>
        </w:rPr>
        <w:t xml:space="preserve"> rati</w:t>
      </w:r>
      <w:r w:rsidR="00D96472" w:rsidRPr="00F97CC3">
        <w:rPr>
          <w:szCs w:val="24"/>
        </w:rPr>
        <w:t xml:space="preserve">ngs are shown in Tables </w:t>
      </w:r>
      <w:r w:rsidR="001B5946" w:rsidRPr="00F97CC3">
        <w:rPr>
          <w:szCs w:val="24"/>
        </w:rPr>
        <w:t>5</w:t>
      </w:r>
      <w:r w:rsidR="007378E7">
        <w:rPr>
          <w:szCs w:val="24"/>
        </w:rPr>
        <w:t>–</w:t>
      </w:r>
      <w:r w:rsidR="001B5946" w:rsidRPr="00F97CC3">
        <w:rPr>
          <w:szCs w:val="24"/>
        </w:rPr>
        <w:t>7</w:t>
      </w:r>
      <w:r w:rsidR="001E5596">
        <w:rPr>
          <w:szCs w:val="24"/>
        </w:rPr>
        <w:t xml:space="preserve">. </w:t>
      </w:r>
      <w:r w:rsidR="001B5946" w:rsidRPr="00F97CC3">
        <w:rPr>
          <w:szCs w:val="24"/>
        </w:rPr>
        <w:t xml:space="preserve">Table 5 separates ratings by population served. Quality practices across programs were very strong based on the rating metric of the APT tool. A rating of “3” signals a best practice is </w:t>
      </w:r>
      <w:r w:rsidRPr="00F97CC3">
        <w:rPr>
          <w:szCs w:val="24"/>
        </w:rPr>
        <w:t>“mostly true</w:t>
      </w:r>
      <w:r w:rsidR="001B5946" w:rsidRPr="00F97CC3">
        <w:rPr>
          <w:szCs w:val="24"/>
        </w:rPr>
        <w:t xml:space="preserve">,” and a rating of “4” signals a best practice is </w:t>
      </w:r>
      <w:r w:rsidRPr="00F97CC3">
        <w:rPr>
          <w:szCs w:val="24"/>
        </w:rPr>
        <w:t xml:space="preserve">“very true.” High school programs were rated slightly higher than programs serving elementary and middle school youth, </w:t>
      </w:r>
      <w:r w:rsidRPr="00E6250A">
        <w:rPr>
          <w:szCs w:val="24"/>
        </w:rPr>
        <w:t xml:space="preserve">although </w:t>
      </w:r>
      <w:r w:rsidR="00E6250A">
        <w:rPr>
          <w:szCs w:val="24"/>
        </w:rPr>
        <w:t xml:space="preserve">it should be noted that </w:t>
      </w:r>
      <w:r w:rsidR="00CF0BDA" w:rsidRPr="00E6250A">
        <w:rPr>
          <w:szCs w:val="24"/>
        </w:rPr>
        <w:t xml:space="preserve">the high school group </w:t>
      </w:r>
      <w:r w:rsidR="00CF0BDA">
        <w:rPr>
          <w:szCs w:val="24"/>
        </w:rPr>
        <w:t xml:space="preserve">contained </w:t>
      </w:r>
      <w:r w:rsidRPr="00E6250A">
        <w:rPr>
          <w:szCs w:val="24"/>
        </w:rPr>
        <w:t>only two programs</w:t>
      </w:r>
      <w:r w:rsidR="001E5596" w:rsidRPr="00E6250A">
        <w:rPr>
          <w:szCs w:val="24"/>
        </w:rPr>
        <w:t>.</w:t>
      </w:r>
      <w:r w:rsidR="001E5596">
        <w:rPr>
          <w:szCs w:val="24"/>
        </w:rPr>
        <w:t xml:space="preserve"> </w:t>
      </w:r>
      <w:r w:rsidRPr="00F97CC3">
        <w:rPr>
          <w:szCs w:val="24"/>
        </w:rPr>
        <w:t xml:space="preserve">Tables 6 and 7 present APT ratings for each program including at the overall program level and at the activity level. </w:t>
      </w:r>
      <w:r w:rsidRPr="00CF0BDA">
        <w:rPr>
          <w:szCs w:val="24"/>
        </w:rPr>
        <w:t>Activity</w:t>
      </w:r>
      <w:r w:rsidR="00CF0BDA" w:rsidRPr="00CF0BDA">
        <w:rPr>
          <w:szCs w:val="24"/>
        </w:rPr>
        <w:t>-</w:t>
      </w:r>
      <w:r w:rsidRPr="00CF0BDA">
        <w:rPr>
          <w:szCs w:val="24"/>
        </w:rPr>
        <w:t>level ratings</w:t>
      </w:r>
      <w:r w:rsidRPr="00F97CC3">
        <w:rPr>
          <w:szCs w:val="24"/>
        </w:rPr>
        <w:t xml:space="preserve"> are aggregated across all activities observed at that site</w:t>
      </w:r>
      <w:r w:rsidR="001E5596">
        <w:rPr>
          <w:szCs w:val="24"/>
        </w:rPr>
        <w:t xml:space="preserve">. </w:t>
      </w:r>
      <w:r w:rsidR="00CB0935" w:rsidRPr="00F97CC3">
        <w:rPr>
          <w:szCs w:val="24"/>
        </w:rPr>
        <w:t>Activity delivery was particularly strong in the New Bedford, Triton/Salisbury, Wareham, and Whitman-Hanson programs. All programs demonstrated strong overall organization, offered a wide breadth of activities, and provided learning environments conducive to fostering positive social-emotional experiences for children and youth.</w:t>
      </w:r>
    </w:p>
    <w:p w:rsidR="00CB0935" w:rsidRPr="00F97CC3" w:rsidRDefault="00CB0935" w:rsidP="00B70BC6">
      <w:pPr>
        <w:spacing w:line="240" w:lineRule="auto"/>
        <w:rPr>
          <w:szCs w:val="24"/>
        </w:rPr>
      </w:pPr>
    </w:p>
    <w:p w:rsidR="007C0DA7" w:rsidRPr="00A51350" w:rsidRDefault="00D96472" w:rsidP="007C0DA7">
      <w:pPr>
        <w:rPr>
          <w:b/>
          <w:sz w:val="22"/>
          <w:szCs w:val="22"/>
        </w:rPr>
      </w:pPr>
      <w:r w:rsidRPr="00A51350">
        <w:rPr>
          <w:b/>
          <w:sz w:val="22"/>
          <w:szCs w:val="22"/>
        </w:rPr>
        <w:lastRenderedPageBreak/>
        <w:t>Table</w:t>
      </w:r>
      <w:r w:rsidR="00442DCA" w:rsidRPr="00A51350">
        <w:rPr>
          <w:b/>
          <w:sz w:val="22"/>
          <w:szCs w:val="22"/>
        </w:rPr>
        <w:t xml:space="preserve"> </w:t>
      </w:r>
      <w:r w:rsidR="001B5946" w:rsidRPr="00A51350">
        <w:rPr>
          <w:b/>
          <w:sz w:val="22"/>
          <w:szCs w:val="22"/>
        </w:rPr>
        <w:t>5</w:t>
      </w:r>
      <w:r w:rsidR="001E5596" w:rsidRPr="00A51350">
        <w:rPr>
          <w:b/>
          <w:sz w:val="22"/>
          <w:szCs w:val="22"/>
        </w:rPr>
        <w:t xml:space="preserve">. </w:t>
      </w:r>
      <w:r w:rsidR="000D6C9A" w:rsidRPr="00A51350">
        <w:rPr>
          <w:b/>
          <w:sz w:val="22"/>
          <w:szCs w:val="22"/>
        </w:rPr>
        <w:t xml:space="preserve">APT </w:t>
      </w:r>
      <w:r w:rsidR="00E86DF2">
        <w:rPr>
          <w:b/>
          <w:sz w:val="22"/>
          <w:szCs w:val="22"/>
        </w:rPr>
        <w:t xml:space="preserve">Domain </w:t>
      </w:r>
      <w:r w:rsidR="000D6C9A" w:rsidRPr="00A51350">
        <w:rPr>
          <w:b/>
          <w:sz w:val="22"/>
          <w:szCs w:val="22"/>
        </w:rPr>
        <w:t>R</w:t>
      </w:r>
      <w:r w:rsidRPr="00A51350">
        <w:rPr>
          <w:b/>
          <w:sz w:val="22"/>
          <w:szCs w:val="22"/>
        </w:rPr>
        <w:t>atings for All Program</w:t>
      </w:r>
      <w:r w:rsidR="000C4CB8" w:rsidRPr="00A51350">
        <w:rPr>
          <w:b/>
          <w:sz w:val="22"/>
          <w:szCs w:val="22"/>
        </w:rPr>
        <w:t xml:space="preserve"> Site</w:t>
      </w:r>
      <w:r w:rsidRPr="00A51350">
        <w:rPr>
          <w:b/>
          <w:sz w:val="22"/>
          <w:szCs w:val="22"/>
        </w:rPr>
        <w:t>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C0DA7" w:rsidRPr="00F97CC3" w:rsidTr="00D541D5">
        <w:trPr>
          <w:tblHeader/>
        </w:trPr>
        <w:tc>
          <w:tcPr>
            <w:tcW w:w="3192" w:type="dxa"/>
          </w:tcPr>
          <w:p w:rsidR="007C0DA7" w:rsidRPr="00F97CC3" w:rsidRDefault="00CA7EC9" w:rsidP="00E86DF2">
            <w:pPr>
              <w:spacing w:line="240" w:lineRule="auto"/>
              <w:rPr>
                <w:b/>
                <w:szCs w:val="22"/>
              </w:rPr>
            </w:pPr>
            <w:r w:rsidRPr="00CA7EC9">
              <w:rPr>
                <w:b/>
                <w:szCs w:val="22"/>
              </w:rPr>
              <w:t xml:space="preserve">APT </w:t>
            </w:r>
            <w:r w:rsidR="007C0DA7" w:rsidRPr="00CA7EC9">
              <w:rPr>
                <w:b/>
                <w:szCs w:val="22"/>
              </w:rPr>
              <w:t>Domain</w:t>
            </w:r>
          </w:p>
        </w:tc>
        <w:tc>
          <w:tcPr>
            <w:tcW w:w="3192" w:type="dxa"/>
          </w:tcPr>
          <w:p w:rsidR="007C0DA7" w:rsidRPr="000C4CB8" w:rsidRDefault="007C0DA7" w:rsidP="000C4CB8">
            <w:pPr>
              <w:jc w:val="center"/>
              <w:rPr>
                <w:b/>
                <w:szCs w:val="22"/>
              </w:rPr>
            </w:pPr>
            <w:r w:rsidRPr="000C4CB8">
              <w:rPr>
                <w:b/>
                <w:szCs w:val="22"/>
              </w:rPr>
              <w:t>Ratings for Elem</w:t>
            </w:r>
            <w:r w:rsidR="000D6C9A" w:rsidRPr="000C4CB8">
              <w:rPr>
                <w:b/>
                <w:szCs w:val="22"/>
              </w:rPr>
              <w:t>entary</w:t>
            </w:r>
            <w:r w:rsidRPr="000C4CB8">
              <w:rPr>
                <w:b/>
                <w:szCs w:val="22"/>
              </w:rPr>
              <w:t xml:space="preserve"> and Middle School Programs</w:t>
            </w:r>
          </w:p>
        </w:tc>
        <w:tc>
          <w:tcPr>
            <w:tcW w:w="3192" w:type="dxa"/>
          </w:tcPr>
          <w:p w:rsidR="007C0DA7" w:rsidRPr="000C4CB8" w:rsidRDefault="007C0DA7" w:rsidP="000C4CB8">
            <w:pPr>
              <w:jc w:val="center"/>
              <w:rPr>
                <w:b/>
                <w:szCs w:val="22"/>
              </w:rPr>
            </w:pPr>
            <w:r w:rsidRPr="000C4CB8">
              <w:rPr>
                <w:b/>
                <w:szCs w:val="22"/>
              </w:rPr>
              <w:t>Ratings for High School Programs</w:t>
            </w:r>
          </w:p>
        </w:tc>
      </w:tr>
      <w:tr w:rsidR="007C0DA7" w:rsidRPr="00F97CC3" w:rsidTr="00B971EA">
        <w:trPr>
          <w:tblHeader/>
        </w:trPr>
        <w:tc>
          <w:tcPr>
            <w:tcW w:w="3192" w:type="dxa"/>
          </w:tcPr>
          <w:p w:rsidR="007C0DA7" w:rsidRPr="00F97CC3" w:rsidRDefault="007C0DA7" w:rsidP="007C0DA7">
            <w:pPr>
              <w:spacing w:line="240" w:lineRule="auto"/>
              <w:rPr>
                <w:szCs w:val="22"/>
              </w:rPr>
            </w:pPr>
            <w:r w:rsidRPr="00F97CC3">
              <w:rPr>
                <w:szCs w:val="22"/>
              </w:rPr>
              <w:t>Arrival Time</w:t>
            </w:r>
          </w:p>
        </w:tc>
        <w:tc>
          <w:tcPr>
            <w:tcW w:w="3192" w:type="dxa"/>
            <w:vAlign w:val="center"/>
          </w:tcPr>
          <w:p w:rsidR="007C0DA7" w:rsidRPr="00F97CC3" w:rsidRDefault="00442DCA" w:rsidP="00B971EA">
            <w:pPr>
              <w:jc w:val="center"/>
            </w:pPr>
            <w:r w:rsidRPr="00F97CC3">
              <w:t>3.61</w:t>
            </w:r>
          </w:p>
        </w:tc>
        <w:tc>
          <w:tcPr>
            <w:tcW w:w="3192" w:type="dxa"/>
            <w:vAlign w:val="center"/>
          </w:tcPr>
          <w:p w:rsidR="007C0DA7" w:rsidRPr="00E6250A" w:rsidRDefault="00A533DE" w:rsidP="00B25B67">
            <w:pPr>
              <w:jc w:val="center"/>
            </w:pPr>
            <w:r w:rsidRPr="00E6250A">
              <w:t>n/a</w:t>
            </w:r>
          </w:p>
        </w:tc>
      </w:tr>
      <w:tr w:rsidR="007C0DA7" w:rsidRPr="00F97CC3" w:rsidTr="00B971EA">
        <w:trPr>
          <w:tblHeader/>
        </w:trPr>
        <w:tc>
          <w:tcPr>
            <w:tcW w:w="3192" w:type="dxa"/>
            <w:tcBorders>
              <w:bottom w:val="single" w:sz="4" w:space="0" w:color="auto"/>
            </w:tcBorders>
          </w:tcPr>
          <w:p w:rsidR="007C0DA7" w:rsidRPr="00F97CC3" w:rsidRDefault="00B971EA" w:rsidP="007C0DA7">
            <w:pPr>
              <w:spacing w:line="240" w:lineRule="auto"/>
              <w:rPr>
                <w:szCs w:val="22"/>
              </w:rPr>
            </w:pPr>
            <w:r w:rsidRPr="00F97CC3">
              <w:rPr>
                <w:szCs w:val="22"/>
              </w:rPr>
              <w:t>Transitions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7C0DA7" w:rsidRPr="00F97CC3" w:rsidRDefault="00B971EA" w:rsidP="00B971EA">
            <w:pPr>
              <w:jc w:val="center"/>
            </w:pPr>
            <w:r w:rsidRPr="00F97CC3">
              <w:t>3.80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7C0DA7" w:rsidRPr="00E6250A" w:rsidRDefault="00A533DE" w:rsidP="00B25B67">
            <w:pPr>
              <w:jc w:val="center"/>
            </w:pPr>
            <w:r w:rsidRPr="00E6250A">
              <w:t>n/a</w:t>
            </w:r>
          </w:p>
        </w:tc>
      </w:tr>
      <w:tr w:rsidR="007C0DA7" w:rsidRPr="00F97CC3" w:rsidTr="000D6C9A">
        <w:trPr>
          <w:tblHeader/>
        </w:trPr>
        <w:tc>
          <w:tcPr>
            <w:tcW w:w="3192" w:type="dxa"/>
            <w:shd w:val="clear" w:color="auto" w:fill="auto"/>
          </w:tcPr>
          <w:p w:rsidR="007C0DA7" w:rsidRPr="00F97CC3" w:rsidRDefault="007C0DA7" w:rsidP="007C0DA7">
            <w:pPr>
              <w:spacing w:line="240" w:lineRule="auto"/>
              <w:rPr>
                <w:szCs w:val="22"/>
              </w:rPr>
            </w:pPr>
            <w:r w:rsidRPr="00F97CC3">
              <w:rPr>
                <w:szCs w:val="22"/>
              </w:rPr>
              <w:t>Informal Program Times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7C0DA7" w:rsidRPr="00F97CC3" w:rsidRDefault="007C0DA7" w:rsidP="00B971EA">
            <w:pPr>
              <w:jc w:val="center"/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7C0DA7" w:rsidRPr="00F97CC3" w:rsidRDefault="007C0DA7" w:rsidP="00B25B67">
            <w:pPr>
              <w:jc w:val="center"/>
            </w:pPr>
          </w:p>
        </w:tc>
      </w:tr>
      <w:tr w:rsidR="007C0DA7" w:rsidRPr="00F97CC3" w:rsidTr="00B971EA">
        <w:trPr>
          <w:tblHeader/>
        </w:trPr>
        <w:tc>
          <w:tcPr>
            <w:tcW w:w="3192" w:type="dxa"/>
          </w:tcPr>
          <w:p w:rsidR="007C0DA7" w:rsidRPr="00F97CC3" w:rsidRDefault="007C0DA7" w:rsidP="007C0DA7">
            <w:pPr>
              <w:spacing w:line="240" w:lineRule="auto"/>
              <w:rPr>
                <w:szCs w:val="22"/>
              </w:rPr>
            </w:pPr>
            <w:r w:rsidRPr="00F97CC3">
              <w:rPr>
                <w:szCs w:val="22"/>
              </w:rPr>
              <w:t xml:space="preserve">     Staff Approaches</w:t>
            </w:r>
          </w:p>
        </w:tc>
        <w:tc>
          <w:tcPr>
            <w:tcW w:w="3192" w:type="dxa"/>
            <w:vAlign w:val="center"/>
          </w:tcPr>
          <w:p w:rsidR="007C0DA7" w:rsidRPr="00F97CC3" w:rsidRDefault="00442DCA" w:rsidP="00B971EA">
            <w:pPr>
              <w:jc w:val="center"/>
            </w:pPr>
            <w:r w:rsidRPr="00F97CC3">
              <w:t>3</w:t>
            </w:r>
            <w:r w:rsidR="00B971EA" w:rsidRPr="00F97CC3">
              <w:t>.71</w:t>
            </w:r>
          </w:p>
        </w:tc>
        <w:tc>
          <w:tcPr>
            <w:tcW w:w="3192" w:type="dxa"/>
            <w:vAlign w:val="center"/>
          </w:tcPr>
          <w:p w:rsidR="007C0DA7" w:rsidRPr="00F97CC3" w:rsidRDefault="00B971EA" w:rsidP="00B25B67">
            <w:pPr>
              <w:jc w:val="center"/>
            </w:pPr>
            <w:r w:rsidRPr="00F97CC3">
              <w:t>4.00</w:t>
            </w:r>
          </w:p>
        </w:tc>
      </w:tr>
      <w:tr w:rsidR="007C0DA7" w:rsidRPr="00F97CC3" w:rsidTr="00B971EA">
        <w:trPr>
          <w:tblHeader/>
        </w:trPr>
        <w:tc>
          <w:tcPr>
            <w:tcW w:w="3192" w:type="dxa"/>
          </w:tcPr>
          <w:p w:rsidR="007C0DA7" w:rsidRPr="00F97CC3" w:rsidRDefault="007C0DA7" w:rsidP="007C0DA7">
            <w:pPr>
              <w:spacing w:line="240" w:lineRule="auto"/>
              <w:rPr>
                <w:szCs w:val="22"/>
              </w:rPr>
            </w:pPr>
            <w:r w:rsidRPr="00F97CC3">
              <w:rPr>
                <w:szCs w:val="22"/>
              </w:rPr>
              <w:t xml:space="preserve">     Youth Approaches</w:t>
            </w:r>
          </w:p>
        </w:tc>
        <w:tc>
          <w:tcPr>
            <w:tcW w:w="3192" w:type="dxa"/>
            <w:vAlign w:val="center"/>
          </w:tcPr>
          <w:p w:rsidR="007C0DA7" w:rsidRPr="00F97CC3" w:rsidRDefault="00B971EA" w:rsidP="00B971EA">
            <w:pPr>
              <w:jc w:val="center"/>
            </w:pPr>
            <w:r w:rsidRPr="00F97CC3">
              <w:t>3.88</w:t>
            </w:r>
          </w:p>
        </w:tc>
        <w:tc>
          <w:tcPr>
            <w:tcW w:w="3192" w:type="dxa"/>
            <w:vAlign w:val="center"/>
          </w:tcPr>
          <w:p w:rsidR="007C0DA7" w:rsidRPr="00F97CC3" w:rsidRDefault="00A533DE" w:rsidP="00B25B67">
            <w:pPr>
              <w:jc w:val="center"/>
            </w:pPr>
            <w:r w:rsidRPr="00F97CC3">
              <w:t>4.00</w:t>
            </w:r>
          </w:p>
        </w:tc>
      </w:tr>
      <w:tr w:rsidR="007C0DA7" w:rsidRPr="00F97CC3" w:rsidTr="00B971EA">
        <w:trPr>
          <w:tblHeader/>
        </w:trPr>
        <w:tc>
          <w:tcPr>
            <w:tcW w:w="3192" w:type="dxa"/>
          </w:tcPr>
          <w:p w:rsidR="007C0DA7" w:rsidRPr="00F97CC3" w:rsidRDefault="007C0DA7" w:rsidP="007C0DA7">
            <w:pPr>
              <w:spacing w:line="240" w:lineRule="auto"/>
              <w:rPr>
                <w:szCs w:val="22"/>
              </w:rPr>
            </w:pPr>
            <w:r w:rsidRPr="00F97CC3">
              <w:rPr>
                <w:szCs w:val="22"/>
              </w:rPr>
              <w:t>Program Space Supports Goals of Programming</w:t>
            </w:r>
          </w:p>
        </w:tc>
        <w:tc>
          <w:tcPr>
            <w:tcW w:w="3192" w:type="dxa"/>
            <w:vAlign w:val="center"/>
          </w:tcPr>
          <w:p w:rsidR="007C0DA7" w:rsidRPr="00F97CC3" w:rsidRDefault="00B971EA" w:rsidP="00B971EA">
            <w:pPr>
              <w:jc w:val="center"/>
            </w:pPr>
            <w:r w:rsidRPr="00F97CC3">
              <w:t>3.85</w:t>
            </w:r>
          </w:p>
        </w:tc>
        <w:tc>
          <w:tcPr>
            <w:tcW w:w="3192" w:type="dxa"/>
            <w:vAlign w:val="center"/>
          </w:tcPr>
          <w:p w:rsidR="007C0DA7" w:rsidRPr="00F97CC3" w:rsidRDefault="00A533DE" w:rsidP="00B25B67">
            <w:pPr>
              <w:jc w:val="center"/>
            </w:pPr>
            <w:r w:rsidRPr="00F97CC3">
              <w:t>4.00</w:t>
            </w:r>
          </w:p>
        </w:tc>
      </w:tr>
      <w:tr w:rsidR="007C0DA7" w:rsidRPr="00F97CC3" w:rsidTr="00B25B67">
        <w:trPr>
          <w:tblHeader/>
        </w:trPr>
        <w:tc>
          <w:tcPr>
            <w:tcW w:w="3192" w:type="dxa"/>
          </w:tcPr>
          <w:p w:rsidR="007C0DA7" w:rsidRPr="00F97CC3" w:rsidRDefault="007C0DA7" w:rsidP="007C0DA7">
            <w:pPr>
              <w:spacing w:line="240" w:lineRule="auto"/>
              <w:rPr>
                <w:szCs w:val="22"/>
              </w:rPr>
            </w:pPr>
            <w:r w:rsidRPr="00F97CC3">
              <w:rPr>
                <w:szCs w:val="22"/>
              </w:rPr>
              <w:t>Overall Program Schedule &amp; Offerings</w:t>
            </w:r>
          </w:p>
        </w:tc>
        <w:tc>
          <w:tcPr>
            <w:tcW w:w="3192" w:type="dxa"/>
            <w:vAlign w:val="center"/>
          </w:tcPr>
          <w:p w:rsidR="007C0DA7" w:rsidRPr="00F97CC3" w:rsidRDefault="00B971EA" w:rsidP="00B25B67">
            <w:pPr>
              <w:jc w:val="center"/>
            </w:pPr>
            <w:r w:rsidRPr="00F97CC3">
              <w:t>3.58</w:t>
            </w:r>
          </w:p>
        </w:tc>
        <w:tc>
          <w:tcPr>
            <w:tcW w:w="3192" w:type="dxa"/>
            <w:vAlign w:val="center"/>
          </w:tcPr>
          <w:p w:rsidR="007C0DA7" w:rsidRPr="00F97CC3" w:rsidRDefault="00A533DE" w:rsidP="00B25B67">
            <w:pPr>
              <w:jc w:val="center"/>
            </w:pPr>
            <w:r w:rsidRPr="00F97CC3">
              <w:t>3.90</w:t>
            </w:r>
          </w:p>
        </w:tc>
      </w:tr>
      <w:tr w:rsidR="00442DCA" w:rsidRPr="00F97CC3" w:rsidTr="00B25B67">
        <w:trPr>
          <w:tblHeader/>
        </w:trPr>
        <w:tc>
          <w:tcPr>
            <w:tcW w:w="3192" w:type="dxa"/>
          </w:tcPr>
          <w:p w:rsidR="00442DCA" w:rsidRPr="00F97CC3" w:rsidRDefault="00B25B67" w:rsidP="007C0DA7">
            <w:pPr>
              <w:spacing w:line="240" w:lineRule="auto"/>
              <w:rPr>
                <w:szCs w:val="22"/>
              </w:rPr>
            </w:pPr>
            <w:r w:rsidRPr="00F97CC3">
              <w:rPr>
                <w:szCs w:val="22"/>
              </w:rPr>
              <w:t>Overall Social-Emotional Environment</w:t>
            </w:r>
          </w:p>
        </w:tc>
        <w:tc>
          <w:tcPr>
            <w:tcW w:w="3192" w:type="dxa"/>
            <w:vAlign w:val="center"/>
          </w:tcPr>
          <w:p w:rsidR="00442DCA" w:rsidRPr="00F97CC3" w:rsidRDefault="00B971EA" w:rsidP="00B25B67">
            <w:pPr>
              <w:jc w:val="center"/>
            </w:pPr>
            <w:r w:rsidRPr="00F97CC3">
              <w:t>3.92</w:t>
            </w:r>
          </w:p>
        </w:tc>
        <w:tc>
          <w:tcPr>
            <w:tcW w:w="3192" w:type="dxa"/>
            <w:vAlign w:val="center"/>
          </w:tcPr>
          <w:p w:rsidR="00442DCA" w:rsidRPr="00F97CC3" w:rsidRDefault="00A533DE" w:rsidP="00B25B67">
            <w:pPr>
              <w:jc w:val="center"/>
            </w:pPr>
            <w:r w:rsidRPr="00F97CC3">
              <w:t>3.88</w:t>
            </w:r>
          </w:p>
        </w:tc>
      </w:tr>
      <w:tr w:rsidR="007C0DA7" w:rsidRPr="00F97CC3" w:rsidTr="00B25B67">
        <w:trPr>
          <w:tblHeader/>
        </w:trPr>
        <w:tc>
          <w:tcPr>
            <w:tcW w:w="3192" w:type="dxa"/>
          </w:tcPr>
          <w:p w:rsidR="007C0DA7" w:rsidRPr="00F97CC3" w:rsidRDefault="007C0DA7" w:rsidP="007C0DA7">
            <w:pPr>
              <w:spacing w:line="240" w:lineRule="auto"/>
              <w:rPr>
                <w:szCs w:val="22"/>
              </w:rPr>
            </w:pPr>
            <w:r w:rsidRPr="00F97CC3">
              <w:rPr>
                <w:szCs w:val="22"/>
              </w:rPr>
              <w:t>Organization</w:t>
            </w:r>
          </w:p>
        </w:tc>
        <w:tc>
          <w:tcPr>
            <w:tcW w:w="3192" w:type="dxa"/>
            <w:vAlign w:val="center"/>
          </w:tcPr>
          <w:p w:rsidR="007C0DA7" w:rsidRPr="00F97CC3" w:rsidRDefault="00B971EA" w:rsidP="00B25B67">
            <w:pPr>
              <w:jc w:val="center"/>
            </w:pPr>
            <w:r w:rsidRPr="00F97CC3">
              <w:t>3.79</w:t>
            </w:r>
          </w:p>
        </w:tc>
        <w:tc>
          <w:tcPr>
            <w:tcW w:w="3192" w:type="dxa"/>
            <w:vAlign w:val="center"/>
          </w:tcPr>
          <w:p w:rsidR="007C0DA7" w:rsidRPr="00F97CC3" w:rsidRDefault="00A533DE" w:rsidP="00B25B67">
            <w:pPr>
              <w:jc w:val="center"/>
            </w:pPr>
            <w:r w:rsidRPr="00F97CC3">
              <w:t>4.00</w:t>
            </w:r>
          </w:p>
        </w:tc>
      </w:tr>
      <w:tr w:rsidR="007C0DA7" w:rsidRPr="00F97CC3" w:rsidTr="00B25B67">
        <w:trPr>
          <w:tblHeader/>
        </w:trPr>
        <w:tc>
          <w:tcPr>
            <w:tcW w:w="3192" w:type="dxa"/>
          </w:tcPr>
          <w:p w:rsidR="007C0DA7" w:rsidRPr="00F97CC3" w:rsidRDefault="007C0DA7" w:rsidP="007C0DA7">
            <w:pPr>
              <w:spacing w:line="240" w:lineRule="auto"/>
              <w:rPr>
                <w:szCs w:val="22"/>
              </w:rPr>
            </w:pPr>
            <w:r w:rsidRPr="00F97CC3">
              <w:rPr>
                <w:szCs w:val="22"/>
              </w:rPr>
              <w:t>Nature of Activity</w:t>
            </w:r>
          </w:p>
        </w:tc>
        <w:tc>
          <w:tcPr>
            <w:tcW w:w="3192" w:type="dxa"/>
            <w:vAlign w:val="center"/>
          </w:tcPr>
          <w:p w:rsidR="007C0DA7" w:rsidRPr="00F97CC3" w:rsidRDefault="00B971EA" w:rsidP="00B25B67">
            <w:pPr>
              <w:jc w:val="center"/>
            </w:pPr>
            <w:r w:rsidRPr="00F97CC3">
              <w:t>3.06</w:t>
            </w:r>
          </w:p>
        </w:tc>
        <w:tc>
          <w:tcPr>
            <w:tcW w:w="3192" w:type="dxa"/>
            <w:vAlign w:val="center"/>
          </w:tcPr>
          <w:p w:rsidR="007C0DA7" w:rsidRPr="00F97CC3" w:rsidRDefault="00A533DE" w:rsidP="00B25B67">
            <w:pPr>
              <w:jc w:val="center"/>
            </w:pPr>
            <w:r w:rsidRPr="00F97CC3">
              <w:t>3.18</w:t>
            </w:r>
          </w:p>
        </w:tc>
      </w:tr>
      <w:tr w:rsidR="007C0DA7" w:rsidRPr="00F97CC3" w:rsidTr="00B25B67">
        <w:trPr>
          <w:tblHeader/>
        </w:trPr>
        <w:tc>
          <w:tcPr>
            <w:tcW w:w="3192" w:type="dxa"/>
          </w:tcPr>
          <w:p w:rsidR="007C0DA7" w:rsidRPr="00F97CC3" w:rsidRDefault="007C0DA7" w:rsidP="007C0DA7">
            <w:pPr>
              <w:spacing w:line="240" w:lineRule="auto"/>
              <w:rPr>
                <w:szCs w:val="22"/>
              </w:rPr>
            </w:pPr>
            <w:r w:rsidRPr="00F97CC3">
              <w:rPr>
                <w:szCs w:val="22"/>
              </w:rPr>
              <w:t>Staff Promote Engagement &amp; Stimulate Thinking</w:t>
            </w:r>
          </w:p>
        </w:tc>
        <w:tc>
          <w:tcPr>
            <w:tcW w:w="3192" w:type="dxa"/>
            <w:vAlign w:val="center"/>
          </w:tcPr>
          <w:p w:rsidR="007C0DA7" w:rsidRPr="00F97CC3" w:rsidRDefault="00B971EA" w:rsidP="00B25B67">
            <w:pPr>
              <w:jc w:val="center"/>
            </w:pPr>
            <w:r w:rsidRPr="00F97CC3">
              <w:t>3.11</w:t>
            </w:r>
          </w:p>
        </w:tc>
        <w:tc>
          <w:tcPr>
            <w:tcW w:w="3192" w:type="dxa"/>
            <w:vAlign w:val="center"/>
          </w:tcPr>
          <w:p w:rsidR="007C0DA7" w:rsidRPr="00F97CC3" w:rsidRDefault="00A533DE" w:rsidP="00B25B67">
            <w:pPr>
              <w:jc w:val="center"/>
            </w:pPr>
            <w:r w:rsidRPr="00F97CC3">
              <w:t>3.72</w:t>
            </w:r>
          </w:p>
        </w:tc>
      </w:tr>
      <w:tr w:rsidR="007C0DA7" w:rsidRPr="00F97CC3" w:rsidTr="00B25B67">
        <w:trPr>
          <w:tblHeader/>
        </w:trPr>
        <w:tc>
          <w:tcPr>
            <w:tcW w:w="3192" w:type="dxa"/>
          </w:tcPr>
          <w:p w:rsidR="007C0DA7" w:rsidRPr="00F97CC3" w:rsidRDefault="007C0DA7" w:rsidP="007C0DA7">
            <w:pPr>
              <w:spacing w:line="240" w:lineRule="auto"/>
              <w:rPr>
                <w:szCs w:val="22"/>
              </w:rPr>
            </w:pPr>
            <w:r w:rsidRPr="00F97CC3">
              <w:rPr>
                <w:szCs w:val="22"/>
              </w:rPr>
              <w:t>Staff Positively Guide Behavior</w:t>
            </w:r>
          </w:p>
        </w:tc>
        <w:tc>
          <w:tcPr>
            <w:tcW w:w="3192" w:type="dxa"/>
            <w:vAlign w:val="center"/>
          </w:tcPr>
          <w:p w:rsidR="007C0DA7" w:rsidRPr="00F97CC3" w:rsidRDefault="00B971EA" w:rsidP="00B25B67">
            <w:pPr>
              <w:jc w:val="center"/>
            </w:pPr>
            <w:r w:rsidRPr="00F97CC3">
              <w:t>3.81</w:t>
            </w:r>
          </w:p>
        </w:tc>
        <w:tc>
          <w:tcPr>
            <w:tcW w:w="3192" w:type="dxa"/>
            <w:vAlign w:val="center"/>
          </w:tcPr>
          <w:p w:rsidR="007C0DA7" w:rsidRPr="00F97CC3" w:rsidRDefault="00A533DE" w:rsidP="00B25B67">
            <w:pPr>
              <w:jc w:val="center"/>
            </w:pPr>
            <w:r w:rsidRPr="00F97CC3">
              <w:t>3.76</w:t>
            </w:r>
          </w:p>
        </w:tc>
      </w:tr>
      <w:tr w:rsidR="007C0DA7" w:rsidRPr="00F97CC3" w:rsidTr="00B25B67">
        <w:trPr>
          <w:tblHeader/>
        </w:trPr>
        <w:tc>
          <w:tcPr>
            <w:tcW w:w="3192" w:type="dxa"/>
          </w:tcPr>
          <w:p w:rsidR="007C0DA7" w:rsidRPr="00F97CC3" w:rsidRDefault="007C0DA7" w:rsidP="007C0DA7">
            <w:pPr>
              <w:spacing w:line="240" w:lineRule="auto"/>
              <w:rPr>
                <w:szCs w:val="22"/>
              </w:rPr>
            </w:pPr>
            <w:r w:rsidRPr="00F97CC3">
              <w:rPr>
                <w:szCs w:val="22"/>
              </w:rPr>
              <w:t xml:space="preserve">Staff Build Relationships – Support Individual Youth </w:t>
            </w:r>
          </w:p>
        </w:tc>
        <w:tc>
          <w:tcPr>
            <w:tcW w:w="3192" w:type="dxa"/>
            <w:vAlign w:val="center"/>
          </w:tcPr>
          <w:p w:rsidR="007C0DA7" w:rsidRPr="00F97CC3" w:rsidRDefault="00B971EA" w:rsidP="00B25B67">
            <w:pPr>
              <w:jc w:val="center"/>
            </w:pPr>
            <w:r w:rsidRPr="00F97CC3">
              <w:t>3.54</w:t>
            </w:r>
          </w:p>
        </w:tc>
        <w:tc>
          <w:tcPr>
            <w:tcW w:w="3192" w:type="dxa"/>
            <w:vAlign w:val="center"/>
          </w:tcPr>
          <w:p w:rsidR="007C0DA7" w:rsidRPr="00F97CC3" w:rsidRDefault="00A533DE" w:rsidP="00B25B67">
            <w:pPr>
              <w:jc w:val="center"/>
            </w:pPr>
            <w:r w:rsidRPr="00F97CC3">
              <w:t>3.66</w:t>
            </w:r>
          </w:p>
        </w:tc>
      </w:tr>
      <w:tr w:rsidR="007C0DA7" w:rsidRPr="00F97CC3" w:rsidTr="00B25B67">
        <w:trPr>
          <w:tblHeader/>
        </w:trPr>
        <w:tc>
          <w:tcPr>
            <w:tcW w:w="3192" w:type="dxa"/>
          </w:tcPr>
          <w:p w:rsidR="007C0DA7" w:rsidRPr="00F97CC3" w:rsidRDefault="007C0DA7" w:rsidP="007C0DA7">
            <w:pPr>
              <w:spacing w:line="240" w:lineRule="auto"/>
              <w:rPr>
                <w:szCs w:val="22"/>
              </w:rPr>
            </w:pPr>
            <w:r w:rsidRPr="00F97CC3">
              <w:rPr>
                <w:szCs w:val="22"/>
              </w:rPr>
              <w:t>Youth Relations w/Adults</w:t>
            </w:r>
          </w:p>
        </w:tc>
        <w:tc>
          <w:tcPr>
            <w:tcW w:w="3192" w:type="dxa"/>
            <w:vAlign w:val="center"/>
          </w:tcPr>
          <w:p w:rsidR="007C0DA7" w:rsidRPr="00F97CC3" w:rsidRDefault="00B971EA" w:rsidP="00B25B67">
            <w:pPr>
              <w:jc w:val="center"/>
            </w:pPr>
            <w:r w:rsidRPr="00F97CC3">
              <w:t>3.68</w:t>
            </w:r>
          </w:p>
        </w:tc>
        <w:tc>
          <w:tcPr>
            <w:tcW w:w="3192" w:type="dxa"/>
            <w:vAlign w:val="center"/>
          </w:tcPr>
          <w:p w:rsidR="007C0DA7" w:rsidRPr="00F97CC3" w:rsidRDefault="00A533DE" w:rsidP="00B25B67">
            <w:pPr>
              <w:jc w:val="center"/>
            </w:pPr>
            <w:r w:rsidRPr="00F97CC3">
              <w:t>3.59</w:t>
            </w:r>
          </w:p>
        </w:tc>
      </w:tr>
      <w:tr w:rsidR="007C0DA7" w:rsidRPr="00F97CC3" w:rsidTr="00B25B67">
        <w:trPr>
          <w:tblHeader/>
        </w:trPr>
        <w:tc>
          <w:tcPr>
            <w:tcW w:w="3192" w:type="dxa"/>
          </w:tcPr>
          <w:p w:rsidR="007C0DA7" w:rsidRPr="00F97CC3" w:rsidRDefault="007C0DA7" w:rsidP="007C0DA7">
            <w:pPr>
              <w:spacing w:line="240" w:lineRule="auto"/>
              <w:rPr>
                <w:szCs w:val="22"/>
              </w:rPr>
            </w:pPr>
            <w:r w:rsidRPr="00F97CC3">
              <w:rPr>
                <w:szCs w:val="22"/>
              </w:rPr>
              <w:t>Youth Participation</w:t>
            </w:r>
          </w:p>
        </w:tc>
        <w:tc>
          <w:tcPr>
            <w:tcW w:w="3192" w:type="dxa"/>
            <w:vAlign w:val="center"/>
          </w:tcPr>
          <w:p w:rsidR="007C0DA7" w:rsidRPr="00F97CC3" w:rsidRDefault="00B971EA" w:rsidP="00B25B67">
            <w:pPr>
              <w:jc w:val="center"/>
            </w:pPr>
            <w:r w:rsidRPr="00F97CC3">
              <w:t>3.37</w:t>
            </w:r>
          </w:p>
        </w:tc>
        <w:tc>
          <w:tcPr>
            <w:tcW w:w="3192" w:type="dxa"/>
            <w:vAlign w:val="center"/>
          </w:tcPr>
          <w:p w:rsidR="007C0DA7" w:rsidRPr="00F97CC3" w:rsidRDefault="00A533DE" w:rsidP="00B25B67">
            <w:pPr>
              <w:jc w:val="center"/>
            </w:pPr>
            <w:r w:rsidRPr="00F97CC3">
              <w:t>3.51</w:t>
            </w:r>
          </w:p>
        </w:tc>
      </w:tr>
      <w:tr w:rsidR="007C0DA7" w:rsidRPr="00F97CC3" w:rsidTr="00B25B67">
        <w:trPr>
          <w:tblHeader/>
        </w:trPr>
        <w:tc>
          <w:tcPr>
            <w:tcW w:w="3192" w:type="dxa"/>
          </w:tcPr>
          <w:p w:rsidR="007C0DA7" w:rsidRPr="00F97CC3" w:rsidRDefault="007C0DA7" w:rsidP="007C0DA7">
            <w:pPr>
              <w:spacing w:line="240" w:lineRule="auto"/>
              <w:rPr>
                <w:szCs w:val="22"/>
              </w:rPr>
            </w:pPr>
            <w:r w:rsidRPr="00F97CC3">
              <w:rPr>
                <w:szCs w:val="22"/>
              </w:rPr>
              <w:t>Peer Relations</w:t>
            </w:r>
          </w:p>
        </w:tc>
        <w:tc>
          <w:tcPr>
            <w:tcW w:w="3192" w:type="dxa"/>
            <w:vAlign w:val="center"/>
          </w:tcPr>
          <w:p w:rsidR="007C0DA7" w:rsidRPr="00F97CC3" w:rsidRDefault="00B971EA" w:rsidP="00B25B67">
            <w:pPr>
              <w:jc w:val="center"/>
            </w:pPr>
            <w:r w:rsidRPr="00F97CC3">
              <w:t>3.78</w:t>
            </w:r>
          </w:p>
        </w:tc>
        <w:tc>
          <w:tcPr>
            <w:tcW w:w="3192" w:type="dxa"/>
            <w:vAlign w:val="center"/>
          </w:tcPr>
          <w:p w:rsidR="007C0DA7" w:rsidRPr="00F97CC3" w:rsidRDefault="00A533DE" w:rsidP="00B25B67">
            <w:pPr>
              <w:jc w:val="center"/>
            </w:pPr>
            <w:r w:rsidRPr="00F97CC3">
              <w:t>3.93</w:t>
            </w:r>
          </w:p>
        </w:tc>
      </w:tr>
    </w:tbl>
    <w:p w:rsidR="007C0DA7" w:rsidRPr="00F97CC3" w:rsidRDefault="007C0DA7" w:rsidP="007C0DA7"/>
    <w:p w:rsidR="00D96472" w:rsidRPr="00F97CC3" w:rsidRDefault="00D96472" w:rsidP="00B70BC6">
      <w:pPr>
        <w:spacing w:line="240" w:lineRule="auto"/>
        <w:rPr>
          <w:szCs w:val="24"/>
        </w:rPr>
        <w:sectPr w:rsidR="00D96472" w:rsidRPr="00F97CC3" w:rsidSect="00CF6CD7">
          <w:pgSz w:w="12240" w:h="15840" w:code="1"/>
          <w:pgMar w:top="965" w:right="1440" w:bottom="1080" w:left="1440" w:header="274" w:footer="432" w:gutter="0"/>
          <w:cols w:space="720"/>
          <w:docGrid w:linePitch="272"/>
        </w:sectPr>
      </w:pPr>
    </w:p>
    <w:p w:rsidR="00CF6CD7" w:rsidRPr="00A51350" w:rsidRDefault="0008603D" w:rsidP="0008603D">
      <w:pPr>
        <w:spacing w:line="240" w:lineRule="auto"/>
        <w:rPr>
          <w:b/>
          <w:szCs w:val="24"/>
        </w:rPr>
      </w:pPr>
      <w:r w:rsidRPr="00A51350">
        <w:rPr>
          <w:b/>
          <w:szCs w:val="24"/>
        </w:rPr>
        <w:lastRenderedPageBreak/>
        <w:t xml:space="preserve">Table </w:t>
      </w:r>
      <w:r w:rsidR="001B5946" w:rsidRPr="00A51350">
        <w:rPr>
          <w:b/>
          <w:szCs w:val="24"/>
        </w:rPr>
        <w:t>6</w:t>
      </w:r>
      <w:r w:rsidRPr="00A51350">
        <w:rPr>
          <w:b/>
          <w:szCs w:val="24"/>
        </w:rPr>
        <w:t xml:space="preserve">. Ratings for </w:t>
      </w:r>
      <w:r w:rsidR="00CA7EC9" w:rsidRPr="00A51350">
        <w:rPr>
          <w:b/>
          <w:szCs w:val="24"/>
        </w:rPr>
        <w:t xml:space="preserve">APT </w:t>
      </w:r>
      <w:r w:rsidRPr="00A51350">
        <w:rPr>
          <w:b/>
          <w:szCs w:val="24"/>
        </w:rPr>
        <w:t>Activity Domains</w:t>
      </w:r>
      <w:r w:rsidR="001B5946" w:rsidRPr="00A51350">
        <w:rPr>
          <w:b/>
          <w:szCs w:val="24"/>
        </w:rPr>
        <w:t xml:space="preserve"> by Program</w:t>
      </w:r>
      <w:r w:rsidR="000C4CB8" w:rsidRPr="00A51350">
        <w:rPr>
          <w:b/>
          <w:szCs w:val="24"/>
        </w:rPr>
        <w:t xml:space="preserve"> Site</w:t>
      </w:r>
    </w:p>
    <w:tbl>
      <w:tblPr>
        <w:tblW w:w="12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8"/>
        <w:gridCol w:w="1142"/>
        <w:gridCol w:w="898"/>
        <w:gridCol w:w="900"/>
        <w:gridCol w:w="630"/>
        <w:gridCol w:w="900"/>
        <w:gridCol w:w="900"/>
        <w:gridCol w:w="630"/>
        <w:gridCol w:w="900"/>
        <w:gridCol w:w="810"/>
        <w:gridCol w:w="810"/>
        <w:gridCol w:w="810"/>
      </w:tblGrid>
      <w:tr w:rsidR="00C07766" w:rsidRPr="00F97CC3" w:rsidTr="00C07766">
        <w:trPr>
          <w:cantSplit/>
          <w:trHeight w:val="1457"/>
        </w:trPr>
        <w:tc>
          <w:tcPr>
            <w:tcW w:w="3108" w:type="dxa"/>
            <w:shd w:val="clear" w:color="auto" w:fill="auto"/>
            <w:vAlign w:val="center"/>
          </w:tcPr>
          <w:p w:rsidR="00C07766" w:rsidRPr="00F97CC3" w:rsidRDefault="00C07766" w:rsidP="00C07766">
            <w:pPr>
              <w:spacing w:line="240" w:lineRule="auto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APT Activity Domain</w:t>
            </w:r>
          </w:p>
        </w:tc>
        <w:tc>
          <w:tcPr>
            <w:tcW w:w="1142" w:type="dxa"/>
            <w:shd w:val="clear" w:color="auto" w:fill="auto"/>
            <w:textDirection w:val="btLr"/>
            <w:vAlign w:val="center"/>
          </w:tcPr>
          <w:p w:rsidR="00C07766" w:rsidRPr="00F97CC3" w:rsidRDefault="00C07766" w:rsidP="00C07766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All Sites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:rsidR="00C07766" w:rsidRPr="00F97CC3" w:rsidRDefault="00C07766" w:rsidP="00C07766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Boston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07766" w:rsidRPr="00F97CC3" w:rsidRDefault="00C07766" w:rsidP="00C07766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Fitchburg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C07766" w:rsidRPr="00F97CC3" w:rsidRDefault="00C07766" w:rsidP="00C07766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Lowell</w:t>
            </w:r>
          </w:p>
        </w:tc>
        <w:tc>
          <w:tcPr>
            <w:tcW w:w="900" w:type="dxa"/>
            <w:textDirection w:val="btLr"/>
            <w:vAlign w:val="center"/>
          </w:tcPr>
          <w:p w:rsidR="00C07766" w:rsidRPr="00F97CC3" w:rsidRDefault="00C07766" w:rsidP="00C07766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New Bedford</w:t>
            </w:r>
          </w:p>
        </w:tc>
        <w:tc>
          <w:tcPr>
            <w:tcW w:w="900" w:type="dxa"/>
            <w:textDirection w:val="btLr"/>
            <w:vAlign w:val="center"/>
          </w:tcPr>
          <w:p w:rsidR="00C07766" w:rsidRPr="00F97CC3" w:rsidRDefault="00C07766" w:rsidP="00C07766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North Adams</w:t>
            </w:r>
          </w:p>
        </w:tc>
        <w:tc>
          <w:tcPr>
            <w:tcW w:w="630" w:type="dxa"/>
            <w:textDirection w:val="btLr"/>
            <w:vAlign w:val="center"/>
          </w:tcPr>
          <w:p w:rsidR="00C07766" w:rsidRPr="00F97CC3" w:rsidRDefault="00C07766" w:rsidP="00C07766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Pittsfield</w:t>
            </w:r>
          </w:p>
        </w:tc>
        <w:tc>
          <w:tcPr>
            <w:tcW w:w="900" w:type="dxa"/>
            <w:textDirection w:val="btLr"/>
            <w:vAlign w:val="center"/>
          </w:tcPr>
          <w:p w:rsidR="00C07766" w:rsidRPr="00F97CC3" w:rsidRDefault="00C07766" w:rsidP="00C07766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Triton/Salis</w:t>
            </w:r>
          </w:p>
        </w:tc>
        <w:tc>
          <w:tcPr>
            <w:tcW w:w="810" w:type="dxa"/>
            <w:textDirection w:val="btLr"/>
            <w:vAlign w:val="center"/>
          </w:tcPr>
          <w:p w:rsidR="00C07766" w:rsidRPr="00F97CC3" w:rsidRDefault="00C07766" w:rsidP="00C07766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Wareham</w:t>
            </w:r>
          </w:p>
        </w:tc>
        <w:tc>
          <w:tcPr>
            <w:tcW w:w="810" w:type="dxa"/>
            <w:textDirection w:val="btLr"/>
            <w:vAlign w:val="center"/>
          </w:tcPr>
          <w:p w:rsidR="00C07766" w:rsidRPr="00F97CC3" w:rsidRDefault="00C07766" w:rsidP="00C07766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West Springfield</w:t>
            </w:r>
          </w:p>
        </w:tc>
        <w:tc>
          <w:tcPr>
            <w:tcW w:w="810" w:type="dxa"/>
            <w:textDirection w:val="btLr"/>
            <w:vAlign w:val="center"/>
          </w:tcPr>
          <w:p w:rsidR="00C07766" w:rsidRPr="00F97CC3" w:rsidRDefault="00C07766" w:rsidP="00C07766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Whitman-Hanson</w:t>
            </w:r>
          </w:p>
        </w:tc>
      </w:tr>
      <w:tr w:rsidR="00C07766" w:rsidRPr="00F97CC3" w:rsidTr="00422393">
        <w:trPr>
          <w:trHeight w:val="288"/>
        </w:trPr>
        <w:tc>
          <w:tcPr>
            <w:tcW w:w="3108" w:type="dxa"/>
            <w:shd w:val="clear" w:color="auto" w:fill="auto"/>
          </w:tcPr>
          <w:p w:rsidR="00C07766" w:rsidRPr="00F97CC3" w:rsidRDefault="00C07766" w:rsidP="00422393">
            <w:pPr>
              <w:spacing w:line="240" w:lineRule="auto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Organization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7766" w:rsidRPr="00F97CC3" w:rsidRDefault="00C0776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3.79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vAlign w:val="center"/>
          </w:tcPr>
          <w:p w:rsidR="00C07766" w:rsidRPr="00F97CC3" w:rsidRDefault="00B54E79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3.81</w:t>
            </w:r>
          </w:p>
        </w:tc>
        <w:tc>
          <w:tcPr>
            <w:tcW w:w="63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2.89</w:t>
            </w:r>
          </w:p>
        </w:tc>
        <w:tc>
          <w:tcPr>
            <w:tcW w:w="90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3.67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</w:tr>
      <w:tr w:rsidR="00C07766" w:rsidRPr="00F97CC3" w:rsidTr="00422393">
        <w:trPr>
          <w:trHeight w:val="288"/>
        </w:trPr>
        <w:tc>
          <w:tcPr>
            <w:tcW w:w="3108" w:type="dxa"/>
            <w:shd w:val="clear" w:color="auto" w:fill="auto"/>
          </w:tcPr>
          <w:p w:rsidR="00C07766" w:rsidRPr="00F97CC3" w:rsidRDefault="00C07766" w:rsidP="00422393">
            <w:pPr>
              <w:spacing w:line="240" w:lineRule="auto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Nature of Activity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7766" w:rsidRPr="00F97CC3" w:rsidRDefault="00C0776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3.06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2.85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2.88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3.69</w:t>
            </w:r>
          </w:p>
        </w:tc>
        <w:tc>
          <w:tcPr>
            <w:tcW w:w="900" w:type="dxa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3.75</w:t>
            </w:r>
          </w:p>
        </w:tc>
        <w:tc>
          <w:tcPr>
            <w:tcW w:w="900" w:type="dxa"/>
            <w:vAlign w:val="center"/>
          </w:tcPr>
          <w:p w:rsidR="00C07766" w:rsidRPr="00F97CC3" w:rsidRDefault="00B54E79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2.82</w:t>
            </w:r>
          </w:p>
        </w:tc>
        <w:tc>
          <w:tcPr>
            <w:tcW w:w="63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2.67</w:t>
            </w:r>
          </w:p>
        </w:tc>
        <w:tc>
          <w:tcPr>
            <w:tcW w:w="90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3.13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3.25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2.33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3.50</w:t>
            </w:r>
          </w:p>
        </w:tc>
      </w:tr>
      <w:tr w:rsidR="00C07766" w:rsidRPr="00F97CC3" w:rsidTr="00422393">
        <w:trPr>
          <w:trHeight w:val="323"/>
        </w:trPr>
        <w:tc>
          <w:tcPr>
            <w:tcW w:w="3108" w:type="dxa"/>
            <w:shd w:val="clear" w:color="auto" w:fill="auto"/>
          </w:tcPr>
          <w:p w:rsidR="00C07766" w:rsidRPr="00F97CC3" w:rsidRDefault="00C07766" w:rsidP="00422393">
            <w:pPr>
              <w:spacing w:line="240" w:lineRule="auto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Staff Promote Engagement &amp; Stimulate Thinking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7766" w:rsidRPr="00F97CC3" w:rsidRDefault="00C0776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3.11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3.96</w:t>
            </w:r>
          </w:p>
        </w:tc>
        <w:tc>
          <w:tcPr>
            <w:tcW w:w="900" w:type="dxa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vAlign w:val="center"/>
          </w:tcPr>
          <w:p w:rsidR="00C07766" w:rsidRPr="00F97CC3" w:rsidRDefault="00B54E79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2.69</w:t>
            </w:r>
          </w:p>
        </w:tc>
        <w:tc>
          <w:tcPr>
            <w:tcW w:w="63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2.38</w:t>
            </w:r>
          </w:p>
        </w:tc>
        <w:tc>
          <w:tcPr>
            <w:tcW w:w="90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3.43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3.05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2.26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3.83</w:t>
            </w:r>
          </w:p>
        </w:tc>
      </w:tr>
      <w:tr w:rsidR="00C07766" w:rsidRPr="00F97CC3" w:rsidTr="00422393">
        <w:trPr>
          <w:trHeight w:val="377"/>
        </w:trPr>
        <w:tc>
          <w:tcPr>
            <w:tcW w:w="3108" w:type="dxa"/>
            <w:shd w:val="clear" w:color="auto" w:fill="auto"/>
          </w:tcPr>
          <w:p w:rsidR="00C07766" w:rsidRPr="00F97CC3" w:rsidRDefault="00C07766" w:rsidP="00422393">
            <w:pPr>
              <w:spacing w:line="240" w:lineRule="auto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Staff Positively Guide Behavior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7766" w:rsidRPr="00F97CC3" w:rsidRDefault="00C0776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3.81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3.85</w:t>
            </w:r>
          </w:p>
        </w:tc>
        <w:tc>
          <w:tcPr>
            <w:tcW w:w="900" w:type="dxa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3.90</w:t>
            </w:r>
          </w:p>
        </w:tc>
        <w:tc>
          <w:tcPr>
            <w:tcW w:w="900" w:type="dxa"/>
            <w:vAlign w:val="center"/>
          </w:tcPr>
          <w:p w:rsidR="00C07766" w:rsidRPr="00F97CC3" w:rsidRDefault="00B54E79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3.80</w:t>
            </w:r>
          </w:p>
        </w:tc>
        <w:tc>
          <w:tcPr>
            <w:tcW w:w="63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3.82</w:t>
            </w:r>
          </w:p>
        </w:tc>
        <w:tc>
          <w:tcPr>
            <w:tcW w:w="90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3.92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3.44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3.75</w:t>
            </w:r>
          </w:p>
        </w:tc>
      </w:tr>
      <w:tr w:rsidR="00C07766" w:rsidRPr="00F97CC3" w:rsidTr="00422393">
        <w:trPr>
          <w:trHeight w:val="593"/>
        </w:trPr>
        <w:tc>
          <w:tcPr>
            <w:tcW w:w="3108" w:type="dxa"/>
            <w:shd w:val="clear" w:color="auto" w:fill="auto"/>
          </w:tcPr>
          <w:p w:rsidR="00C07766" w:rsidRPr="00F97CC3" w:rsidRDefault="00C07766" w:rsidP="00422393">
            <w:pPr>
              <w:spacing w:line="240" w:lineRule="auto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 xml:space="preserve">Staff Build Relationships – Support Individual Youth 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7766" w:rsidRPr="00F97CC3" w:rsidRDefault="00C0776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3.54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3.55</w:t>
            </w:r>
          </w:p>
        </w:tc>
        <w:tc>
          <w:tcPr>
            <w:tcW w:w="900" w:type="dxa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3.78</w:t>
            </w:r>
          </w:p>
        </w:tc>
        <w:tc>
          <w:tcPr>
            <w:tcW w:w="900" w:type="dxa"/>
            <w:vAlign w:val="center"/>
          </w:tcPr>
          <w:p w:rsidR="00C07766" w:rsidRPr="00F97CC3" w:rsidRDefault="00B54E79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3.48</w:t>
            </w:r>
          </w:p>
        </w:tc>
        <w:tc>
          <w:tcPr>
            <w:tcW w:w="63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3.44</w:t>
            </w:r>
          </w:p>
        </w:tc>
        <w:tc>
          <w:tcPr>
            <w:tcW w:w="90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3.90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3.57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3.09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3.75</w:t>
            </w:r>
          </w:p>
        </w:tc>
      </w:tr>
      <w:tr w:rsidR="00C07766" w:rsidRPr="00F97CC3" w:rsidTr="00422393">
        <w:trPr>
          <w:trHeight w:val="350"/>
        </w:trPr>
        <w:tc>
          <w:tcPr>
            <w:tcW w:w="3108" w:type="dxa"/>
            <w:shd w:val="clear" w:color="auto" w:fill="auto"/>
          </w:tcPr>
          <w:p w:rsidR="00C07766" w:rsidRPr="00F97CC3" w:rsidRDefault="00C07766" w:rsidP="00422393">
            <w:pPr>
              <w:spacing w:line="240" w:lineRule="auto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Youth Relations w/Adults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7766" w:rsidRPr="00F97CC3" w:rsidRDefault="00C0776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3.68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3.75</w:t>
            </w:r>
          </w:p>
        </w:tc>
        <w:tc>
          <w:tcPr>
            <w:tcW w:w="900" w:type="dxa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vAlign w:val="center"/>
          </w:tcPr>
          <w:p w:rsidR="00C07766" w:rsidRPr="00F97CC3" w:rsidRDefault="00B54E79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3.71</w:t>
            </w:r>
          </w:p>
        </w:tc>
        <w:tc>
          <w:tcPr>
            <w:tcW w:w="63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3.22</w:t>
            </w:r>
          </w:p>
        </w:tc>
        <w:tc>
          <w:tcPr>
            <w:tcW w:w="90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3.44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3.44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3.58</w:t>
            </w:r>
          </w:p>
        </w:tc>
      </w:tr>
      <w:tr w:rsidR="00C07766" w:rsidRPr="00F97CC3" w:rsidTr="00422393">
        <w:trPr>
          <w:trHeight w:val="350"/>
        </w:trPr>
        <w:tc>
          <w:tcPr>
            <w:tcW w:w="3108" w:type="dxa"/>
            <w:shd w:val="clear" w:color="auto" w:fill="auto"/>
          </w:tcPr>
          <w:p w:rsidR="00C07766" w:rsidRPr="00F97CC3" w:rsidRDefault="00C07766" w:rsidP="00422393">
            <w:pPr>
              <w:spacing w:line="240" w:lineRule="auto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Youth Participation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7766" w:rsidRPr="00F97CC3" w:rsidRDefault="00C0776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3.37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3.33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3.67</w:t>
            </w:r>
          </w:p>
        </w:tc>
        <w:tc>
          <w:tcPr>
            <w:tcW w:w="900" w:type="dxa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vAlign w:val="center"/>
          </w:tcPr>
          <w:p w:rsidR="00C07766" w:rsidRPr="00F97CC3" w:rsidRDefault="00B54E79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3.23</w:t>
            </w:r>
          </w:p>
        </w:tc>
        <w:tc>
          <w:tcPr>
            <w:tcW w:w="63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2.80</w:t>
            </w:r>
          </w:p>
        </w:tc>
        <w:tc>
          <w:tcPr>
            <w:tcW w:w="90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3.50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3.40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3.02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3.65</w:t>
            </w:r>
          </w:p>
        </w:tc>
      </w:tr>
      <w:tr w:rsidR="00C07766" w:rsidRPr="00F97CC3" w:rsidTr="00422393">
        <w:trPr>
          <w:trHeight w:val="350"/>
        </w:trPr>
        <w:tc>
          <w:tcPr>
            <w:tcW w:w="3108" w:type="dxa"/>
            <w:shd w:val="clear" w:color="auto" w:fill="auto"/>
          </w:tcPr>
          <w:p w:rsidR="00C07766" w:rsidRPr="00F97CC3" w:rsidRDefault="00C07766" w:rsidP="00422393">
            <w:pPr>
              <w:spacing w:line="240" w:lineRule="auto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Peer Relations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7766" w:rsidRPr="00F97CC3" w:rsidRDefault="00C0776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3.78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3.92</w:t>
            </w:r>
          </w:p>
        </w:tc>
        <w:tc>
          <w:tcPr>
            <w:tcW w:w="900" w:type="dxa"/>
            <w:vAlign w:val="center"/>
          </w:tcPr>
          <w:p w:rsidR="00C07766" w:rsidRPr="00F97CC3" w:rsidRDefault="00823964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vAlign w:val="center"/>
          </w:tcPr>
          <w:p w:rsidR="00C07766" w:rsidRPr="00F97CC3" w:rsidRDefault="00B54E79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3.71</w:t>
            </w:r>
          </w:p>
        </w:tc>
        <w:tc>
          <w:tcPr>
            <w:tcW w:w="63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3.56</w:t>
            </w:r>
          </w:p>
        </w:tc>
        <w:tc>
          <w:tcPr>
            <w:tcW w:w="90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3.78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3.44</w:t>
            </w:r>
          </w:p>
        </w:tc>
        <w:tc>
          <w:tcPr>
            <w:tcW w:w="810" w:type="dxa"/>
            <w:vAlign w:val="center"/>
          </w:tcPr>
          <w:p w:rsidR="00C07766" w:rsidRPr="00F97CC3" w:rsidRDefault="00B70F46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</w:tr>
    </w:tbl>
    <w:p w:rsidR="00C07766" w:rsidRPr="00F97CC3" w:rsidRDefault="00C07766" w:rsidP="00C07766">
      <w:pPr>
        <w:spacing w:line="240" w:lineRule="auto"/>
        <w:rPr>
          <w:b/>
          <w:sz w:val="18"/>
          <w:szCs w:val="18"/>
        </w:rPr>
      </w:pPr>
      <w:r w:rsidRPr="00F97CC3">
        <w:rPr>
          <w:i/>
          <w:sz w:val="18"/>
          <w:szCs w:val="18"/>
        </w:rPr>
        <w:t>Note</w:t>
      </w:r>
      <w:r w:rsidRPr="00F97CC3">
        <w:rPr>
          <w:sz w:val="18"/>
          <w:szCs w:val="18"/>
        </w:rPr>
        <w:t>. APT items are reported on a scale ranging from 1 (</w:t>
      </w:r>
      <w:r w:rsidRPr="00F97CC3">
        <w:rPr>
          <w:i/>
          <w:sz w:val="18"/>
          <w:szCs w:val="18"/>
        </w:rPr>
        <w:t>not true</w:t>
      </w:r>
      <w:r w:rsidRPr="00F97CC3">
        <w:rPr>
          <w:sz w:val="18"/>
          <w:szCs w:val="18"/>
        </w:rPr>
        <w:t>) to 4 (</w:t>
      </w:r>
      <w:r w:rsidRPr="00F97CC3">
        <w:rPr>
          <w:i/>
          <w:sz w:val="18"/>
          <w:szCs w:val="18"/>
        </w:rPr>
        <w:t>very true</w:t>
      </w:r>
      <w:r w:rsidRPr="00F97CC3">
        <w:rPr>
          <w:sz w:val="18"/>
          <w:szCs w:val="18"/>
        </w:rPr>
        <w:t>).</w:t>
      </w:r>
    </w:p>
    <w:p w:rsidR="00CF6CD7" w:rsidRPr="00F97CC3" w:rsidRDefault="00CF6CD7" w:rsidP="00A01B9F">
      <w:pPr>
        <w:spacing w:line="240" w:lineRule="auto"/>
        <w:rPr>
          <w:szCs w:val="24"/>
        </w:rPr>
      </w:pPr>
    </w:p>
    <w:p w:rsidR="00C07766" w:rsidRPr="00F97CC3" w:rsidRDefault="00C07766" w:rsidP="00A01B9F">
      <w:pPr>
        <w:spacing w:line="240" w:lineRule="auto"/>
        <w:rPr>
          <w:szCs w:val="24"/>
        </w:rPr>
      </w:pPr>
    </w:p>
    <w:p w:rsidR="00C07766" w:rsidRPr="00F97CC3" w:rsidRDefault="00C07766" w:rsidP="00A01B9F">
      <w:pPr>
        <w:spacing w:line="240" w:lineRule="auto"/>
        <w:rPr>
          <w:szCs w:val="24"/>
        </w:rPr>
      </w:pPr>
    </w:p>
    <w:p w:rsidR="00C07766" w:rsidRPr="00F97CC3" w:rsidRDefault="00C07766" w:rsidP="00A01B9F">
      <w:pPr>
        <w:spacing w:line="240" w:lineRule="auto"/>
        <w:rPr>
          <w:szCs w:val="24"/>
        </w:rPr>
      </w:pPr>
    </w:p>
    <w:p w:rsidR="00C07766" w:rsidRPr="00F97CC3" w:rsidRDefault="00C07766" w:rsidP="00A01B9F">
      <w:pPr>
        <w:spacing w:line="240" w:lineRule="auto"/>
        <w:rPr>
          <w:szCs w:val="24"/>
        </w:rPr>
      </w:pPr>
    </w:p>
    <w:p w:rsidR="00C07766" w:rsidRPr="00F97CC3" w:rsidRDefault="00C07766" w:rsidP="00A01B9F">
      <w:pPr>
        <w:spacing w:line="240" w:lineRule="auto"/>
        <w:rPr>
          <w:szCs w:val="24"/>
        </w:rPr>
      </w:pPr>
    </w:p>
    <w:p w:rsidR="0008603D" w:rsidRPr="00F97CC3" w:rsidRDefault="0008603D" w:rsidP="00A01B9F">
      <w:pPr>
        <w:spacing w:line="240" w:lineRule="auto"/>
        <w:rPr>
          <w:szCs w:val="24"/>
        </w:rPr>
      </w:pPr>
    </w:p>
    <w:p w:rsidR="0008603D" w:rsidRPr="00F97CC3" w:rsidRDefault="0008603D" w:rsidP="00A01B9F">
      <w:pPr>
        <w:spacing w:line="240" w:lineRule="auto"/>
        <w:rPr>
          <w:szCs w:val="24"/>
        </w:rPr>
      </w:pPr>
    </w:p>
    <w:p w:rsidR="0008603D" w:rsidRPr="00F97CC3" w:rsidRDefault="0008603D" w:rsidP="00A01B9F">
      <w:pPr>
        <w:spacing w:line="240" w:lineRule="auto"/>
        <w:rPr>
          <w:szCs w:val="24"/>
        </w:rPr>
      </w:pPr>
    </w:p>
    <w:p w:rsidR="0008603D" w:rsidRPr="00F97CC3" w:rsidRDefault="0008603D" w:rsidP="00A01B9F">
      <w:pPr>
        <w:spacing w:line="240" w:lineRule="auto"/>
        <w:rPr>
          <w:szCs w:val="24"/>
        </w:rPr>
      </w:pPr>
    </w:p>
    <w:p w:rsidR="0008603D" w:rsidRPr="00F97CC3" w:rsidRDefault="0008603D" w:rsidP="00A01B9F">
      <w:pPr>
        <w:spacing w:line="240" w:lineRule="auto"/>
        <w:rPr>
          <w:szCs w:val="24"/>
        </w:rPr>
      </w:pPr>
    </w:p>
    <w:p w:rsidR="0008603D" w:rsidRPr="00F97CC3" w:rsidRDefault="0008603D" w:rsidP="00A01B9F">
      <w:pPr>
        <w:spacing w:line="240" w:lineRule="auto"/>
        <w:rPr>
          <w:szCs w:val="24"/>
        </w:rPr>
      </w:pPr>
    </w:p>
    <w:p w:rsidR="0008603D" w:rsidRPr="00F97CC3" w:rsidRDefault="0008603D" w:rsidP="00A01B9F">
      <w:pPr>
        <w:spacing w:line="240" w:lineRule="auto"/>
        <w:rPr>
          <w:szCs w:val="24"/>
        </w:rPr>
      </w:pPr>
    </w:p>
    <w:p w:rsidR="0008603D" w:rsidRPr="00F97CC3" w:rsidRDefault="0008603D" w:rsidP="00A01B9F">
      <w:pPr>
        <w:spacing w:line="240" w:lineRule="auto"/>
        <w:rPr>
          <w:szCs w:val="24"/>
        </w:rPr>
      </w:pPr>
    </w:p>
    <w:p w:rsidR="0008603D" w:rsidRPr="00F97CC3" w:rsidRDefault="0008603D" w:rsidP="00A01B9F">
      <w:pPr>
        <w:spacing w:line="240" w:lineRule="auto"/>
        <w:rPr>
          <w:szCs w:val="24"/>
        </w:rPr>
      </w:pPr>
    </w:p>
    <w:p w:rsidR="00C07766" w:rsidRPr="00A51350" w:rsidRDefault="0008603D" w:rsidP="0008603D">
      <w:pPr>
        <w:spacing w:line="240" w:lineRule="auto"/>
        <w:rPr>
          <w:b/>
          <w:sz w:val="22"/>
          <w:szCs w:val="22"/>
        </w:rPr>
      </w:pPr>
      <w:r w:rsidRPr="00A51350">
        <w:rPr>
          <w:b/>
          <w:sz w:val="22"/>
          <w:szCs w:val="22"/>
        </w:rPr>
        <w:lastRenderedPageBreak/>
        <w:t>Table</w:t>
      </w:r>
      <w:r w:rsidR="001B5946" w:rsidRPr="00A51350">
        <w:rPr>
          <w:b/>
          <w:sz w:val="22"/>
          <w:szCs w:val="22"/>
        </w:rPr>
        <w:t xml:space="preserve"> 7</w:t>
      </w:r>
      <w:r w:rsidR="001E5596" w:rsidRPr="00A51350">
        <w:rPr>
          <w:b/>
          <w:sz w:val="22"/>
          <w:szCs w:val="22"/>
        </w:rPr>
        <w:t xml:space="preserve">. </w:t>
      </w:r>
      <w:r w:rsidRPr="00A51350">
        <w:rPr>
          <w:b/>
          <w:sz w:val="22"/>
          <w:szCs w:val="22"/>
        </w:rPr>
        <w:t xml:space="preserve">Ratings for </w:t>
      </w:r>
      <w:r w:rsidR="00CA7EC9" w:rsidRPr="00A51350">
        <w:rPr>
          <w:b/>
          <w:sz w:val="22"/>
          <w:szCs w:val="22"/>
        </w:rPr>
        <w:t xml:space="preserve">APT </w:t>
      </w:r>
      <w:r w:rsidRPr="00A51350">
        <w:rPr>
          <w:b/>
          <w:sz w:val="22"/>
          <w:szCs w:val="22"/>
        </w:rPr>
        <w:t xml:space="preserve">Overall </w:t>
      </w:r>
      <w:r w:rsidR="00A51350">
        <w:rPr>
          <w:b/>
          <w:sz w:val="22"/>
          <w:szCs w:val="22"/>
        </w:rPr>
        <w:t xml:space="preserve">Program </w:t>
      </w:r>
      <w:r w:rsidRPr="00A51350">
        <w:rPr>
          <w:b/>
          <w:sz w:val="22"/>
          <w:szCs w:val="22"/>
        </w:rPr>
        <w:t>Domains</w:t>
      </w:r>
      <w:r w:rsidR="001B5946" w:rsidRPr="00A51350">
        <w:rPr>
          <w:b/>
          <w:sz w:val="22"/>
          <w:szCs w:val="22"/>
        </w:rPr>
        <w:t xml:space="preserve"> by Program</w:t>
      </w:r>
      <w:r w:rsidR="000C4CB8" w:rsidRPr="00A51350">
        <w:rPr>
          <w:b/>
          <w:sz w:val="22"/>
          <w:szCs w:val="22"/>
        </w:rPr>
        <w:t xml:space="preserve"> Site</w:t>
      </w:r>
    </w:p>
    <w:tbl>
      <w:tblPr>
        <w:tblW w:w="12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8"/>
        <w:gridCol w:w="1142"/>
        <w:gridCol w:w="898"/>
        <w:gridCol w:w="900"/>
        <w:gridCol w:w="630"/>
        <w:gridCol w:w="900"/>
        <w:gridCol w:w="900"/>
        <w:gridCol w:w="630"/>
        <w:gridCol w:w="900"/>
        <w:gridCol w:w="810"/>
        <w:gridCol w:w="810"/>
        <w:gridCol w:w="810"/>
      </w:tblGrid>
      <w:tr w:rsidR="00C07766" w:rsidRPr="00F97CC3" w:rsidTr="00422393">
        <w:trPr>
          <w:cantSplit/>
          <w:trHeight w:val="1457"/>
        </w:trPr>
        <w:tc>
          <w:tcPr>
            <w:tcW w:w="3108" w:type="dxa"/>
            <w:shd w:val="clear" w:color="auto" w:fill="auto"/>
            <w:vAlign w:val="center"/>
          </w:tcPr>
          <w:p w:rsidR="00A51350" w:rsidRDefault="00C07766" w:rsidP="00C07766">
            <w:pPr>
              <w:spacing w:line="240" w:lineRule="auto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 xml:space="preserve">APT Overall </w:t>
            </w:r>
          </w:p>
          <w:p w:rsidR="00C07766" w:rsidRPr="00F97CC3" w:rsidRDefault="00A51350" w:rsidP="00C07766">
            <w:pPr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Program </w:t>
            </w:r>
            <w:r w:rsidR="00C07766" w:rsidRPr="00F97CC3">
              <w:rPr>
                <w:b/>
                <w:sz w:val="22"/>
                <w:szCs w:val="22"/>
              </w:rPr>
              <w:t>Domain</w:t>
            </w:r>
          </w:p>
        </w:tc>
        <w:tc>
          <w:tcPr>
            <w:tcW w:w="1142" w:type="dxa"/>
            <w:shd w:val="clear" w:color="auto" w:fill="auto"/>
            <w:textDirection w:val="btLr"/>
            <w:vAlign w:val="center"/>
          </w:tcPr>
          <w:p w:rsidR="00C07766" w:rsidRPr="00F97CC3" w:rsidRDefault="00C07766" w:rsidP="00422393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All Sites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:rsidR="00C07766" w:rsidRPr="00F97CC3" w:rsidRDefault="00C07766" w:rsidP="00422393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Boston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07766" w:rsidRPr="00F97CC3" w:rsidRDefault="00C07766" w:rsidP="00422393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Fitchburg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C07766" w:rsidRPr="00F97CC3" w:rsidRDefault="00C07766" w:rsidP="00422393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Lowell</w:t>
            </w:r>
          </w:p>
        </w:tc>
        <w:tc>
          <w:tcPr>
            <w:tcW w:w="900" w:type="dxa"/>
            <w:textDirection w:val="btLr"/>
            <w:vAlign w:val="center"/>
          </w:tcPr>
          <w:p w:rsidR="00C07766" w:rsidRPr="00F97CC3" w:rsidRDefault="00C07766" w:rsidP="00422393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New Bedford</w:t>
            </w:r>
          </w:p>
        </w:tc>
        <w:tc>
          <w:tcPr>
            <w:tcW w:w="900" w:type="dxa"/>
            <w:textDirection w:val="btLr"/>
            <w:vAlign w:val="center"/>
          </w:tcPr>
          <w:p w:rsidR="00C07766" w:rsidRPr="00F97CC3" w:rsidRDefault="00C07766" w:rsidP="00422393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North Adams</w:t>
            </w:r>
          </w:p>
        </w:tc>
        <w:tc>
          <w:tcPr>
            <w:tcW w:w="630" w:type="dxa"/>
            <w:textDirection w:val="btLr"/>
            <w:vAlign w:val="center"/>
          </w:tcPr>
          <w:p w:rsidR="00C07766" w:rsidRPr="00F97CC3" w:rsidRDefault="00C07766" w:rsidP="00422393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Pittsfield</w:t>
            </w:r>
          </w:p>
        </w:tc>
        <w:tc>
          <w:tcPr>
            <w:tcW w:w="900" w:type="dxa"/>
            <w:textDirection w:val="btLr"/>
            <w:vAlign w:val="center"/>
          </w:tcPr>
          <w:p w:rsidR="00C07766" w:rsidRPr="00F97CC3" w:rsidRDefault="00C07766" w:rsidP="00422393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Triton/Salis</w:t>
            </w:r>
          </w:p>
        </w:tc>
        <w:tc>
          <w:tcPr>
            <w:tcW w:w="810" w:type="dxa"/>
            <w:textDirection w:val="btLr"/>
            <w:vAlign w:val="center"/>
          </w:tcPr>
          <w:p w:rsidR="00C07766" w:rsidRPr="00F97CC3" w:rsidRDefault="00C07766" w:rsidP="00422393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Wareham</w:t>
            </w:r>
          </w:p>
        </w:tc>
        <w:tc>
          <w:tcPr>
            <w:tcW w:w="810" w:type="dxa"/>
            <w:textDirection w:val="btLr"/>
            <w:vAlign w:val="center"/>
          </w:tcPr>
          <w:p w:rsidR="00C07766" w:rsidRPr="00F97CC3" w:rsidRDefault="00C07766" w:rsidP="00422393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West Springfield</w:t>
            </w:r>
          </w:p>
        </w:tc>
        <w:tc>
          <w:tcPr>
            <w:tcW w:w="810" w:type="dxa"/>
            <w:textDirection w:val="btLr"/>
            <w:vAlign w:val="center"/>
          </w:tcPr>
          <w:p w:rsidR="00C07766" w:rsidRPr="00F97CC3" w:rsidRDefault="00C07766" w:rsidP="00422393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F97CC3">
              <w:rPr>
                <w:b/>
                <w:sz w:val="22"/>
                <w:szCs w:val="22"/>
              </w:rPr>
              <w:t>Whitman-Hanson</w:t>
            </w:r>
          </w:p>
        </w:tc>
      </w:tr>
      <w:tr w:rsidR="00C07766" w:rsidRPr="00F97CC3" w:rsidTr="00422393">
        <w:trPr>
          <w:trHeight w:val="288"/>
        </w:trPr>
        <w:tc>
          <w:tcPr>
            <w:tcW w:w="3108" w:type="dxa"/>
            <w:shd w:val="clear" w:color="auto" w:fill="auto"/>
          </w:tcPr>
          <w:p w:rsidR="00C07766" w:rsidRPr="00F97CC3" w:rsidRDefault="00C07766" w:rsidP="00C07766">
            <w:pPr>
              <w:spacing w:line="240" w:lineRule="auto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Arrival Time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n/a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n/a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7766" w:rsidRPr="00F97CC3" w:rsidRDefault="00246598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3.50</w:t>
            </w:r>
          </w:p>
        </w:tc>
        <w:tc>
          <w:tcPr>
            <w:tcW w:w="63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3.00</w:t>
            </w:r>
          </w:p>
        </w:tc>
        <w:tc>
          <w:tcPr>
            <w:tcW w:w="900" w:type="dxa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n/a</w:t>
            </w:r>
          </w:p>
        </w:tc>
        <w:tc>
          <w:tcPr>
            <w:tcW w:w="81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3.50</w:t>
            </w:r>
          </w:p>
        </w:tc>
        <w:tc>
          <w:tcPr>
            <w:tcW w:w="810" w:type="dxa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3.25</w:t>
            </w:r>
          </w:p>
        </w:tc>
        <w:tc>
          <w:tcPr>
            <w:tcW w:w="810" w:type="dxa"/>
            <w:vAlign w:val="center"/>
          </w:tcPr>
          <w:p w:rsidR="00C07766" w:rsidRPr="00F97CC3" w:rsidRDefault="00D96472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n/a</w:t>
            </w:r>
          </w:p>
        </w:tc>
      </w:tr>
      <w:tr w:rsidR="00C07766" w:rsidRPr="00F97CC3" w:rsidTr="007726BE">
        <w:trPr>
          <w:trHeight w:val="288"/>
        </w:trPr>
        <w:tc>
          <w:tcPr>
            <w:tcW w:w="3108" w:type="dxa"/>
            <w:shd w:val="clear" w:color="auto" w:fill="auto"/>
          </w:tcPr>
          <w:p w:rsidR="00C07766" w:rsidRPr="00F97CC3" w:rsidRDefault="00A533DE" w:rsidP="00C07766">
            <w:pPr>
              <w:spacing w:line="240" w:lineRule="auto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Transitions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n/a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n/a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766" w:rsidRPr="00F97CC3" w:rsidRDefault="00246598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3.29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3.14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07766" w:rsidRPr="00F97CC3" w:rsidRDefault="00D96472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n/a</w:t>
            </w:r>
          </w:p>
        </w:tc>
      </w:tr>
      <w:tr w:rsidR="00C07766" w:rsidRPr="00F97CC3" w:rsidTr="007726BE">
        <w:trPr>
          <w:trHeight w:val="323"/>
        </w:trPr>
        <w:tc>
          <w:tcPr>
            <w:tcW w:w="3108" w:type="dxa"/>
            <w:shd w:val="clear" w:color="auto" w:fill="auto"/>
          </w:tcPr>
          <w:p w:rsidR="00C07766" w:rsidRPr="00F97CC3" w:rsidRDefault="00C07766" w:rsidP="00C07766">
            <w:pPr>
              <w:spacing w:line="240" w:lineRule="auto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Informal Program Times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C07766" w:rsidRPr="00F97CC3" w:rsidRDefault="00C07766" w:rsidP="00422393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:rsidR="00C07766" w:rsidRPr="00F97CC3" w:rsidRDefault="00C07766" w:rsidP="00422393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07766" w:rsidRPr="00F97CC3" w:rsidRDefault="00C07766" w:rsidP="00422393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C07766" w:rsidRPr="00F97CC3" w:rsidRDefault="00C07766" w:rsidP="00422393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07766" w:rsidRPr="00F97CC3" w:rsidRDefault="00C07766" w:rsidP="00422393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07766" w:rsidRPr="00F97CC3" w:rsidRDefault="00C07766" w:rsidP="00422393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C07766" w:rsidRPr="00F97CC3" w:rsidRDefault="00C07766" w:rsidP="00422393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07766" w:rsidRPr="00F97CC3" w:rsidRDefault="00C07766" w:rsidP="00422393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C07766" w:rsidRPr="00F97CC3" w:rsidRDefault="00C07766" w:rsidP="007726BE">
            <w:pPr>
              <w:spacing w:line="240" w:lineRule="auto"/>
              <w:rPr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C07766" w:rsidRPr="00F97CC3" w:rsidRDefault="00C07766" w:rsidP="00422393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C07766" w:rsidRPr="00F97CC3" w:rsidRDefault="00C07766" w:rsidP="00422393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:rsidR="00C07766" w:rsidRPr="00F97CC3" w:rsidTr="00422393">
        <w:trPr>
          <w:trHeight w:val="377"/>
        </w:trPr>
        <w:tc>
          <w:tcPr>
            <w:tcW w:w="3108" w:type="dxa"/>
            <w:shd w:val="clear" w:color="auto" w:fill="auto"/>
          </w:tcPr>
          <w:p w:rsidR="00C07766" w:rsidRPr="00F97CC3" w:rsidRDefault="00C07766" w:rsidP="00C07766">
            <w:pPr>
              <w:spacing w:line="240" w:lineRule="auto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 xml:space="preserve">     Staff Approaches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n/a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n/a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3.67</w:t>
            </w:r>
          </w:p>
        </w:tc>
        <w:tc>
          <w:tcPr>
            <w:tcW w:w="90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3.75</w:t>
            </w:r>
          </w:p>
        </w:tc>
        <w:tc>
          <w:tcPr>
            <w:tcW w:w="63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3.50</w:t>
            </w:r>
          </w:p>
        </w:tc>
        <w:tc>
          <w:tcPr>
            <w:tcW w:w="90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81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810" w:type="dxa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3.00</w:t>
            </w:r>
          </w:p>
        </w:tc>
        <w:tc>
          <w:tcPr>
            <w:tcW w:w="810" w:type="dxa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</w:tr>
      <w:tr w:rsidR="00C07766" w:rsidRPr="00F97CC3" w:rsidTr="00422393">
        <w:trPr>
          <w:trHeight w:val="332"/>
        </w:trPr>
        <w:tc>
          <w:tcPr>
            <w:tcW w:w="3108" w:type="dxa"/>
            <w:shd w:val="clear" w:color="auto" w:fill="auto"/>
          </w:tcPr>
          <w:p w:rsidR="00C07766" w:rsidRPr="00F97CC3" w:rsidRDefault="00C07766" w:rsidP="00C07766">
            <w:pPr>
              <w:spacing w:line="240" w:lineRule="auto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 xml:space="preserve">     Youth Approaches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n/a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n/a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3.50</w:t>
            </w:r>
          </w:p>
        </w:tc>
        <w:tc>
          <w:tcPr>
            <w:tcW w:w="63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3.75</w:t>
            </w:r>
          </w:p>
        </w:tc>
        <w:tc>
          <w:tcPr>
            <w:tcW w:w="90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81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810" w:type="dxa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3.75</w:t>
            </w:r>
          </w:p>
        </w:tc>
        <w:tc>
          <w:tcPr>
            <w:tcW w:w="810" w:type="dxa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</w:tr>
      <w:tr w:rsidR="00C07766" w:rsidRPr="00F97CC3" w:rsidTr="00422393">
        <w:trPr>
          <w:trHeight w:val="350"/>
        </w:trPr>
        <w:tc>
          <w:tcPr>
            <w:tcW w:w="3108" w:type="dxa"/>
            <w:shd w:val="clear" w:color="auto" w:fill="auto"/>
          </w:tcPr>
          <w:p w:rsidR="00C07766" w:rsidRPr="00F97CC3" w:rsidRDefault="00C07766" w:rsidP="00C07766">
            <w:pPr>
              <w:spacing w:line="240" w:lineRule="auto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Program Space Supports Goals of Programming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07766" w:rsidRPr="00F97CC3" w:rsidRDefault="00246598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3.80</w:t>
            </w:r>
          </w:p>
        </w:tc>
        <w:tc>
          <w:tcPr>
            <w:tcW w:w="90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63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3.67</w:t>
            </w:r>
          </w:p>
        </w:tc>
        <w:tc>
          <w:tcPr>
            <w:tcW w:w="90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81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810" w:type="dxa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3.33</w:t>
            </w:r>
          </w:p>
        </w:tc>
        <w:tc>
          <w:tcPr>
            <w:tcW w:w="810" w:type="dxa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</w:tr>
      <w:tr w:rsidR="00C07766" w:rsidRPr="00F97CC3" w:rsidTr="00422393">
        <w:trPr>
          <w:trHeight w:val="350"/>
        </w:trPr>
        <w:tc>
          <w:tcPr>
            <w:tcW w:w="3108" w:type="dxa"/>
            <w:shd w:val="clear" w:color="auto" w:fill="auto"/>
          </w:tcPr>
          <w:p w:rsidR="00C07766" w:rsidRPr="00F97CC3" w:rsidRDefault="00C07766" w:rsidP="00C07766">
            <w:pPr>
              <w:spacing w:line="240" w:lineRule="auto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Overall Program Schedule &amp; Offerings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07766" w:rsidRPr="00F97CC3" w:rsidRDefault="00246598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3.60</w:t>
            </w:r>
          </w:p>
        </w:tc>
        <w:tc>
          <w:tcPr>
            <w:tcW w:w="63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2.80</w:t>
            </w:r>
          </w:p>
        </w:tc>
        <w:tc>
          <w:tcPr>
            <w:tcW w:w="90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3.60</w:t>
            </w:r>
          </w:p>
        </w:tc>
        <w:tc>
          <w:tcPr>
            <w:tcW w:w="81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810" w:type="dxa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3.00</w:t>
            </w:r>
          </w:p>
        </w:tc>
        <w:tc>
          <w:tcPr>
            <w:tcW w:w="810" w:type="dxa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3.80</w:t>
            </w:r>
          </w:p>
        </w:tc>
      </w:tr>
      <w:tr w:rsidR="00C07766" w:rsidRPr="00F97CC3" w:rsidTr="00422393">
        <w:trPr>
          <w:trHeight w:val="350"/>
        </w:trPr>
        <w:tc>
          <w:tcPr>
            <w:tcW w:w="3108" w:type="dxa"/>
            <w:shd w:val="clear" w:color="auto" w:fill="auto"/>
          </w:tcPr>
          <w:p w:rsidR="00C07766" w:rsidRPr="00F97CC3" w:rsidRDefault="00C07766" w:rsidP="00C07766">
            <w:pPr>
              <w:spacing w:line="240" w:lineRule="auto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Overall Social-Emotional Environment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3.75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07766" w:rsidRPr="00F97CC3" w:rsidRDefault="00246598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3.67</w:t>
            </w:r>
          </w:p>
        </w:tc>
        <w:tc>
          <w:tcPr>
            <w:tcW w:w="63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90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810" w:type="dxa"/>
            <w:vAlign w:val="center"/>
          </w:tcPr>
          <w:p w:rsidR="00C07766" w:rsidRPr="00F97CC3" w:rsidRDefault="007726BE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  <w:tc>
          <w:tcPr>
            <w:tcW w:w="810" w:type="dxa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3.67</w:t>
            </w:r>
          </w:p>
        </w:tc>
        <w:tc>
          <w:tcPr>
            <w:tcW w:w="810" w:type="dxa"/>
            <w:vAlign w:val="center"/>
          </w:tcPr>
          <w:p w:rsidR="00C07766" w:rsidRPr="00F97CC3" w:rsidRDefault="0059124B" w:rsidP="00422393">
            <w:pPr>
              <w:spacing w:line="240" w:lineRule="auto"/>
              <w:jc w:val="center"/>
              <w:rPr>
                <w:szCs w:val="22"/>
              </w:rPr>
            </w:pPr>
            <w:r w:rsidRPr="00F97CC3">
              <w:rPr>
                <w:sz w:val="22"/>
                <w:szCs w:val="22"/>
              </w:rPr>
              <w:t>4.00</w:t>
            </w:r>
          </w:p>
        </w:tc>
      </w:tr>
    </w:tbl>
    <w:p w:rsidR="00CF6CD7" w:rsidRPr="00F97CC3" w:rsidRDefault="00C07766" w:rsidP="00A01B9F">
      <w:pPr>
        <w:spacing w:line="240" w:lineRule="auto"/>
        <w:rPr>
          <w:sz w:val="18"/>
          <w:szCs w:val="18"/>
        </w:rPr>
      </w:pPr>
      <w:r w:rsidRPr="00F97CC3">
        <w:rPr>
          <w:i/>
          <w:sz w:val="18"/>
          <w:szCs w:val="18"/>
        </w:rPr>
        <w:t>Note</w:t>
      </w:r>
      <w:r w:rsidRPr="00F97CC3">
        <w:rPr>
          <w:sz w:val="18"/>
          <w:szCs w:val="18"/>
        </w:rPr>
        <w:t>. APT items are reported on a scale ranging from 1 (</w:t>
      </w:r>
      <w:r w:rsidRPr="00F97CC3">
        <w:rPr>
          <w:i/>
          <w:sz w:val="18"/>
          <w:szCs w:val="18"/>
        </w:rPr>
        <w:t>not true</w:t>
      </w:r>
      <w:r w:rsidRPr="00F97CC3">
        <w:rPr>
          <w:sz w:val="18"/>
          <w:szCs w:val="18"/>
        </w:rPr>
        <w:t>) to 4 (</w:t>
      </w:r>
      <w:r w:rsidRPr="00F97CC3">
        <w:rPr>
          <w:i/>
          <w:sz w:val="18"/>
          <w:szCs w:val="18"/>
        </w:rPr>
        <w:t>very true</w:t>
      </w:r>
      <w:r w:rsidRPr="00F97CC3">
        <w:rPr>
          <w:sz w:val="18"/>
          <w:szCs w:val="18"/>
        </w:rPr>
        <w:t>).</w:t>
      </w:r>
      <w:r w:rsidR="00D96472" w:rsidRPr="00F97CC3">
        <w:rPr>
          <w:sz w:val="18"/>
          <w:szCs w:val="18"/>
        </w:rPr>
        <w:t xml:space="preserve"> “Informal </w:t>
      </w:r>
      <w:r w:rsidR="00CA7EC9">
        <w:rPr>
          <w:sz w:val="18"/>
          <w:szCs w:val="18"/>
        </w:rPr>
        <w:t>Program T</w:t>
      </w:r>
      <w:r w:rsidR="00D96472" w:rsidRPr="00F97CC3">
        <w:rPr>
          <w:sz w:val="18"/>
          <w:szCs w:val="18"/>
        </w:rPr>
        <w:t>imes” did not take place in every program</w:t>
      </w:r>
      <w:r w:rsidR="001E5596">
        <w:rPr>
          <w:sz w:val="18"/>
          <w:szCs w:val="18"/>
        </w:rPr>
        <w:t xml:space="preserve">. </w:t>
      </w:r>
      <w:r w:rsidR="00D96472" w:rsidRPr="00F97CC3">
        <w:rPr>
          <w:sz w:val="18"/>
          <w:szCs w:val="18"/>
        </w:rPr>
        <w:t xml:space="preserve">“Arrival” </w:t>
      </w:r>
      <w:r w:rsidR="002E5370">
        <w:rPr>
          <w:sz w:val="18"/>
          <w:szCs w:val="18"/>
        </w:rPr>
        <w:t>was</w:t>
      </w:r>
      <w:r w:rsidR="00D96472" w:rsidRPr="00F97CC3">
        <w:rPr>
          <w:sz w:val="18"/>
          <w:szCs w:val="18"/>
        </w:rPr>
        <w:t xml:space="preserve"> not included in the Teen APT version. </w:t>
      </w:r>
    </w:p>
    <w:p w:rsidR="00CF6CD7" w:rsidRPr="00F97CC3" w:rsidRDefault="00CF6CD7" w:rsidP="00A01B9F">
      <w:pPr>
        <w:spacing w:line="240" w:lineRule="auto"/>
        <w:rPr>
          <w:szCs w:val="24"/>
        </w:rPr>
      </w:pPr>
    </w:p>
    <w:p w:rsidR="00CF6CD7" w:rsidRPr="00F97CC3" w:rsidRDefault="00CF6CD7" w:rsidP="00A01B9F">
      <w:pPr>
        <w:spacing w:line="240" w:lineRule="auto"/>
        <w:rPr>
          <w:szCs w:val="24"/>
        </w:rPr>
      </w:pPr>
    </w:p>
    <w:p w:rsidR="00CF6CD7" w:rsidRPr="00F97CC3" w:rsidRDefault="00CF6CD7" w:rsidP="00116D9C">
      <w:pPr>
        <w:spacing w:line="240" w:lineRule="auto"/>
        <w:rPr>
          <w:rFonts w:eastAsia="Calibri"/>
          <w:i/>
          <w:color w:val="auto"/>
          <w:szCs w:val="24"/>
        </w:rPr>
      </w:pPr>
    </w:p>
    <w:p w:rsidR="00CF6CD7" w:rsidRPr="00F97CC3" w:rsidRDefault="00CF6CD7" w:rsidP="00116D9C">
      <w:pPr>
        <w:spacing w:line="240" w:lineRule="auto"/>
        <w:rPr>
          <w:rFonts w:eastAsia="Calibri"/>
          <w:i/>
          <w:color w:val="auto"/>
          <w:szCs w:val="24"/>
        </w:rPr>
      </w:pPr>
    </w:p>
    <w:p w:rsidR="00CF6CD7" w:rsidRPr="00F97CC3" w:rsidRDefault="00CF6CD7" w:rsidP="00116D9C">
      <w:pPr>
        <w:spacing w:line="240" w:lineRule="auto"/>
        <w:rPr>
          <w:rFonts w:eastAsia="Calibri"/>
          <w:i/>
          <w:color w:val="auto"/>
          <w:szCs w:val="24"/>
        </w:rPr>
      </w:pPr>
    </w:p>
    <w:p w:rsidR="00CF6CD7" w:rsidRPr="00F97CC3" w:rsidRDefault="00CF6CD7" w:rsidP="00116D9C">
      <w:pPr>
        <w:spacing w:line="240" w:lineRule="auto"/>
        <w:rPr>
          <w:rFonts w:eastAsia="Calibri"/>
          <w:i/>
          <w:color w:val="auto"/>
          <w:szCs w:val="24"/>
        </w:rPr>
      </w:pPr>
    </w:p>
    <w:p w:rsidR="00CF6CD7" w:rsidRPr="00F97CC3" w:rsidRDefault="00CF6CD7" w:rsidP="00116D9C">
      <w:pPr>
        <w:spacing w:line="240" w:lineRule="auto"/>
        <w:rPr>
          <w:rFonts w:eastAsia="Calibri"/>
          <w:i/>
          <w:color w:val="auto"/>
          <w:szCs w:val="24"/>
        </w:rPr>
      </w:pPr>
    </w:p>
    <w:p w:rsidR="00CF6CD7" w:rsidRPr="00F97CC3" w:rsidRDefault="00CF6CD7" w:rsidP="00116D9C">
      <w:pPr>
        <w:spacing w:line="240" w:lineRule="auto"/>
        <w:rPr>
          <w:rFonts w:eastAsia="Calibri"/>
          <w:i/>
          <w:color w:val="auto"/>
          <w:szCs w:val="24"/>
        </w:rPr>
      </w:pPr>
    </w:p>
    <w:p w:rsidR="00CF6CD7" w:rsidRPr="00F97CC3" w:rsidRDefault="00CF6CD7" w:rsidP="00116D9C">
      <w:pPr>
        <w:spacing w:line="240" w:lineRule="auto"/>
        <w:rPr>
          <w:rFonts w:eastAsia="Calibri"/>
          <w:i/>
          <w:color w:val="auto"/>
          <w:szCs w:val="24"/>
        </w:rPr>
      </w:pPr>
    </w:p>
    <w:p w:rsidR="00CF6CD7" w:rsidRPr="00F97CC3" w:rsidRDefault="00CF6CD7" w:rsidP="00116D9C">
      <w:pPr>
        <w:spacing w:line="240" w:lineRule="auto"/>
        <w:rPr>
          <w:rFonts w:eastAsia="Calibri"/>
          <w:i/>
          <w:color w:val="auto"/>
          <w:szCs w:val="24"/>
        </w:rPr>
      </w:pPr>
    </w:p>
    <w:p w:rsidR="00CF6CD7" w:rsidRPr="00F97CC3" w:rsidRDefault="00CF6CD7" w:rsidP="00116D9C">
      <w:pPr>
        <w:spacing w:line="240" w:lineRule="auto"/>
        <w:rPr>
          <w:rFonts w:eastAsia="Calibri"/>
          <w:i/>
          <w:color w:val="auto"/>
          <w:szCs w:val="24"/>
        </w:rPr>
      </w:pPr>
    </w:p>
    <w:p w:rsidR="0008603D" w:rsidRPr="00F97CC3" w:rsidRDefault="0008603D" w:rsidP="00116D9C">
      <w:pPr>
        <w:spacing w:line="240" w:lineRule="auto"/>
        <w:rPr>
          <w:rFonts w:eastAsia="Calibri"/>
          <w:i/>
          <w:color w:val="auto"/>
          <w:szCs w:val="24"/>
        </w:rPr>
        <w:sectPr w:rsidR="0008603D" w:rsidRPr="00F97CC3" w:rsidSect="00CF6CD7">
          <w:pgSz w:w="15840" w:h="12240" w:orient="landscape" w:code="1"/>
          <w:pgMar w:top="1440" w:right="965" w:bottom="1440" w:left="1080" w:header="274" w:footer="432" w:gutter="0"/>
          <w:cols w:space="720"/>
          <w:docGrid w:linePitch="272"/>
        </w:sectPr>
      </w:pPr>
    </w:p>
    <w:p w:rsidR="00116D9C" w:rsidRPr="00CF0BDA" w:rsidRDefault="00CF6CD7" w:rsidP="003D4299">
      <w:pPr>
        <w:pStyle w:val="Heading2"/>
        <w:rPr>
          <w:rFonts w:cs="Times New Roman"/>
        </w:rPr>
      </w:pPr>
      <w:bookmarkStart w:id="5" w:name="_Toc407103942"/>
      <w:r w:rsidRPr="00CF0BDA">
        <w:rPr>
          <w:rFonts w:cs="Times New Roman"/>
        </w:rPr>
        <w:lastRenderedPageBreak/>
        <w:t>Su</w:t>
      </w:r>
      <w:r w:rsidR="00116D9C" w:rsidRPr="00CF0BDA">
        <w:rPr>
          <w:rFonts w:cs="Times New Roman"/>
        </w:rPr>
        <w:t xml:space="preserve">mmer Learning Loss </w:t>
      </w:r>
      <w:r w:rsidR="0012055C" w:rsidRPr="00CF0BDA">
        <w:rPr>
          <w:rFonts w:cs="Times New Roman"/>
        </w:rPr>
        <w:t>– Site Summaries</w:t>
      </w:r>
      <w:bookmarkEnd w:id="5"/>
      <w:r w:rsidR="002E5370">
        <w:rPr>
          <w:rStyle w:val="FootnoteReference"/>
          <w:rFonts w:cs="Times New Roman"/>
        </w:rPr>
        <w:footnoteReference w:id="1"/>
      </w:r>
    </w:p>
    <w:p w:rsidR="00116D9C" w:rsidRPr="00F97CC3" w:rsidRDefault="00116D9C" w:rsidP="00116D9C">
      <w:pPr>
        <w:spacing w:line="240" w:lineRule="auto"/>
        <w:rPr>
          <w:rFonts w:eastAsia="Calibri"/>
          <w:b/>
          <w:color w:val="auto"/>
          <w:szCs w:val="24"/>
        </w:rPr>
      </w:pPr>
      <w:r w:rsidRPr="00CF0BDA">
        <w:rPr>
          <w:rFonts w:eastAsia="Calibri"/>
          <w:b/>
          <w:color w:val="auto"/>
          <w:szCs w:val="24"/>
        </w:rPr>
        <w:t>Boston</w:t>
      </w:r>
    </w:p>
    <w:p w:rsidR="00116D9C" w:rsidRPr="00F97CC3" w:rsidRDefault="00116D9C" w:rsidP="00116D9C">
      <w:pPr>
        <w:spacing w:line="240" w:lineRule="auto"/>
        <w:rPr>
          <w:color w:val="auto"/>
          <w:szCs w:val="24"/>
        </w:rPr>
      </w:pPr>
      <w:r w:rsidRPr="00F97CC3">
        <w:rPr>
          <w:color w:val="auto"/>
          <w:szCs w:val="24"/>
        </w:rPr>
        <w:t>Grade point average (GPA) data were collected for English High School students (</w:t>
      </w:r>
      <w:r w:rsidRPr="003A369D">
        <w:rPr>
          <w:i/>
          <w:color w:val="auto"/>
          <w:szCs w:val="24"/>
        </w:rPr>
        <w:t>N</w:t>
      </w:r>
      <w:r w:rsidR="003A369D">
        <w:rPr>
          <w:color w:val="auto"/>
          <w:szCs w:val="24"/>
        </w:rPr>
        <w:t xml:space="preserve"> </w:t>
      </w:r>
      <w:r w:rsidRPr="00F97CC3">
        <w:rPr>
          <w:color w:val="auto"/>
          <w:szCs w:val="24"/>
        </w:rPr>
        <w:t>=</w:t>
      </w:r>
      <w:r w:rsidR="003A369D">
        <w:rPr>
          <w:color w:val="auto"/>
          <w:szCs w:val="24"/>
        </w:rPr>
        <w:t xml:space="preserve"> </w:t>
      </w:r>
      <w:r w:rsidRPr="00F97CC3">
        <w:rPr>
          <w:color w:val="auto"/>
          <w:szCs w:val="24"/>
        </w:rPr>
        <w:t xml:space="preserve">48) who participated in the summer enhancement program. GPA information collected included </w:t>
      </w:r>
      <w:r w:rsidR="00E86DF2">
        <w:rPr>
          <w:color w:val="auto"/>
          <w:szCs w:val="24"/>
        </w:rPr>
        <w:t xml:space="preserve">final </w:t>
      </w:r>
      <w:r w:rsidRPr="00F97CC3">
        <w:rPr>
          <w:color w:val="auto"/>
          <w:szCs w:val="24"/>
        </w:rPr>
        <w:t>GPA posted for the 20</w:t>
      </w:r>
      <w:r w:rsidRPr="00CF0BDA">
        <w:rPr>
          <w:color w:val="auto"/>
          <w:szCs w:val="24"/>
        </w:rPr>
        <w:t>13</w:t>
      </w:r>
      <w:r w:rsidR="00D52CF8" w:rsidRPr="00CF0BDA">
        <w:rPr>
          <w:color w:val="auto"/>
          <w:szCs w:val="24"/>
        </w:rPr>
        <w:t>–</w:t>
      </w:r>
      <w:r w:rsidRPr="00CF0BDA">
        <w:rPr>
          <w:color w:val="auto"/>
          <w:szCs w:val="24"/>
        </w:rPr>
        <w:t xml:space="preserve">2014 school year, </w:t>
      </w:r>
      <w:r w:rsidR="00E86DF2">
        <w:rPr>
          <w:color w:val="auto"/>
          <w:szCs w:val="24"/>
        </w:rPr>
        <w:t>c</w:t>
      </w:r>
      <w:r w:rsidRPr="00CF0BDA">
        <w:rPr>
          <w:color w:val="auto"/>
          <w:szCs w:val="24"/>
        </w:rPr>
        <w:t xml:space="preserve">umulative GPA up to </w:t>
      </w:r>
      <w:r w:rsidR="00CF0BDA" w:rsidRPr="00CF0BDA">
        <w:rPr>
          <w:color w:val="auto"/>
          <w:szCs w:val="24"/>
        </w:rPr>
        <w:t xml:space="preserve">first quarter </w:t>
      </w:r>
      <w:r w:rsidRPr="00CF0BDA">
        <w:rPr>
          <w:color w:val="auto"/>
          <w:szCs w:val="24"/>
        </w:rPr>
        <w:t xml:space="preserve">2014, and GPA specifically for </w:t>
      </w:r>
      <w:r w:rsidR="00CF0BDA" w:rsidRPr="00CF0BDA">
        <w:rPr>
          <w:color w:val="auto"/>
          <w:szCs w:val="24"/>
        </w:rPr>
        <w:t xml:space="preserve">first quarter </w:t>
      </w:r>
      <w:r w:rsidRPr="00CF0BDA">
        <w:rPr>
          <w:color w:val="auto"/>
          <w:szCs w:val="24"/>
        </w:rPr>
        <w:t>2014. Sixty-five</w:t>
      </w:r>
      <w:r w:rsidR="00927F19" w:rsidRPr="00CF0BDA">
        <w:rPr>
          <w:color w:val="auto"/>
          <w:szCs w:val="24"/>
        </w:rPr>
        <w:t xml:space="preserve"> </w:t>
      </w:r>
      <w:r w:rsidRPr="00CF0BDA">
        <w:rPr>
          <w:color w:val="auto"/>
          <w:szCs w:val="24"/>
        </w:rPr>
        <w:t>percent of students participating in the summer enhancement program improved their cumulative GPA from final school year GPA 2013</w:t>
      </w:r>
      <w:r w:rsidR="003A369D" w:rsidRPr="00CF0BDA">
        <w:rPr>
          <w:color w:val="auto"/>
          <w:szCs w:val="24"/>
        </w:rPr>
        <w:t>–</w:t>
      </w:r>
      <w:r w:rsidRPr="00CF0BDA">
        <w:rPr>
          <w:color w:val="auto"/>
          <w:szCs w:val="24"/>
        </w:rPr>
        <w:t>2014 through first quarter</w:t>
      </w:r>
      <w:r w:rsidRPr="00F97CC3">
        <w:rPr>
          <w:color w:val="auto"/>
          <w:szCs w:val="24"/>
        </w:rPr>
        <w:t xml:space="preserve"> cumulative GPA. Paired sample analysis showed that mean GPA in June 2014 rose from 1.80 to 1.84, representing significant change from end of scho</w:t>
      </w:r>
      <w:r w:rsidR="00C72BD4">
        <w:rPr>
          <w:color w:val="auto"/>
          <w:szCs w:val="24"/>
        </w:rPr>
        <w:t xml:space="preserve">ol year through first quarter, </w:t>
      </w:r>
      <w:r w:rsidRPr="003A369D">
        <w:rPr>
          <w:i/>
          <w:color w:val="auto"/>
          <w:szCs w:val="24"/>
        </w:rPr>
        <w:t>p</w:t>
      </w:r>
      <w:r w:rsidR="003A369D" w:rsidRPr="003A369D">
        <w:rPr>
          <w:i/>
          <w:color w:val="auto"/>
          <w:szCs w:val="24"/>
        </w:rPr>
        <w:t xml:space="preserve"> </w:t>
      </w:r>
      <w:r w:rsidRPr="00F97CC3">
        <w:rPr>
          <w:color w:val="auto"/>
          <w:szCs w:val="24"/>
        </w:rPr>
        <w:t>&lt;</w:t>
      </w:r>
      <w:r w:rsidR="003A369D">
        <w:rPr>
          <w:color w:val="auto"/>
          <w:szCs w:val="24"/>
        </w:rPr>
        <w:t xml:space="preserve"> </w:t>
      </w:r>
      <w:r w:rsidRPr="00F97CC3">
        <w:rPr>
          <w:color w:val="auto"/>
          <w:szCs w:val="24"/>
        </w:rPr>
        <w:t xml:space="preserve">.01. </w:t>
      </w:r>
      <w:r w:rsidRPr="00F97CC3">
        <w:rPr>
          <w:rFonts w:eastAsia="Calibri"/>
          <w:color w:val="auto"/>
          <w:szCs w:val="24"/>
        </w:rPr>
        <w:t>Comparison group analysis was not available. GPA in the range of 1.84 represents a C- in letter grade equivalents.</w:t>
      </w:r>
    </w:p>
    <w:p w:rsidR="00116D9C" w:rsidRPr="00F97CC3" w:rsidRDefault="00116D9C" w:rsidP="00116D9C">
      <w:pPr>
        <w:spacing w:line="240" w:lineRule="auto"/>
        <w:rPr>
          <w:color w:val="auto"/>
          <w:szCs w:val="24"/>
        </w:rPr>
      </w:pPr>
    </w:p>
    <w:p w:rsidR="00116D9C" w:rsidRPr="00F97CC3" w:rsidRDefault="00116D9C" w:rsidP="00116D9C">
      <w:pPr>
        <w:spacing w:line="240" w:lineRule="auto"/>
        <w:rPr>
          <w:rFonts w:eastAsia="Calibri"/>
          <w:b/>
          <w:color w:val="auto"/>
          <w:szCs w:val="24"/>
        </w:rPr>
      </w:pPr>
      <w:r w:rsidRPr="00F97CC3">
        <w:rPr>
          <w:rFonts w:eastAsia="Calibri"/>
          <w:b/>
          <w:color w:val="auto"/>
          <w:szCs w:val="24"/>
        </w:rPr>
        <w:t xml:space="preserve">Fitchburg </w:t>
      </w:r>
    </w:p>
    <w:p w:rsidR="00116D9C" w:rsidRPr="00F97CC3" w:rsidRDefault="00116D9C" w:rsidP="00116D9C">
      <w:pPr>
        <w:spacing w:line="240" w:lineRule="auto"/>
        <w:rPr>
          <w:rFonts w:eastAsia="Calibri"/>
          <w:color w:val="auto"/>
          <w:szCs w:val="24"/>
        </w:rPr>
      </w:pPr>
      <w:r w:rsidRPr="00F97CC3">
        <w:rPr>
          <w:rFonts w:eastAsia="Calibri"/>
          <w:color w:val="auto"/>
          <w:szCs w:val="24"/>
        </w:rPr>
        <w:t>Students across the Fitchburg district participa</w:t>
      </w:r>
      <w:r w:rsidR="003A369D">
        <w:rPr>
          <w:rFonts w:eastAsia="Calibri"/>
          <w:color w:val="auto"/>
          <w:szCs w:val="24"/>
        </w:rPr>
        <w:t>ted in the PARCC, MCAS, DIBELS/AIMSweb, GRADE/</w:t>
      </w:r>
      <w:r w:rsidR="003A369D" w:rsidRPr="00F97CC3">
        <w:rPr>
          <w:rFonts w:eastAsia="Calibri"/>
          <w:color w:val="auto"/>
          <w:szCs w:val="24"/>
        </w:rPr>
        <w:t>Galileo</w:t>
      </w:r>
      <w:r w:rsidRPr="00F97CC3">
        <w:rPr>
          <w:rFonts w:eastAsia="Calibri"/>
          <w:color w:val="auto"/>
          <w:szCs w:val="24"/>
        </w:rPr>
        <w:t xml:space="preserve"> Math, and Writing Performance Assessments during the </w:t>
      </w:r>
      <w:r w:rsidR="003A369D">
        <w:rPr>
          <w:rFonts w:eastAsia="Calibri"/>
          <w:color w:val="auto"/>
          <w:szCs w:val="24"/>
        </w:rPr>
        <w:t>s</w:t>
      </w:r>
      <w:r w:rsidRPr="00F97CC3">
        <w:rPr>
          <w:rFonts w:eastAsia="Calibri"/>
          <w:color w:val="auto"/>
          <w:szCs w:val="24"/>
        </w:rPr>
        <w:t>pring of 2014.</w:t>
      </w:r>
    </w:p>
    <w:p w:rsidR="00116D9C" w:rsidRPr="00F97CC3" w:rsidRDefault="00116D9C" w:rsidP="00116D9C">
      <w:pPr>
        <w:spacing w:line="240" w:lineRule="auto"/>
        <w:rPr>
          <w:rFonts w:eastAsia="Calibri"/>
          <w:color w:val="auto"/>
          <w:szCs w:val="24"/>
        </w:rPr>
      </w:pPr>
      <w:r w:rsidRPr="00F97CC3">
        <w:rPr>
          <w:rFonts w:eastAsia="Calibri"/>
          <w:color w:val="auto"/>
          <w:szCs w:val="24"/>
        </w:rPr>
        <w:t xml:space="preserve">Due to district Common Core alignment changes, some of the assessments were not repeated for the </w:t>
      </w:r>
      <w:r w:rsidR="003A369D">
        <w:rPr>
          <w:rFonts w:eastAsia="Calibri"/>
          <w:color w:val="auto"/>
          <w:szCs w:val="24"/>
        </w:rPr>
        <w:t>f</w:t>
      </w:r>
      <w:r w:rsidRPr="00F97CC3">
        <w:rPr>
          <w:rFonts w:eastAsia="Calibri"/>
          <w:color w:val="auto"/>
          <w:szCs w:val="24"/>
        </w:rPr>
        <w:t xml:space="preserve">all 2014. Available data </w:t>
      </w:r>
      <w:r w:rsidR="003A369D">
        <w:rPr>
          <w:rFonts w:eastAsia="Calibri"/>
          <w:color w:val="auto"/>
          <w:szCs w:val="24"/>
        </w:rPr>
        <w:t>were</w:t>
      </w:r>
      <w:r w:rsidRPr="00F97CC3">
        <w:rPr>
          <w:rFonts w:eastAsia="Calibri"/>
          <w:color w:val="auto"/>
          <w:szCs w:val="24"/>
        </w:rPr>
        <w:t xml:space="preserve"> collected from district </w:t>
      </w:r>
      <w:r w:rsidRPr="00F97CC3">
        <w:rPr>
          <w:color w:val="auto"/>
          <w:szCs w:val="24"/>
        </w:rPr>
        <w:t xml:space="preserve">Math and ELA </w:t>
      </w:r>
      <w:r w:rsidR="003A369D">
        <w:rPr>
          <w:color w:val="auto"/>
          <w:szCs w:val="24"/>
        </w:rPr>
        <w:t>c</w:t>
      </w:r>
      <w:r w:rsidRPr="00F97CC3">
        <w:rPr>
          <w:color w:val="auto"/>
          <w:szCs w:val="24"/>
        </w:rPr>
        <w:t>oaches to investigate summer learning loss. DIBELS</w:t>
      </w:r>
      <w:r w:rsidRPr="00F97CC3">
        <w:rPr>
          <w:color w:val="auto"/>
          <w:szCs w:val="24"/>
          <w:vertAlign w:val="superscript"/>
        </w:rPr>
        <w:footnoteReference w:id="2"/>
      </w:r>
      <w:r w:rsidR="003A369D">
        <w:rPr>
          <w:color w:val="auto"/>
          <w:szCs w:val="24"/>
        </w:rPr>
        <w:t>/</w:t>
      </w:r>
      <w:r w:rsidRPr="00F97CC3">
        <w:rPr>
          <w:color w:val="auto"/>
          <w:szCs w:val="24"/>
        </w:rPr>
        <w:t>AIMSweb</w:t>
      </w:r>
      <w:r w:rsidRPr="00F97CC3">
        <w:rPr>
          <w:color w:val="auto"/>
          <w:szCs w:val="24"/>
          <w:vertAlign w:val="superscript"/>
        </w:rPr>
        <w:footnoteReference w:id="3"/>
      </w:r>
      <w:r w:rsidRPr="00F97CC3">
        <w:rPr>
          <w:color w:val="auto"/>
          <w:szCs w:val="24"/>
        </w:rPr>
        <w:t xml:space="preserve"> scores were available for 22 of 84 summer participants across a mix of grade levels. For </w:t>
      </w:r>
      <w:r w:rsidRPr="00F97CC3">
        <w:rPr>
          <w:rFonts w:eastAsia="Calibri"/>
          <w:color w:val="auto"/>
          <w:szCs w:val="24"/>
        </w:rPr>
        <w:t xml:space="preserve">the 22 students </w:t>
      </w:r>
      <w:r w:rsidR="00927F19">
        <w:rPr>
          <w:rFonts w:eastAsia="Calibri"/>
          <w:color w:val="auto"/>
          <w:szCs w:val="24"/>
        </w:rPr>
        <w:t xml:space="preserve">with pre/post assessment data, </w:t>
      </w:r>
      <w:r w:rsidRPr="00F97CC3">
        <w:rPr>
          <w:rFonts w:eastAsia="Calibri"/>
          <w:color w:val="auto"/>
          <w:szCs w:val="24"/>
        </w:rPr>
        <w:t>ther</w:t>
      </w:r>
      <w:r w:rsidR="003A369D">
        <w:rPr>
          <w:rFonts w:eastAsia="Calibri"/>
          <w:color w:val="auto"/>
          <w:szCs w:val="24"/>
        </w:rPr>
        <w:t>e was a slight decline between spring and f</w:t>
      </w:r>
      <w:r w:rsidRPr="00F97CC3">
        <w:rPr>
          <w:rFonts w:eastAsia="Calibri"/>
          <w:color w:val="auto"/>
          <w:szCs w:val="24"/>
        </w:rPr>
        <w:t>all scores. Sample size was too small for significance testing.</w:t>
      </w:r>
    </w:p>
    <w:p w:rsidR="00116D9C" w:rsidRPr="00F97CC3" w:rsidRDefault="00116D9C" w:rsidP="00116D9C">
      <w:pPr>
        <w:spacing w:line="240" w:lineRule="auto"/>
        <w:rPr>
          <w:rFonts w:eastAsia="Calibri"/>
          <w:color w:val="auto"/>
          <w:szCs w:val="24"/>
        </w:rPr>
      </w:pPr>
    </w:p>
    <w:p w:rsidR="00116D9C" w:rsidRPr="00F97CC3" w:rsidRDefault="00116D9C" w:rsidP="00116D9C">
      <w:pPr>
        <w:spacing w:line="240" w:lineRule="auto"/>
        <w:rPr>
          <w:rFonts w:eastAsia="Calibri"/>
          <w:b/>
          <w:color w:val="auto"/>
          <w:szCs w:val="24"/>
        </w:rPr>
      </w:pPr>
      <w:r w:rsidRPr="00F97CC3">
        <w:rPr>
          <w:rFonts w:eastAsia="Calibri"/>
          <w:b/>
          <w:color w:val="auto"/>
          <w:szCs w:val="24"/>
        </w:rPr>
        <w:t>Lowell</w:t>
      </w:r>
    </w:p>
    <w:p w:rsidR="00157239" w:rsidRPr="00F97CC3" w:rsidRDefault="00116D9C" w:rsidP="00116D9C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color w:val="auto"/>
          <w:szCs w:val="24"/>
        </w:rPr>
      </w:pPr>
      <w:r w:rsidRPr="00F97CC3">
        <w:rPr>
          <w:rFonts w:eastAsia="Calibri"/>
          <w:color w:val="auto"/>
          <w:szCs w:val="24"/>
        </w:rPr>
        <w:t>The Fountas and Pinnell (F&amp;P), a benchmark assessment that can be used to identify a student's current reading level and progress along a gradient of text levels over time</w:t>
      </w:r>
      <w:r w:rsidR="00111624">
        <w:rPr>
          <w:rFonts w:eastAsia="Calibri"/>
          <w:color w:val="auto"/>
          <w:szCs w:val="24"/>
        </w:rPr>
        <w:t>,</w:t>
      </w:r>
      <w:r w:rsidRPr="00F97CC3">
        <w:rPr>
          <w:rFonts w:eastAsia="Calibri"/>
          <w:color w:val="auto"/>
          <w:szCs w:val="24"/>
        </w:rPr>
        <w:t xml:space="preserve"> was administered to students participating in the summer </w:t>
      </w:r>
      <w:r w:rsidR="005E3A8F">
        <w:rPr>
          <w:rFonts w:eastAsia="Calibri"/>
          <w:color w:val="auto"/>
          <w:szCs w:val="24"/>
        </w:rPr>
        <w:t xml:space="preserve">enhancement </w:t>
      </w:r>
      <w:r w:rsidRPr="00F97CC3">
        <w:rPr>
          <w:rFonts w:eastAsia="Calibri"/>
          <w:color w:val="auto"/>
          <w:szCs w:val="24"/>
        </w:rPr>
        <w:t>program at Shaughnessy Elementary School</w:t>
      </w:r>
      <w:r w:rsidR="001E5596">
        <w:rPr>
          <w:rFonts w:eastAsia="Calibri"/>
          <w:color w:val="auto"/>
          <w:szCs w:val="24"/>
        </w:rPr>
        <w:t xml:space="preserve">. </w:t>
      </w:r>
      <w:r w:rsidRPr="00F97CC3">
        <w:rPr>
          <w:rFonts w:eastAsia="Calibri"/>
          <w:color w:val="auto"/>
          <w:szCs w:val="24"/>
        </w:rPr>
        <w:t>The initial administration of the F&amp;P was in spring 2014</w:t>
      </w:r>
      <w:r w:rsidR="00111624">
        <w:rPr>
          <w:rFonts w:eastAsia="Calibri"/>
          <w:color w:val="auto"/>
          <w:szCs w:val="24"/>
        </w:rPr>
        <w:t>,</w:t>
      </w:r>
      <w:r w:rsidRPr="00F97CC3">
        <w:rPr>
          <w:rFonts w:eastAsia="Calibri"/>
          <w:color w:val="auto"/>
          <w:szCs w:val="24"/>
        </w:rPr>
        <w:t xml:space="preserve"> prior to the start of the summer program</w:t>
      </w:r>
      <w:r w:rsidR="001E5596">
        <w:rPr>
          <w:rFonts w:eastAsia="Calibri"/>
          <w:color w:val="auto"/>
          <w:szCs w:val="24"/>
        </w:rPr>
        <w:t xml:space="preserve">. </w:t>
      </w:r>
      <w:r w:rsidRPr="00F97CC3">
        <w:rPr>
          <w:rFonts w:eastAsia="Calibri"/>
          <w:color w:val="auto"/>
          <w:szCs w:val="24"/>
        </w:rPr>
        <w:t xml:space="preserve">The assessment was </w:t>
      </w:r>
      <w:r w:rsidRPr="00152E1D">
        <w:rPr>
          <w:rFonts w:eastAsia="Calibri"/>
          <w:color w:val="auto"/>
          <w:szCs w:val="24"/>
        </w:rPr>
        <w:t>re-administered</w:t>
      </w:r>
      <w:r w:rsidRPr="00F97CC3">
        <w:rPr>
          <w:rFonts w:eastAsia="Calibri"/>
          <w:color w:val="auto"/>
          <w:szCs w:val="24"/>
        </w:rPr>
        <w:t xml:space="preserve"> two weeks after school started in September 2014. Given that the assessment is administered on either side of the summer learning experience</w:t>
      </w:r>
      <w:r w:rsidR="00111624">
        <w:rPr>
          <w:rFonts w:eastAsia="Calibri"/>
          <w:color w:val="auto"/>
          <w:szCs w:val="24"/>
        </w:rPr>
        <w:t>,</w:t>
      </w:r>
      <w:r w:rsidRPr="00F97CC3">
        <w:rPr>
          <w:rFonts w:eastAsia="Calibri"/>
          <w:color w:val="auto"/>
          <w:szCs w:val="24"/>
        </w:rPr>
        <w:t xml:space="preserve"> there is an opportunity to compare growth between the summer </w:t>
      </w:r>
      <w:r w:rsidR="00E136FC">
        <w:rPr>
          <w:rFonts w:eastAsia="Calibri"/>
          <w:color w:val="auto"/>
          <w:szCs w:val="24"/>
        </w:rPr>
        <w:t>enhancement</w:t>
      </w:r>
      <w:r w:rsidR="00E136FC" w:rsidRPr="00F97CC3">
        <w:rPr>
          <w:rFonts w:eastAsia="Calibri"/>
          <w:color w:val="auto"/>
          <w:szCs w:val="24"/>
        </w:rPr>
        <w:t xml:space="preserve"> </w:t>
      </w:r>
      <w:r w:rsidRPr="00F97CC3">
        <w:rPr>
          <w:rFonts w:eastAsia="Calibri"/>
          <w:color w:val="auto"/>
          <w:szCs w:val="24"/>
        </w:rPr>
        <w:t xml:space="preserve">program participants and their peers, although participation of the peer group in summer learning or other type of experiences over the summer was unknown. Forty-seven percent of </w:t>
      </w:r>
      <w:r w:rsidR="00111624" w:rsidRPr="00111624">
        <w:rPr>
          <w:rFonts w:eastAsia="Calibri"/>
          <w:color w:val="auto"/>
          <w:szCs w:val="24"/>
        </w:rPr>
        <w:t>k</w:t>
      </w:r>
      <w:r w:rsidRPr="00111624">
        <w:rPr>
          <w:rFonts w:eastAsia="Calibri"/>
          <w:color w:val="auto"/>
          <w:szCs w:val="24"/>
        </w:rPr>
        <w:t>indergarteners</w:t>
      </w:r>
      <w:r w:rsidRPr="00F97CC3">
        <w:rPr>
          <w:rFonts w:eastAsia="Calibri"/>
          <w:color w:val="auto"/>
          <w:szCs w:val="24"/>
        </w:rPr>
        <w:t xml:space="preserve"> (2013</w:t>
      </w:r>
      <w:r w:rsidR="00111624">
        <w:rPr>
          <w:rFonts w:eastAsia="Calibri"/>
          <w:color w:val="auto"/>
          <w:szCs w:val="24"/>
        </w:rPr>
        <w:t>–</w:t>
      </w:r>
      <w:r w:rsidRPr="00F97CC3">
        <w:rPr>
          <w:rFonts w:eastAsia="Calibri"/>
          <w:color w:val="auto"/>
          <w:szCs w:val="24"/>
        </w:rPr>
        <w:t>2014 school year) participating in the summer enhancement program increased their scores from spring to fall compared to 59</w:t>
      </w:r>
      <w:r w:rsidR="00D52CF8">
        <w:rPr>
          <w:rFonts w:eastAsia="Calibri"/>
          <w:color w:val="auto"/>
          <w:szCs w:val="24"/>
        </w:rPr>
        <w:t xml:space="preserve"> percent</w:t>
      </w:r>
      <w:r w:rsidRPr="00F97CC3">
        <w:rPr>
          <w:rFonts w:eastAsia="Calibri"/>
          <w:color w:val="auto"/>
          <w:szCs w:val="24"/>
        </w:rPr>
        <w:t xml:space="preserve"> of their </w:t>
      </w:r>
      <w:r w:rsidR="00152E1D" w:rsidRPr="00152E1D">
        <w:rPr>
          <w:rFonts w:eastAsia="Calibri"/>
          <w:color w:val="auto"/>
          <w:szCs w:val="24"/>
        </w:rPr>
        <w:t>non</w:t>
      </w:r>
      <w:r w:rsidRPr="00152E1D">
        <w:rPr>
          <w:rFonts w:eastAsia="Calibri"/>
          <w:color w:val="auto"/>
          <w:szCs w:val="24"/>
        </w:rPr>
        <w:t>participating</w:t>
      </w:r>
      <w:r w:rsidRPr="00F97CC3">
        <w:rPr>
          <w:rFonts w:eastAsia="Calibri"/>
          <w:color w:val="auto"/>
          <w:szCs w:val="24"/>
        </w:rPr>
        <w:t xml:space="preserve"> peers. These </w:t>
      </w:r>
      <w:r w:rsidR="00111624">
        <w:rPr>
          <w:rFonts w:eastAsia="Calibri"/>
          <w:color w:val="auto"/>
          <w:szCs w:val="24"/>
        </w:rPr>
        <w:t>k</w:t>
      </w:r>
      <w:r w:rsidRPr="00F97CC3">
        <w:rPr>
          <w:rFonts w:eastAsia="Calibri"/>
          <w:color w:val="auto"/>
          <w:szCs w:val="24"/>
        </w:rPr>
        <w:t xml:space="preserve">indergarten students were noted by program leaders as the most academically </w:t>
      </w:r>
      <w:r w:rsidRPr="0037308A">
        <w:rPr>
          <w:rFonts w:eastAsia="Calibri"/>
          <w:color w:val="auto"/>
          <w:szCs w:val="24"/>
        </w:rPr>
        <w:t>at-risk</w:t>
      </w:r>
      <w:r w:rsidRPr="00F97CC3">
        <w:rPr>
          <w:rFonts w:eastAsia="Calibri"/>
          <w:color w:val="auto"/>
          <w:szCs w:val="24"/>
        </w:rPr>
        <w:t xml:space="preserve"> group enrolled for the summer. Rising second</w:t>
      </w:r>
      <w:r w:rsidR="00111624">
        <w:rPr>
          <w:rFonts w:eastAsia="Calibri"/>
          <w:color w:val="auto"/>
          <w:szCs w:val="24"/>
        </w:rPr>
        <w:t>-</w:t>
      </w:r>
      <w:r w:rsidRPr="00F97CC3">
        <w:rPr>
          <w:rFonts w:eastAsia="Calibri"/>
          <w:color w:val="auto"/>
          <w:szCs w:val="24"/>
        </w:rPr>
        <w:t>, third</w:t>
      </w:r>
      <w:r w:rsidR="00111624">
        <w:rPr>
          <w:rFonts w:eastAsia="Calibri"/>
          <w:color w:val="auto"/>
          <w:szCs w:val="24"/>
        </w:rPr>
        <w:t>-</w:t>
      </w:r>
      <w:r w:rsidRPr="00F97CC3">
        <w:rPr>
          <w:rFonts w:eastAsia="Calibri"/>
          <w:color w:val="auto"/>
          <w:szCs w:val="24"/>
        </w:rPr>
        <w:t>, and fourth</w:t>
      </w:r>
      <w:r w:rsidR="00111624">
        <w:rPr>
          <w:rFonts w:eastAsia="Calibri"/>
          <w:color w:val="auto"/>
          <w:szCs w:val="24"/>
        </w:rPr>
        <w:t>-</w:t>
      </w:r>
      <w:r w:rsidRPr="00F97CC3">
        <w:rPr>
          <w:rFonts w:eastAsia="Calibri"/>
          <w:color w:val="auto"/>
          <w:szCs w:val="24"/>
        </w:rPr>
        <w:t>grade</w:t>
      </w:r>
      <w:r w:rsidR="00111624">
        <w:rPr>
          <w:rFonts w:eastAsia="Calibri"/>
          <w:color w:val="auto"/>
          <w:szCs w:val="24"/>
        </w:rPr>
        <w:t xml:space="preserve"> </w:t>
      </w:r>
      <w:r w:rsidRPr="00F97CC3">
        <w:rPr>
          <w:rFonts w:eastAsia="Calibri"/>
          <w:color w:val="auto"/>
          <w:szCs w:val="24"/>
        </w:rPr>
        <w:t>s</w:t>
      </w:r>
      <w:r w:rsidR="00111624">
        <w:rPr>
          <w:rFonts w:eastAsia="Calibri"/>
          <w:color w:val="auto"/>
          <w:szCs w:val="24"/>
        </w:rPr>
        <w:t>tudents</w:t>
      </w:r>
      <w:r w:rsidRPr="00F97CC3">
        <w:rPr>
          <w:rFonts w:eastAsia="Calibri"/>
          <w:color w:val="auto"/>
          <w:szCs w:val="24"/>
        </w:rPr>
        <w:t xml:space="preserve"> participating in the summer enhancement program were more likely than their peers to show improved assessment scores in the fall. Sixty-nine percent of </w:t>
      </w:r>
      <w:r w:rsidR="00111624" w:rsidRPr="00FF29FA">
        <w:rPr>
          <w:rFonts w:eastAsia="Calibri"/>
          <w:color w:val="auto"/>
          <w:szCs w:val="24"/>
        </w:rPr>
        <w:t>first</w:t>
      </w:r>
      <w:r w:rsidRPr="00FF29FA">
        <w:rPr>
          <w:rFonts w:eastAsia="Calibri"/>
          <w:color w:val="auto"/>
          <w:szCs w:val="24"/>
        </w:rPr>
        <w:t xml:space="preserve"> graders</w:t>
      </w:r>
      <w:r w:rsidRPr="00F97CC3">
        <w:rPr>
          <w:rFonts w:eastAsia="Calibri"/>
          <w:color w:val="auto"/>
          <w:szCs w:val="24"/>
        </w:rPr>
        <w:t>, 74</w:t>
      </w:r>
      <w:r w:rsidR="00D52CF8">
        <w:rPr>
          <w:rFonts w:eastAsia="Calibri"/>
          <w:color w:val="auto"/>
          <w:szCs w:val="24"/>
        </w:rPr>
        <w:t xml:space="preserve"> percent</w:t>
      </w:r>
      <w:r w:rsidRPr="00F97CC3">
        <w:rPr>
          <w:rFonts w:eastAsia="Calibri"/>
          <w:color w:val="auto"/>
          <w:szCs w:val="24"/>
        </w:rPr>
        <w:t xml:space="preserve"> of </w:t>
      </w:r>
      <w:r w:rsidRPr="00FF29FA">
        <w:rPr>
          <w:rFonts w:eastAsia="Calibri"/>
          <w:color w:val="auto"/>
          <w:szCs w:val="24"/>
        </w:rPr>
        <w:t>second graders</w:t>
      </w:r>
      <w:r w:rsidRPr="00F97CC3">
        <w:rPr>
          <w:rFonts w:eastAsia="Calibri"/>
          <w:color w:val="auto"/>
          <w:szCs w:val="24"/>
        </w:rPr>
        <w:t>, and 86</w:t>
      </w:r>
      <w:r w:rsidR="00D52CF8">
        <w:rPr>
          <w:rFonts w:eastAsia="Calibri"/>
          <w:color w:val="auto"/>
          <w:szCs w:val="24"/>
        </w:rPr>
        <w:t xml:space="preserve"> percent</w:t>
      </w:r>
      <w:r w:rsidRPr="00F97CC3">
        <w:rPr>
          <w:rFonts w:eastAsia="Calibri"/>
          <w:color w:val="auto"/>
          <w:szCs w:val="24"/>
        </w:rPr>
        <w:t xml:space="preserve"> of </w:t>
      </w:r>
      <w:r w:rsidRPr="00FF29FA">
        <w:rPr>
          <w:rFonts w:eastAsia="Calibri"/>
          <w:color w:val="auto"/>
          <w:szCs w:val="24"/>
        </w:rPr>
        <w:t>third graders</w:t>
      </w:r>
      <w:r w:rsidRPr="00F97CC3">
        <w:rPr>
          <w:rFonts w:eastAsia="Calibri"/>
          <w:color w:val="auto"/>
          <w:szCs w:val="24"/>
        </w:rPr>
        <w:t xml:space="preserve"> improved their assessment scores compared to 57</w:t>
      </w:r>
      <w:r w:rsidR="00D52CF8">
        <w:rPr>
          <w:rFonts w:eastAsia="Calibri"/>
          <w:color w:val="auto"/>
          <w:szCs w:val="24"/>
        </w:rPr>
        <w:t xml:space="preserve"> percent</w:t>
      </w:r>
      <w:r w:rsidRPr="00F97CC3">
        <w:rPr>
          <w:rFonts w:eastAsia="Calibri"/>
          <w:color w:val="auto"/>
          <w:szCs w:val="24"/>
        </w:rPr>
        <w:t>, 42</w:t>
      </w:r>
      <w:r w:rsidR="00D52CF8">
        <w:rPr>
          <w:rFonts w:eastAsia="Calibri"/>
          <w:color w:val="auto"/>
          <w:szCs w:val="24"/>
        </w:rPr>
        <w:t xml:space="preserve"> percent</w:t>
      </w:r>
      <w:r w:rsidRPr="00F97CC3">
        <w:rPr>
          <w:rFonts w:eastAsia="Calibri"/>
          <w:color w:val="auto"/>
          <w:szCs w:val="24"/>
        </w:rPr>
        <w:t>, and 67</w:t>
      </w:r>
      <w:r w:rsidR="00D52CF8">
        <w:rPr>
          <w:rFonts w:eastAsia="Calibri"/>
          <w:color w:val="auto"/>
          <w:szCs w:val="24"/>
        </w:rPr>
        <w:t xml:space="preserve"> percent</w:t>
      </w:r>
      <w:r w:rsidRPr="00F97CC3">
        <w:rPr>
          <w:rFonts w:eastAsia="Calibri"/>
          <w:color w:val="auto"/>
          <w:szCs w:val="24"/>
        </w:rPr>
        <w:t xml:space="preserve"> </w:t>
      </w:r>
      <w:r w:rsidR="00E86DF2">
        <w:rPr>
          <w:rFonts w:eastAsia="Calibri"/>
          <w:color w:val="auto"/>
          <w:szCs w:val="24"/>
        </w:rPr>
        <w:t xml:space="preserve">of </w:t>
      </w:r>
      <w:r w:rsidR="00E86DF2">
        <w:rPr>
          <w:rFonts w:eastAsia="Calibri"/>
          <w:color w:val="auto"/>
          <w:szCs w:val="24"/>
        </w:rPr>
        <w:lastRenderedPageBreak/>
        <w:t xml:space="preserve">nonparticipating peers </w:t>
      </w:r>
      <w:r w:rsidRPr="00F97CC3">
        <w:rPr>
          <w:rFonts w:eastAsia="Calibri"/>
          <w:color w:val="auto"/>
          <w:szCs w:val="24"/>
        </w:rPr>
        <w:t xml:space="preserve">respectively. </w:t>
      </w:r>
    </w:p>
    <w:p w:rsidR="00116D9C" w:rsidRPr="00F97CC3" w:rsidRDefault="00116D9C" w:rsidP="00116D9C">
      <w:pPr>
        <w:spacing w:line="240" w:lineRule="auto"/>
        <w:rPr>
          <w:b/>
          <w:color w:val="auto"/>
          <w:szCs w:val="24"/>
        </w:rPr>
      </w:pPr>
    </w:p>
    <w:p w:rsidR="00116D9C" w:rsidRPr="00F97CC3" w:rsidRDefault="00116D9C" w:rsidP="00116D9C">
      <w:pPr>
        <w:spacing w:line="240" w:lineRule="auto"/>
        <w:rPr>
          <w:b/>
          <w:color w:val="auto"/>
          <w:szCs w:val="24"/>
        </w:rPr>
      </w:pPr>
      <w:r w:rsidRPr="00F97CC3">
        <w:rPr>
          <w:b/>
          <w:color w:val="auto"/>
          <w:szCs w:val="24"/>
        </w:rPr>
        <w:t>New Bedford</w:t>
      </w:r>
      <w:r w:rsidRPr="00F97CC3">
        <w:rPr>
          <w:color w:val="auto"/>
          <w:szCs w:val="24"/>
        </w:rPr>
        <w:t> </w:t>
      </w:r>
    </w:p>
    <w:p w:rsidR="00116D9C" w:rsidRPr="001C4909" w:rsidRDefault="00116D9C" w:rsidP="00116D9C">
      <w:pPr>
        <w:spacing w:line="240" w:lineRule="auto"/>
        <w:rPr>
          <w:color w:val="auto"/>
          <w:szCs w:val="24"/>
        </w:rPr>
      </w:pPr>
      <w:r w:rsidRPr="00F97CC3">
        <w:rPr>
          <w:color w:val="auto"/>
          <w:szCs w:val="24"/>
        </w:rPr>
        <w:t>The Galileo ELA and Math</w:t>
      </w:r>
      <w:r w:rsidR="00111624">
        <w:rPr>
          <w:color w:val="auto"/>
          <w:szCs w:val="24"/>
        </w:rPr>
        <w:t>ematics</w:t>
      </w:r>
      <w:r w:rsidRPr="00F97CC3">
        <w:rPr>
          <w:color w:val="auto"/>
          <w:szCs w:val="24"/>
        </w:rPr>
        <w:t xml:space="preserve"> </w:t>
      </w:r>
      <w:r w:rsidR="002E5370">
        <w:rPr>
          <w:color w:val="auto"/>
          <w:szCs w:val="24"/>
        </w:rPr>
        <w:t>assessments</w:t>
      </w:r>
      <w:r w:rsidRPr="00F97CC3">
        <w:rPr>
          <w:color w:val="auto"/>
          <w:szCs w:val="24"/>
        </w:rPr>
        <w:t xml:space="preserve"> were administered to all students at Lincoln Elementary School (K</w:t>
      </w:r>
      <w:r w:rsidR="007378E7">
        <w:rPr>
          <w:color w:val="auto"/>
          <w:szCs w:val="24"/>
        </w:rPr>
        <w:t>–</w:t>
      </w:r>
      <w:r w:rsidRPr="00F97CC3">
        <w:rPr>
          <w:color w:val="auto"/>
          <w:szCs w:val="24"/>
        </w:rPr>
        <w:t xml:space="preserve">5) in </w:t>
      </w:r>
      <w:r w:rsidR="00111624">
        <w:rPr>
          <w:color w:val="auto"/>
          <w:szCs w:val="24"/>
        </w:rPr>
        <w:t>spring 2014 as the end-of-</w:t>
      </w:r>
      <w:r w:rsidRPr="00F97CC3">
        <w:rPr>
          <w:color w:val="auto"/>
          <w:szCs w:val="24"/>
        </w:rPr>
        <w:t xml:space="preserve">year benchmark, and then again in the </w:t>
      </w:r>
      <w:r w:rsidR="00111624">
        <w:rPr>
          <w:color w:val="auto"/>
          <w:szCs w:val="24"/>
        </w:rPr>
        <w:t>f</w:t>
      </w:r>
      <w:r w:rsidR="00111624" w:rsidRPr="00F97CC3">
        <w:rPr>
          <w:color w:val="auto"/>
          <w:szCs w:val="24"/>
        </w:rPr>
        <w:t xml:space="preserve">all </w:t>
      </w:r>
      <w:r w:rsidR="00111624">
        <w:rPr>
          <w:color w:val="auto"/>
          <w:szCs w:val="24"/>
        </w:rPr>
        <w:t>of 2014 as the beginning-of-</w:t>
      </w:r>
      <w:r w:rsidRPr="00F97CC3">
        <w:rPr>
          <w:color w:val="auto"/>
          <w:szCs w:val="24"/>
        </w:rPr>
        <w:t>year benchmark assessment</w:t>
      </w:r>
      <w:r w:rsidR="001E5596">
        <w:rPr>
          <w:color w:val="auto"/>
          <w:szCs w:val="24"/>
        </w:rPr>
        <w:t xml:space="preserve">. </w:t>
      </w:r>
      <w:r w:rsidRPr="00F97CC3">
        <w:rPr>
          <w:color w:val="auto"/>
          <w:szCs w:val="24"/>
        </w:rPr>
        <w:t>On average, the ELA spring benchmark score across all grades was 68.3</w:t>
      </w:r>
      <w:r w:rsidR="001E5596">
        <w:rPr>
          <w:color w:val="auto"/>
          <w:szCs w:val="24"/>
        </w:rPr>
        <w:t xml:space="preserve">. </w:t>
      </w:r>
      <w:r w:rsidRPr="00F97CC3">
        <w:rPr>
          <w:color w:val="auto"/>
          <w:szCs w:val="24"/>
        </w:rPr>
        <w:t>The ELA fall benchmark score was 64.3</w:t>
      </w:r>
      <w:r w:rsidR="00111624">
        <w:rPr>
          <w:color w:val="auto"/>
          <w:szCs w:val="24"/>
        </w:rPr>
        <w:t>,</w:t>
      </w:r>
      <w:r w:rsidRPr="00F97CC3">
        <w:rPr>
          <w:color w:val="auto"/>
          <w:szCs w:val="24"/>
        </w:rPr>
        <w:t xml:space="preserve"> for an average loss of 4 points</w:t>
      </w:r>
      <w:r w:rsidR="001E5596">
        <w:rPr>
          <w:color w:val="auto"/>
          <w:szCs w:val="24"/>
        </w:rPr>
        <w:t xml:space="preserve">. </w:t>
      </w:r>
      <w:r w:rsidRPr="00F97CC3">
        <w:rPr>
          <w:color w:val="auto"/>
          <w:szCs w:val="24"/>
        </w:rPr>
        <w:t xml:space="preserve">On average, the </w:t>
      </w:r>
      <w:r w:rsidR="00111624" w:rsidRPr="00F97CC3">
        <w:rPr>
          <w:color w:val="auto"/>
          <w:szCs w:val="24"/>
        </w:rPr>
        <w:t>Math</w:t>
      </w:r>
      <w:r w:rsidR="00111624">
        <w:rPr>
          <w:color w:val="auto"/>
          <w:szCs w:val="24"/>
        </w:rPr>
        <w:t>ematics</w:t>
      </w:r>
      <w:r w:rsidR="00111624" w:rsidRPr="00F97CC3">
        <w:rPr>
          <w:color w:val="auto"/>
          <w:szCs w:val="24"/>
        </w:rPr>
        <w:t xml:space="preserve"> </w:t>
      </w:r>
      <w:r w:rsidRPr="00F97CC3">
        <w:rPr>
          <w:color w:val="auto"/>
          <w:szCs w:val="24"/>
        </w:rPr>
        <w:t>spring benchmark score was 76.4</w:t>
      </w:r>
      <w:r w:rsidR="001E5596">
        <w:rPr>
          <w:color w:val="auto"/>
          <w:szCs w:val="24"/>
        </w:rPr>
        <w:t xml:space="preserve">. </w:t>
      </w:r>
      <w:r w:rsidRPr="00F97CC3">
        <w:rPr>
          <w:color w:val="auto"/>
          <w:szCs w:val="24"/>
        </w:rPr>
        <w:t>The Math</w:t>
      </w:r>
      <w:r w:rsidR="00111624">
        <w:rPr>
          <w:color w:val="auto"/>
          <w:szCs w:val="24"/>
        </w:rPr>
        <w:t>ematics</w:t>
      </w:r>
      <w:r w:rsidRPr="00F97CC3">
        <w:rPr>
          <w:color w:val="auto"/>
          <w:szCs w:val="24"/>
        </w:rPr>
        <w:t xml:space="preserve"> fall benchmark score was 59.6</w:t>
      </w:r>
      <w:r w:rsidR="00111624">
        <w:rPr>
          <w:color w:val="auto"/>
          <w:szCs w:val="24"/>
        </w:rPr>
        <w:t>,</w:t>
      </w:r>
      <w:r w:rsidRPr="00F97CC3">
        <w:rPr>
          <w:color w:val="auto"/>
          <w:szCs w:val="24"/>
        </w:rPr>
        <w:t xml:space="preserve"> for an average loss of 16.8 points. Data were collected for </w:t>
      </w:r>
      <w:r w:rsidR="00111624">
        <w:rPr>
          <w:color w:val="auto"/>
          <w:szCs w:val="24"/>
        </w:rPr>
        <w:t>61</w:t>
      </w:r>
      <w:r w:rsidRPr="00F97CC3">
        <w:rPr>
          <w:color w:val="auto"/>
          <w:szCs w:val="24"/>
        </w:rPr>
        <w:t xml:space="preserve"> students in grades 2</w:t>
      </w:r>
      <w:r w:rsidR="00111624">
        <w:rPr>
          <w:color w:val="auto"/>
          <w:szCs w:val="24"/>
        </w:rPr>
        <w:t>–</w:t>
      </w:r>
      <w:r w:rsidRPr="00F97CC3">
        <w:rPr>
          <w:color w:val="auto"/>
          <w:szCs w:val="24"/>
        </w:rPr>
        <w:t>5 enrolled in the summer enhancement program. For these students, the average ELA loss was 1.1 points while the average Math</w:t>
      </w:r>
      <w:r w:rsidR="00111624">
        <w:rPr>
          <w:color w:val="auto"/>
          <w:szCs w:val="24"/>
        </w:rPr>
        <w:t>ematics</w:t>
      </w:r>
      <w:r w:rsidRPr="00F97CC3">
        <w:rPr>
          <w:color w:val="auto"/>
          <w:szCs w:val="24"/>
        </w:rPr>
        <w:t xml:space="preserve"> loss was 8.7 points</w:t>
      </w:r>
      <w:r w:rsidR="001E5596">
        <w:rPr>
          <w:color w:val="auto"/>
          <w:szCs w:val="24"/>
        </w:rPr>
        <w:t xml:space="preserve">. </w:t>
      </w:r>
    </w:p>
    <w:p w:rsidR="00116D9C" w:rsidRPr="00F97CC3" w:rsidRDefault="00116D9C" w:rsidP="00116D9C">
      <w:pPr>
        <w:spacing w:line="240" w:lineRule="auto"/>
        <w:rPr>
          <w:b/>
          <w:color w:val="auto"/>
          <w:szCs w:val="24"/>
        </w:rPr>
      </w:pPr>
    </w:p>
    <w:p w:rsidR="00116D9C" w:rsidRPr="00F97CC3" w:rsidRDefault="00116D9C" w:rsidP="00116D9C">
      <w:pPr>
        <w:spacing w:line="240" w:lineRule="auto"/>
        <w:rPr>
          <w:b/>
          <w:color w:val="auto"/>
          <w:szCs w:val="24"/>
        </w:rPr>
      </w:pPr>
      <w:r w:rsidRPr="00F97CC3">
        <w:rPr>
          <w:b/>
          <w:color w:val="auto"/>
          <w:szCs w:val="24"/>
        </w:rPr>
        <w:t xml:space="preserve">Triton/Salisbury </w:t>
      </w:r>
    </w:p>
    <w:p w:rsidR="00116D9C" w:rsidRPr="00F97CC3" w:rsidRDefault="00116D9C" w:rsidP="00116D9C">
      <w:pPr>
        <w:spacing w:line="240" w:lineRule="auto"/>
        <w:rPr>
          <w:color w:val="auto"/>
          <w:szCs w:val="24"/>
        </w:rPr>
      </w:pPr>
      <w:r w:rsidRPr="00F97CC3">
        <w:rPr>
          <w:color w:val="auto"/>
          <w:szCs w:val="24"/>
        </w:rPr>
        <w:t xml:space="preserve">Data </w:t>
      </w:r>
      <w:r w:rsidR="00111624">
        <w:rPr>
          <w:color w:val="auto"/>
          <w:szCs w:val="24"/>
        </w:rPr>
        <w:t>were</w:t>
      </w:r>
      <w:r w:rsidR="00111624" w:rsidRPr="00F97CC3">
        <w:rPr>
          <w:color w:val="auto"/>
          <w:szCs w:val="24"/>
        </w:rPr>
        <w:t xml:space="preserve"> </w:t>
      </w:r>
      <w:r w:rsidRPr="00F97CC3">
        <w:rPr>
          <w:color w:val="auto"/>
          <w:szCs w:val="24"/>
        </w:rPr>
        <w:t xml:space="preserve">collected for 149 children attending the summer </w:t>
      </w:r>
      <w:r w:rsidR="00E136FC">
        <w:rPr>
          <w:color w:val="auto"/>
          <w:szCs w:val="24"/>
        </w:rPr>
        <w:t xml:space="preserve">enhancement </w:t>
      </w:r>
      <w:r w:rsidRPr="00F97CC3">
        <w:rPr>
          <w:color w:val="auto"/>
          <w:szCs w:val="24"/>
        </w:rPr>
        <w:t>program at Salisbury Eleme</w:t>
      </w:r>
      <w:r w:rsidR="00C1319A">
        <w:rPr>
          <w:color w:val="auto"/>
          <w:szCs w:val="24"/>
        </w:rPr>
        <w:t>ntary School</w:t>
      </w:r>
      <w:r w:rsidR="00111624">
        <w:rPr>
          <w:color w:val="auto"/>
          <w:szCs w:val="24"/>
        </w:rPr>
        <w:t>,</w:t>
      </w:r>
      <w:r w:rsidR="00C1319A">
        <w:rPr>
          <w:color w:val="auto"/>
          <w:szCs w:val="24"/>
        </w:rPr>
        <w:t xml:space="preserve"> including </w:t>
      </w:r>
      <w:r w:rsidRPr="00F97CC3">
        <w:rPr>
          <w:color w:val="auto"/>
          <w:szCs w:val="24"/>
        </w:rPr>
        <w:t xml:space="preserve">DIBELS and Grade Level assessments administered in </w:t>
      </w:r>
      <w:r w:rsidR="00111624">
        <w:rPr>
          <w:color w:val="auto"/>
          <w:szCs w:val="24"/>
        </w:rPr>
        <w:t>f</w:t>
      </w:r>
      <w:r w:rsidR="00111624" w:rsidRPr="00F97CC3">
        <w:rPr>
          <w:color w:val="auto"/>
          <w:szCs w:val="24"/>
        </w:rPr>
        <w:t>all</w:t>
      </w:r>
      <w:r w:rsidR="00111624">
        <w:rPr>
          <w:color w:val="auto"/>
          <w:szCs w:val="24"/>
        </w:rPr>
        <w:t xml:space="preserve"> </w:t>
      </w:r>
      <w:r w:rsidRPr="00F97CC3">
        <w:rPr>
          <w:color w:val="auto"/>
          <w:szCs w:val="24"/>
        </w:rPr>
        <w:t xml:space="preserve">2014 and </w:t>
      </w:r>
      <w:r w:rsidR="00111624">
        <w:rPr>
          <w:color w:val="auto"/>
          <w:szCs w:val="24"/>
        </w:rPr>
        <w:t>s</w:t>
      </w:r>
      <w:r w:rsidR="00111624" w:rsidRPr="00F97CC3">
        <w:rPr>
          <w:color w:val="auto"/>
          <w:szCs w:val="24"/>
        </w:rPr>
        <w:t xml:space="preserve">pring </w:t>
      </w:r>
      <w:r w:rsidRPr="00F97CC3">
        <w:rPr>
          <w:color w:val="auto"/>
          <w:szCs w:val="24"/>
        </w:rPr>
        <w:t>2014. Review of pre/post assessments showed mixed results</w:t>
      </w:r>
      <w:r w:rsidR="00111624">
        <w:rPr>
          <w:color w:val="auto"/>
          <w:szCs w:val="24"/>
        </w:rPr>
        <w:t>,</w:t>
      </w:r>
      <w:r w:rsidRPr="00F97CC3">
        <w:rPr>
          <w:color w:val="auto"/>
          <w:szCs w:val="24"/>
        </w:rPr>
        <w:t xml:space="preserve"> with children in </w:t>
      </w:r>
      <w:r w:rsidR="00111624">
        <w:rPr>
          <w:color w:val="auto"/>
          <w:szCs w:val="24"/>
        </w:rPr>
        <w:t>kindergarten</w:t>
      </w:r>
      <w:r w:rsidRPr="00F97CC3">
        <w:rPr>
          <w:color w:val="auto"/>
          <w:szCs w:val="24"/>
        </w:rPr>
        <w:t xml:space="preserve">, </w:t>
      </w:r>
      <w:r w:rsidR="00111624">
        <w:rPr>
          <w:color w:val="auto"/>
          <w:szCs w:val="24"/>
        </w:rPr>
        <w:t>g</w:t>
      </w:r>
      <w:r w:rsidRPr="00F97CC3">
        <w:rPr>
          <w:color w:val="auto"/>
          <w:szCs w:val="24"/>
        </w:rPr>
        <w:t xml:space="preserve">rade 2, and </w:t>
      </w:r>
      <w:r w:rsidR="00111624">
        <w:rPr>
          <w:color w:val="auto"/>
          <w:szCs w:val="24"/>
        </w:rPr>
        <w:t>g</w:t>
      </w:r>
      <w:r w:rsidRPr="00F97CC3">
        <w:rPr>
          <w:color w:val="auto"/>
          <w:szCs w:val="24"/>
        </w:rPr>
        <w:t xml:space="preserve">rade 3 showing negative change from spring to fall, while children in </w:t>
      </w:r>
      <w:r w:rsidR="00111624">
        <w:rPr>
          <w:color w:val="auto"/>
          <w:szCs w:val="24"/>
        </w:rPr>
        <w:t>g</w:t>
      </w:r>
      <w:r w:rsidRPr="00F97CC3">
        <w:rPr>
          <w:color w:val="auto"/>
          <w:szCs w:val="24"/>
        </w:rPr>
        <w:t>rade 1 showed positive change. DIBELS asse</w:t>
      </w:r>
      <w:r w:rsidR="00111624">
        <w:rPr>
          <w:color w:val="auto"/>
          <w:szCs w:val="24"/>
        </w:rPr>
        <w:t xml:space="preserve">ssment categories utilized </w:t>
      </w:r>
      <w:r w:rsidR="00111624" w:rsidRPr="0037308A">
        <w:rPr>
          <w:color w:val="auto"/>
          <w:szCs w:val="24"/>
        </w:rPr>
        <w:t>were</w:t>
      </w:r>
      <w:r w:rsidRPr="0037308A">
        <w:rPr>
          <w:color w:val="auto"/>
          <w:szCs w:val="24"/>
        </w:rPr>
        <w:t xml:space="preserve"> (</w:t>
      </w:r>
      <w:r w:rsidRPr="00F97CC3">
        <w:rPr>
          <w:color w:val="auto"/>
          <w:szCs w:val="24"/>
        </w:rPr>
        <w:t xml:space="preserve">a) Intensive Need for Support, (b) Strategic Need for Support, and (c) Core Instruction. Kindergarten and </w:t>
      </w:r>
      <w:r w:rsidR="00111624" w:rsidRPr="0086083F">
        <w:rPr>
          <w:color w:val="auto"/>
          <w:szCs w:val="24"/>
        </w:rPr>
        <w:t>First</w:t>
      </w:r>
      <w:r w:rsidRPr="0086083F">
        <w:rPr>
          <w:color w:val="auto"/>
          <w:szCs w:val="24"/>
        </w:rPr>
        <w:t xml:space="preserve"> Grade DIBELS</w:t>
      </w:r>
      <w:r w:rsidRPr="00F97CC3">
        <w:rPr>
          <w:color w:val="auto"/>
          <w:szCs w:val="24"/>
        </w:rPr>
        <w:t xml:space="preserve"> focused on DIBELS composite score. Second Grade DIBELS focused on Oral Reading Fluency/Words Correct Score since a composite score is not offered</w:t>
      </w:r>
      <w:r w:rsidR="001E5596">
        <w:rPr>
          <w:color w:val="auto"/>
          <w:szCs w:val="24"/>
        </w:rPr>
        <w:t xml:space="preserve">. </w:t>
      </w:r>
      <w:r w:rsidRPr="00F97CC3">
        <w:rPr>
          <w:color w:val="auto"/>
          <w:szCs w:val="24"/>
        </w:rPr>
        <w:t>Third</w:t>
      </w:r>
      <w:r w:rsidR="00111624">
        <w:rPr>
          <w:color w:val="auto"/>
          <w:szCs w:val="24"/>
        </w:rPr>
        <w:t>-g</w:t>
      </w:r>
      <w:r w:rsidR="0050795C">
        <w:rPr>
          <w:color w:val="auto"/>
          <w:szCs w:val="24"/>
        </w:rPr>
        <w:t>rade</w:t>
      </w:r>
      <w:r w:rsidR="00111624">
        <w:rPr>
          <w:color w:val="auto"/>
          <w:szCs w:val="24"/>
        </w:rPr>
        <w:t xml:space="preserve"> </w:t>
      </w:r>
      <w:r w:rsidRPr="00F97CC3">
        <w:rPr>
          <w:color w:val="auto"/>
          <w:szCs w:val="24"/>
        </w:rPr>
        <w:t>s</w:t>
      </w:r>
      <w:r w:rsidR="00111624">
        <w:rPr>
          <w:color w:val="auto"/>
          <w:szCs w:val="24"/>
        </w:rPr>
        <w:t>tudents</w:t>
      </w:r>
      <w:r w:rsidRPr="00F97CC3">
        <w:rPr>
          <w:color w:val="auto"/>
          <w:szCs w:val="24"/>
        </w:rPr>
        <w:t xml:space="preserve"> were assessed using scores for the GRADE (Group Reading Assessment and Diagnostic Evaluation). Stanine descriptors utilized </w:t>
      </w:r>
      <w:r w:rsidR="0037308A" w:rsidRPr="0037308A">
        <w:rPr>
          <w:color w:val="auto"/>
          <w:szCs w:val="24"/>
        </w:rPr>
        <w:t>were</w:t>
      </w:r>
      <w:r w:rsidRPr="00F97CC3">
        <w:rPr>
          <w:color w:val="auto"/>
          <w:szCs w:val="24"/>
        </w:rPr>
        <w:t xml:space="preserve"> (a) Intensive Need for Support (Stanine 1</w:t>
      </w:r>
      <w:r w:rsidR="00111624">
        <w:rPr>
          <w:color w:val="auto"/>
          <w:szCs w:val="24"/>
        </w:rPr>
        <w:t>–</w:t>
      </w:r>
      <w:r w:rsidRPr="00F97CC3">
        <w:rPr>
          <w:color w:val="auto"/>
          <w:szCs w:val="24"/>
        </w:rPr>
        <w:t xml:space="preserve">3), </w:t>
      </w:r>
      <w:r w:rsidR="0086083F">
        <w:rPr>
          <w:color w:val="auto"/>
          <w:szCs w:val="24"/>
        </w:rPr>
        <w:t xml:space="preserve">(b) </w:t>
      </w:r>
      <w:r w:rsidRPr="00F97CC3">
        <w:rPr>
          <w:color w:val="auto"/>
          <w:szCs w:val="24"/>
        </w:rPr>
        <w:t xml:space="preserve">Strategic Need for Support (Stanine 4), and </w:t>
      </w:r>
      <w:r w:rsidR="0086083F">
        <w:rPr>
          <w:color w:val="auto"/>
          <w:szCs w:val="24"/>
        </w:rPr>
        <w:t xml:space="preserve">(c) </w:t>
      </w:r>
      <w:r w:rsidRPr="00F97CC3">
        <w:rPr>
          <w:color w:val="auto"/>
          <w:szCs w:val="24"/>
        </w:rPr>
        <w:t xml:space="preserve">Core Instruction (Stanine 5 and above). </w:t>
      </w:r>
    </w:p>
    <w:p w:rsidR="00116D9C" w:rsidRPr="00F97CC3" w:rsidRDefault="00116D9C" w:rsidP="00116D9C">
      <w:pPr>
        <w:spacing w:line="240" w:lineRule="auto"/>
        <w:rPr>
          <w:color w:val="auto"/>
          <w:szCs w:val="24"/>
        </w:rPr>
      </w:pPr>
      <w:r w:rsidRPr="00F97CC3">
        <w:rPr>
          <w:color w:val="auto"/>
          <w:szCs w:val="24"/>
        </w:rPr>
        <w:t> </w:t>
      </w:r>
    </w:p>
    <w:p w:rsidR="00116D9C" w:rsidRPr="00F97CC3" w:rsidRDefault="00116D9C" w:rsidP="00116D9C">
      <w:pPr>
        <w:spacing w:line="240" w:lineRule="auto"/>
        <w:rPr>
          <w:color w:val="auto"/>
          <w:szCs w:val="24"/>
        </w:rPr>
      </w:pPr>
      <w:r w:rsidRPr="00F97CC3">
        <w:rPr>
          <w:color w:val="auto"/>
          <w:szCs w:val="24"/>
        </w:rPr>
        <w:t>At pre-assessment in the spring, 18</w:t>
      </w:r>
      <w:r w:rsidR="00D52CF8">
        <w:rPr>
          <w:color w:val="auto"/>
          <w:szCs w:val="24"/>
        </w:rPr>
        <w:t xml:space="preserve"> percent</w:t>
      </w:r>
      <w:r w:rsidRPr="00F97CC3">
        <w:rPr>
          <w:color w:val="auto"/>
          <w:szCs w:val="24"/>
        </w:rPr>
        <w:t xml:space="preserve"> of the </w:t>
      </w:r>
      <w:r w:rsidR="00111624">
        <w:rPr>
          <w:color w:val="auto"/>
          <w:szCs w:val="24"/>
        </w:rPr>
        <w:t>kindergarten</w:t>
      </w:r>
      <w:r w:rsidRPr="00F97CC3">
        <w:rPr>
          <w:color w:val="auto"/>
          <w:szCs w:val="24"/>
        </w:rPr>
        <w:t xml:space="preserve"> sample tested into the Intensive Support category</w:t>
      </w:r>
      <w:r w:rsidR="00E86DF2">
        <w:rPr>
          <w:color w:val="auto"/>
          <w:szCs w:val="24"/>
        </w:rPr>
        <w:t>,</w:t>
      </w:r>
      <w:r w:rsidRPr="00F97CC3">
        <w:rPr>
          <w:color w:val="auto"/>
          <w:szCs w:val="24"/>
        </w:rPr>
        <w:t xml:space="preserve"> while 36</w:t>
      </w:r>
      <w:r w:rsidR="00D52CF8">
        <w:rPr>
          <w:color w:val="auto"/>
          <w:szCs w:val="24"/>
        </w:rPr>
        <w:t xml:space="preserve"> percent</w:t>
      </w:r>
      <w:r w:rsidRPr="00F97CC3">
        <w:rPr>
          <w:color w:val="auto"/>
          <w:szCs w:val="24"/>
        </w:rPr>
        <w:t xml:space="preserve"> tested into the Intensive category in the fall. The percent of children testing into the Strategic Support category rose from 12</w:t>
      </w:r>
      <w:r w:rsidR="00D52CF8">
        <w:rPr>
          <w:color w:val="auto"/>
          <w:szCs w:val="24"/>
        </w:rPr>
        <w:t xml:space="preserve"> percent</w:t>
      </w:r>
      <w:r w:rsidRPr="00F97CC3">
        <w:rPr>
          <w:color w:val="auto"/>
          <w:szCs w:val="24"/>
        </w:rPr>
        <w:t xml:space="preserve"> to 21</w:t>
      </w:r>
      <w:r w:rsidR="00D52CF8">
        <w:rPr>
          <w:color w:val="auto"/>
          <w:szCs w:val="24"/>
        </w:rPr>
        <w:t xml:space="preserve"> percent</w:t>
      </w:r>
      <w:r w:rsidRPr="00F97CC3">
        <w:rPr>
          <w:color w:val="auto"/>
          <w:szCs w:val="24"/>
        </w:rPr>
        <w:t xml:space="preserve"> from spring to fall. The percent </w:t>
      </w:r>
      <w:r w:rsidRPr="00152E1D">
        <w:rPr>
          <w:color w:val="auto"/>
          <w:szCs w:val="24"/>
        </w:rPr>
        <w:t>of first graders testing into Intensive Support dropped by 5</w:t>
      </w:r>
      <w:r w:rsidR="00D52CF8" w:rsidRPr="00152E1D">
        <w:rPr>
          <w:color w:val="auto"/>
          <w:szCs w:val="24"/>
        </w:rPr>
        <w:t xml:space="preserve"> percent</w:t>
      </w:r>
      <w:r w:rsidRPr="00152E1D">
        <w:rPr>
          <w:color w:val="auto"/>
          <w:szCs w:val="24"/>
        </w:rPr>
        <w:t xml:space="preserve"> from spring (19</w:t>
      </w:r>
      <w:r w:rsidR="00D52CF8" w:rsidRPr="00152E1D">
        <w:rPr>
          <w:color w:val="auto"/>
          <w:szCs w:val="24"/>
        </w:rPr>
        <w:t xml:space="preserve"> percent</w:t>
      </w:r>
      <w:r w:rsidRPr="00152E1D">
        <w:rPr>
          <w:color w:val="auto"/>
          <w:szCs w:val="24"/>
        </w:rPr>
        <w:t>) to fall (14</w:t>
      </w:r>
      <w:r w:rsidR="00D52CF8" w:rsidRPr="00152E1D">
        <w:rPr>
          <w:color w:val="auto"/>
          <w:szCs w:val="24"/>
        </w:rPr>
        <w:t xml:space="preserve"> percent</w:t>
      </w:r>
      <w:r w:rsidRPr="00152E1D">
        <w:rPr>
          <w:color w:val="auto"/>
          <w:szCs w:val="24"/>
        </w:rPr>
        <w:t>). Percent of children in Core Support remained the same. Second graders testing into Intensive Support rose from 27</w:t>
      </w:r>
      <w:r w:rsidR="00D52CF8" w:rsidRPr="00152E1D">
        <w:rPr>
          <w:color w:val="auto"/>
          <w:szCs w:val="24"/>
        </w:rPr>
        <w:t xml:space="preserve"> percent</w:t>
      </w:r>
      <w:r w:rsidRPr="00152E1D">
        <w:rPr>
          <w:color w:val="auto"/>
          <w:szCs w:val="24"/>
        </w:rPr>
        <w:t xml:space="preserve"> in the spring to 39</w:t>
      </w:r>
      <w:r w:rsidR="00D52CF8" w:rsidRPr="00152E1D">
        <w:rPr>
          <w:color w:val="auto"/>
          <w:szCs w:val="24"/>
        </w:rPr>
        <w:t xml:space="preserve"> percent</w:t>
      </w:r>
      <w:r w:rsidRPr="00152E1D">
        <w:rPr>
          <w:color w:val="auto"/>
          <w:szCs w:val="24"/>
        </w:rPr>
        <w:t xml:space="preserve"> in the fall. Fifteen percent of the third graders</w:t>
      </w:r>
      <w:r w:rsidRPr="00F97CC3">
        <w:rPr>
          <w:color w:val="auto"/>
          <w:szCs w:val="24"/>
        </w:rPr>
        <w:t xml:space="preserve"> tested </w:t>
      </w:r>
      <w:r w:rsidRPr="0086083F">
        <w:rPr>
          <w:color w:val="auto"/>
          <w:szCs w:val="24"/>
        </w:rPr>
        <w:t>into Stanine 1</w:t>
      </w:r>
      <w:r w:rsidR="00111624" w:rsidRPr="0086083F">
        <w:rPr>
          <w:color w:val="auto"/>
          <w:szCs w:val="24"/>
        </w:rPr>
        <w:t>–</w:t>
      </w:r>
      <w:r w:rsidRPr="0086083F">
        <w:rPr>
          <w:color w:val="auto"/>
          <w:szCs w:val="24"/>
        </w:rPr>
        <w:t>3</w:t>
      </w:r>
      <w:r w:rsidRPr="00F97CC3">
        <w:rPr>
          <w:color w:val="auto"/>
          <w:szCs w:val="24"/>
        </w:rPr>
        <w:t xml:space="preserve"> on the spring assessment, and this rose to 20 percent of </w:t>
      </w:r>
      <w:r w:rsidRPr="00152E1D">
        <w:rPr>
          <w:color w:val="auto"/>
          <w:szCs w:val="24"/>
        </w:rPr>
        <w:t>third graders</w:t>
      </w:r>
      <w:r w:rsidRPr="00F97CC3">
        <w:rPr>
          <w:color w:val="auto"/>
          <w:szCs w:val="24"/>
        </w:rPr>
        <w:t xml:space="preserve"> in the fall.</w:t>
      </w:r>
    </w:p>
    <w:p w:rsidR="00116D9C" w:rsidRPr="00F97CC3" w:rsidRDefault="00116D9C" w:rsidP="00116D9C">
      <w:pPr>
        <w:spacing w:line="240" w:lineRule="auto"/>
        <w:rPr>
          <w:b/>
          <w:color w:val="auto"/>
          <w:szCs w:val="24"/>
        </w:rPr>
      </w:pPr>
    </w:p>
    <w:p w:rsidR="00116D9C" w:rsidRPr="00F97CC3" w:rsidRDefault="00116D9C" w:rsidP="00116D9C">
      <w:pPr>
        <w:spacing w:line="240" w:lineRule="auto"/>
        <w:rPr>
          <w:b/>
          <w:color w:val="auto"/>
          <w:szCs w:val="24"/>
        </w:rPr>
      </w:pPr>
      <w:r w:rsidRPr="00F97CC3">
        <w:rPr>
          <w:b/>
          <w:color w:val="auto"/>
          <w:szCs w:val="24"/>
        </w:rPr>
        <w:t>Wareham</w:t>
      </w:r>
    </w:p>
    <w:p w:rsidR="00116D9C" w:rsidRPr="00F97CC3" w:rsidRDefault="00116D9C" w:rsidP="00116D9C">
      <w:pPr>
        <w:spacing w:line="240" w:lineRule="auto"/>
        <w:rPr>
          <w:bCs/>
          <w:iCs/>
          <w:color w:val="303030"/>
          <w:szCs w:val="24"/>
        </w:rPr>
      </w:pPr>
      <w:r w:rsidRPr="00F97CC3">
        <w:rPr>
          <w:color w:val="auto"/>
          <w:szCs w:val="24"/>
        </w:rPr>
        <w:t xml:space="preserve">Students in the Wareham school district participated in the DIBELS assessment during </w:t>
      </w:r>
      <w:r w:rsidR="00111624">
        <w:rPr>
          <w:color w:val="auto"/>
          <w:szCs w:val="24"/>
        </w:rPr>
        <w:t>s</w:t>
      </w:r>
      <w:r w:rsidRPr="00F97CC3">
        <w:rPr>
          <w:color w:val="auto"/>
          <w:szCs w:val="24"/>
        </w:rPr>
        <w:t xml:space="preserve">pring 2014 and the Formative Assessment System </w:t>
      </w:r>
      <w:r w:rsidR="00111624">
        <w:rPr>
          <w:color w:val="auto"/>
          <w:szCs w:val="24"/>
        </w:rPr>
        <w:t>for Teachers (FAST) during f</w:t>
      </w:r>
      <w:r w:rsidRPr="00F97CC3">
        <w:rPr>
          <w:color w:val="auto"/>
          <w:szCs w:val="24"/>
        </w:rPr>
        <w:t xml:space="preserve">all 2014. The FAST includes a variety of subtests for early, adaptive, and curriculum-based reading and has been positively evaluated for its predictive utility and compatibility to the </w:t>
      </w:r>
      <w:r w:rsidRPr="00F97CC3">
        <w:rPr>
          <w:bCs/>
          <w:iCs/>
          <w:color w:val="303030"/>
          <w:szCs w:val="24"/>
        </w:rPr>
        <w:t>Minnesota Comprehensiv</w:t>
      </w:r>
      <w:r w:rsidR="00111624">
        <w:rPr>
          <w:bCs/>
          <w:iCs/>
          <w:color w:val="303030"/>
          <w:szCs w:val="24"/>
        </w:rPr>
        <w:t>e Assessment – III. Spring and f</w:t>
      </w:r>
      <w:r w:rsidRPr="00F97CC3">
        <w:rPr>
          <w:bCs/>
          <w:iCs/>
          <w:color w:val="303030"/>
          <w:szCs w:val="24"/>
        </w:rPr>
        <w:t xml:space="preserve">all assessment scores for 49 students participating in the </w:t>
      </w:r>
      <w:r w:rsidR="00927E04" w:rsidRPr="00927E04">
        <w:rPr>
          <w:bCs/>
        </w:rPr>
        <w:t>Community, Academic, Recreation, and Enrichment</w:t>
      </w:r>
      <w:r w:rsidR="00927E04" w:rsidRPr="00B87A9D">
        <w:rPr>
          <w:b/>
          <w:bCs/>
        </w:rPr>
        <w:t xml:space="preserve"> </w:t>
      </w:r>
      <w:r w:rsidRPr="00F97CC3">
        <w:rPr>
          <w:bCs/>
          <w:iCs/>
          <w:color w:val="303030"/>
          <w:szCs w:val="24"/>
        </w:rPr>
        <w:t>program</w:t>
      </w:r>
      <w:r w:rsidR="00927E04">
        <w:rPr>
          <w:bCs/>
          <w:iCs/>
          <w:color w:val="303030"/>
          <w:szCs w:val="24"/>
        </w:rPr>
        <w:t xml:space="preserve"> (CARE)</w:t>
      </w:r>
      <w:r w:rsidRPr="00F97CC3">
        <w:rPr>
          <w:bCs/>
          <w:iCs/>
          <w:color w:val="303030"/>
          <w:szCs w:val="24"/>
        </w:rPr>
        <w:t xml:space="preserve"> were compared to scores for </w:t>
      </w:r>
      <w:r w:rsidR="00111624">
        <w:rPr>
          <w:bCs/>
          <w:iCs/>
          <w:color w:val="303030"/>
          <w:szCs w:val="24"/>
        </w:rPr>
        <w:t>43</w:t>
      </w:r>
      <w:r w:rsidRPr="00F97CC3">
        <w:rPr>
          <w:bCs/>
          <w:iCs/>
          <w:color w:val="303030"/>
          <w:szCs w:val="24"/>
        </w:rPr>
        <w:t xml:space="preserve"> non-</w:t>
      </w:r>
      <w:r w:rsidR="00927E04">
        <w:rPr>
          <w:bCs/>
          <w:iCs/>
          <w:color w:val="303030"/>
          <w:szCs w:val="24"/>
        </w:rPr>
        <w:t>CARE</w:t>
      </w:r>
      <w:r w:rsidRPr="00F97CC3">
        <w:rPr>
          <w:bCs/>
          <w:iCs/>
          <w:color w:val="303030"/>
          <w:szCs w:val="24"/>
        </w:rPr>
        <w:t xml:space="preserve"> participants (multiple grade levels in both groups). Assessment results are reported in three “need” categories: High Need, Low Need, </w:t>
      </w:r>
      <w:r w:rsidR="00111624">
        <w:rPr>
          <w:bCs/>
          <w:iCs/>
          <w:color w:val="303030"/>
          <w:szCs w:val="24"/>
        </w:rPr>
        <w:t xml:space="preserve">and </w:t>
      </w:r>
      <w:r w:rsidRPr="00F97CC3">
        <w:rPr>
          <w:bCs/>
          <w:iCs/>
          <w:color w:val="303030"/>
          <w:szCs w:val="24"/>
        </w:rPr>
        <w:t>Some Need</w:t>
      </w:r>
      <w:r w:rsidR="001E5596">
        <w:rPr>
          <w:bCs/>
          <w:iCs/>
          <w:color w:val="303030"/>
          <w:szCs w:val="24"/>
        </w:rPr>
        <w:t xml:space="preserve">. </w:t>
      </w:r>
      <w:r w:rsidRPr="00F97CC3">
        <w:rPr>
          <w:bCs/>
          <w:iCs/>
          <w:color w:val="303030"/>
          <w:szCs w:val="24"/>
        </w:rPr>
        <w:t xml:space="preserve">Proportionally, more students participating in the CARE program shifted from “High Need” in the spring to “Low Need” or “Some Need” in the fall. In the </w:t>
      </w:r>
      <w:r w:rsidR="00111624">
        <w:rPr>
          <w:bCs/>
          <w:iCs/>
          <w:color w:val="303030"/>
          <w:szCs w:val="24"/>
        </w:rPr>
        <w:t>s</w:t>
      </w:r>
      <w:r w:rsidRPr="00F97CC3">
        <w:rPr>
          <w:bCs/>
          <w:iCs/>
          <w:color w:val="303030"/>
          <w:szCs w:val="24"/>
        </w:rPr>
        <w:t>pring</w:t>
      </w:r>
      <w:r w:rsidR="00111624">
        <w:rPr>
          <w:bCs/>
          <w:iCs/>
          <w:color w:val="303030"/>
          <w:szCs w:val="24"/>
        </w:rPr>
        <w:t>,</w:t>
      </w:r>
      <w:r w:rsidRPr="00F97CC3">
        <w:rPr>
          <w:bCs/>
          <w:iCs/>
          <w:color w:val="303030"/>
          <w:szCs w:val="24"/>
        </w:rPr>
        <w:t xml:space="preserve"> 55</w:t>
      </w:r>
      <w:r w:rsidR="00D52CF8">
        <w:rPr>
          <w:bCs/>
          <w:iCs/>
          <w:color w:val="303030"/>
          <w:szCs w:val="24"/>
        </w:rPr>
        <w:t xml:space="preserve"> percent</w:t>
      </w:r>
      <w:r w:rsidRPr="00F97CC3">
        <w:rPr>
          <w:bCs/>
          <w:iCs/>
          <w:color w:val="303030"/>
          <w:szCs w:val="24"/>
        </w:rPr>
        <w:t xml:space="preserve"> of CARE students tested in the “High Need” category and 37</w:t>
      </w:r>
      <w:r w:rsidR="00D52CF8">
        <w:rPr>
          <w:bCs/>
          <w:iCs/>
          <w:color w:val="303030"/>
          <w:szCs w:val="24"/>
        </w:rPr>
        <w:t xml:space="preserve"> percent</w:t>
      </w:r>
      <w:r w:rsidRPr="00F97CC3">
        <w:rPr>
          <w:bCs/>
          <w:iCs/>
          <w:color w:val="303030"/>
          <w:szCs w:val="24"/>
        </w:rPr>
        <w:t xml:space="preserve"> of CARE students tested in the “Low Need” category compared 42</w:t>
      </w:r>
      <w:r w:rsidR="00D52CF8">
        <w:rPr>
          <w:bCs/>
          <w:iCs/>
          <w:color w:val="303030"/>
          <w:szCs w:val="24"/>
        </w:rPr>
        <w:t xml:space="preserve"> percent</w:t>
      </w:r>
      <w:r w:rsidRPr="00F97CC3">
        <w:rPr>
          <w:bCs/>
          <w:iCs/>
          <w:color w:val="303030"/>
          <w:szCs w:val="24"/>
        </w:rPr>
        <w:t xml:space="preserve"> and 26</w:t>
      </w:r>
      <w:r w:rsidR="00D52CF8">
        <w:rPr>
          <w:bCs/>
          <w:iCs/>
          <w:color w:val="303030"/>
          <w:szCs w:val="24"/>
        </w:rPr>
        <w:t xml:space="preserve"> percent</w:t>
      </w:r>
      <w:r w:rsidRPr="00F97CC3">
        <w:rPr>
          <w:bCs/>
          <w:iCs/>
          <w:color w:val="303030"/>
          <w:szCs w:val="24"/>
        </w:rPr>
        <w:t xml:space="preserve"> of the non-</w:t>
      </w:r>
      <w:r w:rsidR="00927E04">
        <w:rPr>
          <w:bCs/>
          <w:iCs/>
          <w:color w:val="303030"/>
          <w:szCs w:val="24"/>
        </w:rPr>
        <w:t>CARE</w:t>
      </w:r>
      <w:r w:rsidRPr="00F97CC3">
        <w:rPr>
          <w:bCs/>
          <w:iCs/>
          <w:color w:val="303030"/>
          <w:szCs w:val="24"/>
        </w:rPr>
        <w:t xml:space="preserve"> students. Fall 2014 assessment indicated only 27</w:t>
      </w:r>
      <w:r w:rsidR="00D52CF8">
        <w:rPr>
          <w:bCs/>
          <w:iCs/>
          <w:color w:val="303030"/>
          <w:szCs w:val="24"/>
        </w:rPr>
        <w:t xml:space="preserve"> percent</w:t>
      </w:r>
      <w:r w:rsidRPr="00F97CC3">
        <w:rPr>
          <w:bCs/>
          <w:iCs/>
          <w:color w:val="303030"/>
          <w:szCs w:val="24"/>
        </w:rPr>
        <w:t xml:space="preserve"> of CARE students remained in the “High Need” category and 41</w:t>
      </w:r>
      <w:r w:rsidR="00D52CF8">
        <w:rPr>
          <w:bCs/>
          <w:iCs/>
          <w:color w:val="303030"/>
          <w:szCs w:val="24"/>
        </w:rPr>
        <w:t xml:space="preserve"> percent</w:t>
      </w:r>
      <w:r w:rsidRPr="00F97CC3">
        <w:rPr>
          <w:bCs/>
          <w:iCs/>
          <w:color w:val="303030"/>
          <w:szCs w:val="24"/>
        </w:rPr>
        <w:t xml:space="preserve"> tested into the “Low Need” category compared to 35</w:t>
      </w:r>
      <w:r w:rsidR="00D52CF8">
        <w:rPr>
          <w:bCs/>
          <w:iCs/>
          <w:color w:val="303030"/>
          <w:szCs w:val="24"/>
        </w:rPr>
        <w:t xml:space="preserve"> percent</w:t>
      </w:r>
      <w:r w:rsidRPr="00F97CC3">
        <w:rPr>
          <w:bCs/>
          <w:iCs/>
          <w:color w:val="303030"/>
          <w:szCs w:val="24"/>
        </w:rPr>
        <w:t xml:space="preserve"> and 42</w:t>
      </w:r>
      <w:r w:rsidR="00D52CF8">
        <w:rPr>
          <w:bCs/>
          <w:iCs/>
          <w:color w:val="303030"/>
          <w:szCs w:val="24"/>
        </w:rPr>
        <w:t xml:space="preserve"> percent</w:t>
      </w:r>
      <w:r w:rsidRPr="00F97CC3">
        <w:rPr>
          <w:bCs/>
          <w:iCs/>
          <w:color w:val="303030"/>
          <w:szCs w:val="24"/>
        </w:rPr>
        <w:t xml:space="preserve"> of non-</w:t>
      </w:r>
      <w:r w:rsidR="00927E04">
        <w:rPr>
          <w:bCs/>
          <w:iCs/>
          <w:color w:val="303030"/>
          <w:szCs w:val="24"/>
        </w:rPr>
        <w:t>CARE</w:t>
      </w:r>
      <w:r w:rsidRPr="00F97CC3">
        <w:rPr>
          <w:bCs/>
          <w:iCs/>
          <w:color w:val="303030"/>
          <w:szCs w:val="24"/>
        </w:rPr>
        <w:t xml:space="preserve"> students. </w:t>
      </w:r>
      <w:r w:rsidRPr="00F97CC3">
        <w:rPr>
          <w:bCs/>
          <w:iCs/>
          <w:color w:val="303030"/>
          <w:szCs w:val="24"/>
        </w:rPr>
        <w:lastRenderedPageBreak/>
        <w:t>Identification in the “Some Need” category for CARE students shifted from 8</w:t>
      </w:r>
      <w:r w:rsidR="00D52CF8">
        <w:rPr>
          <w:bCs/>
          <w:iCs/>
          <w:color w:val="303030"/>
          <w:szCs w:val="24"/>
        </w:rPr>
        <w:t xml:space="preserve"> percent</w:t>
      </w:r>
      <w:r w:rsidRPr="00F97CC3">
        <w:rPr>
          <w:bCs/>
          <w:iCs/>
          <w:color w:val="303030"/>
          <w:szCs w:val="24"/>
        </w:rPr>
        <w:t xml:space="preserve"> of students in the spring to 33</w:t>
      </w:r>
      <w:r w:rsidR="00D52CF8">
        <w:rPr>
          <w:bCs/>
          <w:iCs/>
          <w:color w:val="303030"/>
          <w:szCs w:val="24"/>
        </w:rPr>
        <w:t xml:space="preserve"> percent</w:t>
      </w:r>
      <w:r w:rsidRPr="00F97CC3">
        <w:rPr>
          <w:bCs/>
          <w:iCs/>
          <w:color w:val="303030"/>
          <w:szCs w:val="24"/>
        </w:rPr>
        <w:t xml:space="preserve"> of students in the fall.</w:t>
      </w:r>
    </w:p>
    <w:p w:rsidR="00116D9C" w:rsidRPr="00F97CC3" w:rsidRDefault="00116D9C" w:rsidP="00116D9C">
      <w:pPr>
        <w:spacing w:line="240" w:lineRule="auto"/>
        <w:rPr>
          <w:rFonts w:eastAsia="Calibri"/>
          <w:color w:val="auto"/>
          <w:szCs w:val="24"/>
        </w:rPr>
      </w:pPr>
      <w:r w:rsidRPr="00F97CC3">
        <w:rPr>
          <w:noProof/>
          <w:color w:val="auto"/>
          <w:szCs w:val="24"/>
          <w:lang w:eastAsia="zh-CN" w:bidi="km-KH"/>
        </w:rPr>
        <w:drawing>
          <wp:inline distT="0" distB="0" distL="0" distR="0">
            <wp:extent cx="9525" cy="9525"/>
            <wp:effectExtent l="0" t="0" r="0" b="0"/>
            <wp:docPr id="3" name="Picture 3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D9C" w:rsidRPr="00F97CC3" w:rsidRDefault="00116D9C" w:rsidP="00116D9C">
      <w:pPr>
        <w:spacing w:line="240" w:lineRule="auto"/>
        <w:rPr>
          <w:color w:val="auto"/>
          <w:szCs w:val="24"/>
        </w:rPr>
      </w:pPr>
      <w:r w:rsidRPr="00F97CC3">
        <w:rPr>
          <w:b/>
          <w:color w:val="auto"/>
          <w:szCs w:val="24"/>
        </w:rPr>
        <w:t>West Springfield</w:t>
      </w:r>
    </w:p>
    <w:p w:rsidR="001C4909" w:rsidRPr="001C4909" w:rsidRDefault="00116D9C" w:rsidP="001C4909">
      <w:pPr>
        <w:shd w:val="clear" w:color="auto" w:fill="FFFFFF"/>
        <w:spacing w:line="240" w:lineRule="auto"/>
        <w:rPr>
          <w:rFonts w:eastAsia="Calibri"/>
          <w:color w:val="222222"/>
          <w:szCs w:val="24"/>
        </w:rPr>
      </w:pPr>
      <w:r w:rsidRPr="00F97CC3">
        <w:rPr>
          <w:rFonts w:eastAsia="Calibri"/>
          <w:color w:val="222222"/>
          <w:szCs w:val="24"/>
        </w:rPr>
        <w:t xml:space="preserve">The Benchmark Assessment System (BAS), the district measurement instrument for reading, was administered to district students in </w:t>
      </w:r>
      <w:r w:rsidR="00111624">
        <w:rPr>
          <w:rFonts w:eastAsia="Calibri"/>
          <w:color w:val="222222"/>
          <w:szCs w:val="24"/>
        </w:rPr>
        <w:t>s</w:t>
      </w:r>
      <w:r w:rsidRPr="00F97CC3">
        <w:rPr>
          <w:rFonts w:eastAsia="Calibri"/>
          <w:color w:val="222222"/>
          <w:szCs w:val="24"/>
        </w:rPr>
        <w:t xml:space="preserve">pring 2014 and then </w:t>
      </w:r>
      <w:r w:rsidRPr="00152E1D">
        <w:rPr>
          <w:rFonts w:eastAsia="Calibri"/>
          <w:color w:val="222222"/>
          <w:szCs w:val="24"/>
        </w:rPr>
        <w:t>re-administered</w:t>
      </w:r>
      <w:r w:rsidRPr="00F97CC3">
        <w:rPr>
          <w:rFonts w:eastAsia="Calibri"/>
          <w:color w:val="222222"/>
          <w:szCs w:val="24"/>
        </w:rPr>
        <w:t xml:space="preserve"> two weeks after school started in September 2014</w:t>
      </w:r>
      <w:r w:rsidR="001E5596">
        <w:rPr>
          <w:rFonts w:eastAsia="Calibri"/>
          <w:color w:val="222222"/>
          <w:szCs w:val="24"/>
        </w:rPr>
        <w:t xml:space="preserve">. </w:t>
      </w:r>
      <w:r w:rsidRPr="00F97CC3">
        <w:rPr>
          <w:rFonts w:eastAsia="Calibri"/>
          <w:color w:val="222222"/>
          <w:szCs w:val="24"/>
        </w:rPr>
        <w:t xml:space="preserve">Coburn’s summer </w:t>
      </w:r>
      <w:r w:rsidR="00E136FC">
        <w:rPr>
          <w:rFonts w:eastAsia="Calibri"/>
          <w:color w:val="222222"/>
          <w:szCs w:val="24"/>
        </w:rPr>
        <w:t xml:space="preserve">enhancement </w:t>
      </w:r>
      <w:r w:rsidRPr="00F97CC3">
        <w:rPr>
          <w:rFonts w:eastAsia="Calibri"/>
          <w:color w:val="222222"/>
          <w:szCs w:val="24"/>
        </w:rPr>
        <w:t xml:space="preserve">program population was primarily </w:t>
      </w:r>
      <w:r w:rsidR="00111624">
        <w:rPr>
          <w:rFonts w:eastAsia="Calibri"/>
          <w:color w:val="222222"/>
          <w:szCs w:val="24"/>
        </w:rPr>
        <w:t>LEP</w:t>
      </w:r>
      <w:r w:rsidRPr="00F97CC3">
        <w:rPr>
          <w:rFonts w:eastAsia="Calibri"/>
          <w:color w:val="222222"/>
          <w:szCs w:val="24"/>
        </w:rPr>
        <w:t>. Second graders in the summer program cohort showed a 2</w:t>
      </w:r>
      <w:r w:rsidR="00D52CF8">
        <w:rPr>
          <w:rFonts w:eastAsia="Calibri"/>
          <w:color w:val="222222"/>
          <w:szCs w:val="24"/>
        </w:rPr>
        <w:t xml:space="preserve"> percent</w:t>
      </w:r>
      <w:r w:rsidRPr="00F97CC3">
        <w:rPr>
          <w:rFonts w:eastAsia="Calibri"/>
          <w:color w:val="222222"/>
          <w:szCs w:val="24"/>
        </w:rPr>
        <w:t xml:space="preserve"> increase in </w:t>
      </w:r>
      <w:r w:rsidRPr="00E6250A">
        <w:rPr>
          <w:rFonts w:eastAsia="Calibri"/>
          <w:color w:val="222222"/>
          <w:szCs w:val="24"/>
        </w:rPr>
        <w:t>scores</w:t>
      </w:r>
      <w:r w:rsidR="00E6250A" w:rsidRPr="00E6250A">
        <w:rPr>
          <w:rFonts w:eastAsia="Calibri"/>
          <w:color w:val="222222"/>
          <w:szCs w:val="24"/>
        </w:rPr>
        <w:t>,</w:t>
      </w:r>
      <w:r w:rsidRPr="00E6250A">
        <w:rPr>
          <w:rFonts w:eastAsia="Calibri"/>
          <w:color w:val="222222"/>
          <w:szCs w:val="24"/>
        </w:rPr>
        <w:t xml:space="preserve"> while</w:t>
      </w:r>
      <w:r w:rsidRPr="00F97CC3">
        <w:rPr>
          <w:rFonts w:eastAsia="Calibri"/>
          <w:color w:val="222222"/>
          <w:szCs w:val="24"/>
        </w:rPr>
        <w:t xml:space="preserve"> a random sample of peer students (non-</w:t>
      </w:r>
      <w:r w:rsidR="00111624">
        <w:rPr>
          <w:rFonts w:eastAsia="Calibri"/>
          <w:color w:val="222222"/>
          <w:szCs w:val="24"/>
        </w:rPr>
        <w:t>LEP</w:t>
      </w:r>
      <w:r w:rsidRPr="00F97CC3">
        <w:rPr>
          <w:rFonts w:eastAsia="Calibri"/>
          <w:color w:val="222222"/>
          <w:szCs w:val="24"/>
        </w:rPr>
        <w:t xml:space="preserve">) showed no change. </w:t>
      </w:r>
      <w:r w:rsidR="00E6250A">
        <w:rPr>
          <w:rFonts w:eastAsia="Calibri"/>
          <w:color w:val="222222"/>
          <w:szCs w:val="24"/>
        </w:rPr>
        <w:t>Third-grade s</w:t>
      </w:r>
      <w:r w:rsidRPr="00F97CC3">
        <w:rPr>
          <w:rFonts w:eastAsia="Calibri"/>
          <w:color w:val="222222"/>
          <w:szCs w:val="24"/>
        </w:rPr>
        <w:t xml:space="preserve">ummer program </w:t>
      </w:r>
      <w:r w:rsidRPr="00E6250A">
        <w:rPr>
          <w:rFonts w:eastAsia="Calibri"/>
          <w:color w:val="222222"/>
          <w:szCs w:val="24"/>
        </w:rPr>
        <w:t>students also showed a slight increase in scores (1</w:t>
      </w:r>
      <w:r w:rsidR="00D52CF8" w:rsidRPr="00E6250A">
        <w:rPr>
          <w:rFonts w:eastAsia="Calibri"/>
          <w:color w:val="222222"/>
          <w:szCs w:val="24"/>
        </w:rPr>
        <w:t xml:space="preserve"> percent</w:t>
      </w:r>
      <w:r w:rsidRPr="00E6250A">
        <w:rPr>
          <w:rFonts w:eastAsia="Calibri"/>
          <w:color w:val="222222"/>
          <w:szCs w:val="24"/>
        </w:rPr>
        <w:t>)</w:t>
      </w:r>
      <w:r w:rsidR="00E6250A" w:rsidRPr="00E6250A">
        <w:rPr>
          <w:rFonts w:eastAsia="Calibri"/>
          <w:color w:val="222222"/>
          <w:szCs w:val="24"/>
        </w:rPr>
        <w:t>,</w:t>
      </w:r>
      <w:r w:rsidRPr="00E6250A">
        <w:rPr>
          <w:rFonts w:eastAsia="Calibri"/>
          <w:color w:val="222222"/>
          <w:szCs w:val="24"/>
        </w:rPr>
        <w:t xml:space="preserve"> while their peers decreased 3</w:t>
      </w:r>
      <w:r w:rsidR="00D52CF8" w:rsidRPr="00E6250A">
        <w:rPr>
          <w:rFonts w:eastAsia="Calibri"/>
          <w:color w:val="222222"/>
          <w:szCs w:val="24"/>
        </w:rPr>
        <w:t xml:space="preserve"> percent</w:t>
      </w:r>
      <w:r w:rsidRPr="00E6250A">
        <w:rPr>
          <w:rFonts w:eastAsia="Calibri"/>
          <w:color w:val="222222"/>
          <w:szCs w:val="24"/>
        </w:rPr>
        <w:t xml:space="preserve">. </w:t>
      </w:r>
      <w:r w:rsidR="00E6250A" w:rsidRPr="00E6250A">
        <w:rPr>
          <w:rFonts w:eastAsia="Calibri"/>
          <w:color w:val="222222"/>
          <w:szCs w:val="24"/>
        </w:rPr>
        <w:t>Summer program students in g</w:t>
      </w:r>
      <w:r w:rsidRPr="00E6250A">
        <w:rPr>
          <w:rFonts w:eastAsia="Calibri"/>
          <w:color w:val="222222"/>
          <w:szCs w:val="24"/>
        </w:rPr>
        <w:t>rades 4 and 5 showed a similar improvement pattern compared to peers, with summer students improving scores by 2</w:t>
      </w:r>
      <w:r w:rsidR="00D52CF8" w:rsidRPr="00E6250A">
        <w:rPr>
          <w:rFonts w:eastAsia="Calibri"/>
          <w:color w:val="222222"/>
          <w:szCs w:val="24"/>
        </w:rPr>
        <w:t xml:space="preserve"> percent</w:t>
      </w:r>
      <w:r w:rsidR="00E86DF2">
        <w:rPr>
          <w:rFonts w:eastAsia="Calibri"/>
          <w:color w:val="222222"/>
          <w:szCs w:val="24"/>
        </w:rPr>
        <w:t xml:space="preserve"> within each grade</w:t>
      </w:r>
      <w:r w:rsidRPr="00E6250A">
        <w:rPr>
          <w:rFonts w:eastAsia="Calibri"/>
          <w:color w:val="222222"/>
          <w:szCs w:val="24"/>
        </w:rPr>
        <w:t xml:space="preserve"> and peers testing lower </w:t>
      </w:r>
      <w:r w:rsidR="00E86DF2">
        <w:rPr>
          <w:rFonts w:eastAsia="Calibri"/>
          <w:color w:val="222222"/>
          <w:szCs w:val="24"/>
        </w:rPr>
        <w:t xml:space="preserve">in the fall </w:t>
      </w:r>
      <w:r w:rsidRPr="00E6250A">
        <w:rPr>
          <w:rFonts w:eastAsia="Calibri"/>
          <w:color w:val="222222"/>
          <w:szCs w:val="24"/>
        </w:rPr>
        <w:t>than in the spring assessment (-2</w:t>
      </w:r>
      <w:r w:rsidR="001C4909">
        <w:rPr>
          <w:rFonts w:eastAsia="Calibri"/>
          <w:color w:val="222222"/>
          <w:szCs w:val="24"/>
        </w:rPr>
        <w:t xml:space="preserve"> </w:t>
      </w:r>
      <w:r w:rsidR="000F1927">
        <w:rPr>
          <w:rFonts w:eastAsia="Calibri"/>
          <w:color w:val="222222"/>
          <w:szCs w:val="24"/>
        </w:rPr>
        <w:t>percent).</w:t>
      </w:r>
      <w:bookmarkStart w:id="6" w:name="_GoBack"/>
      <w:bookmarkEnd w:id="6"/>
    </w:p>
    <w:p w:rsidR="001C4909" w:rsidRDefault="001C4909" w:rsidP="004457CA"/>
    <w:p w:rsidR="001C4909" w:rsidRPr="004457CA" w:rsidRDefault="001C4909" w:rsidP="004457CA"/>
    <w:p w:rsidR="001A116F" w:rsidRPr="00F97CC3" w:rsidRDefault="00E6580C" w:rsidP="004457CA">
      <w:pPr>
        <w:pStyle w:val="Heading1"/>
      </w:pPr>
      <w:r w:rsidRPr="00F97CC3">
        <w:t>Summary</w:t>
      </w:r>
    </w:p>
    <w:p w:rsidR="0081349E" w:rsidRDefault="0081349E" w:rsidP="004457CA">
      <w:pPr>
        <w:spacing w:line="240" w:lineRule="auto"/>
        <w:rPr>
          <w:szCs w:val="24"/>
        </w:rPr>
      </w:pPr>
      <w:r>
        <w:rPr>
          <w:szCs w:val="24"/>
        </w:rPr>
        <w:t>Following t</w:t>
      </w:r>
      <w:r w:rsidR="004457CA" w:rsidRPr="004457CA">
        <w:rPr>
          <w:szCs w:val="24"/>
        </w:rPr>
        <w:t xml:space="preserve">hree </w:t>
      </w:r>
      <w:r>
        <w:rPr>
          <w:szCs w:val="24"/>
        </w:rPr>
        <w:t>summers of the</w:t>
      </w:r>
      <w:r w:rsidR="004457CA" w:rsidRPr="004457CA">
        <w:rPr>
          <w:szCs w:val="24"/>
        </w:rPr>
        <w:t xml:space="preserve"> </w:t>
      </w:r>
      <w:r w:rsidR="004457CA" w:rsidRPr="000C4CB8">
        <w:rPr>
          <w:szCs w:val="24"/>
        </w:rPr>
        <w:t xml:space="preserve">Summer Enhancement </w:t>
      </w:r>
      <w:r w:rsidR="000C4CB8" w:rsidRPr="000C4CB8">
        <w:rPr>
          <w:szCs w:val="24"/>
        </w:rPr>
        <w:t xml:space="preserve">Grant </w:t>
      </w:r>
      <w:r w:rsidR="004457CA" w:rsidRPr="000C4CB8">
        <w:rPr>
          <w:szCs w:val="24"/>
        </w:rPr>
        <w:t>Pilot</w:t>
      </w:r>
      <w:r w:rsidRPr="000C4CB8">
        <w:rPr>
          <w:szCs w:val="24"/>
        </w:rPr>
        <w:t>,</w:t>
      </w:r>
      <w:r>
        <w:rPr>
          <w:szCs w:val="24"/>
        </w:rPr>
        <w:t xml:space="preserve"> a successful model for organizing and supporting </w:t>
      </w:r>
      <w:r w:rsidR="004457CA" w:rsidRPr="004457CA">
        <w:rPr>
          <w:szCs w:val="24"/>
        </w:rPr>
        <w:t xml:space="preserve">high-quality summer learning experiences </w:t>
      </w:r>
      <w:r>
        <w:rPr>
          <w:szCs w:val="24"/>
        </w:rPr>
        <w:t>was expanded across the state to seven additional 21</w:t>
      </w:r>
      <w:r w:rsidRPr="007378E7">
        <w:rPr>
          <w:szCs w:val="24"/>
        </w:rPr>
        <w:t>st</w:t>
      </w:r>
      <w:r>
        <w:rPr>
          <w:szCs w:val="24"/>
        </w:rPr>
        <w:t xml:space="preserve"> CCLC program sites. </w:t>
      </w:r>
      <w:r w:rsidR="00236713">
        <w:rPr>
          <w:szCs w:val="24"/>
        </w:rPr>
        <w:t xml:space="preserve">Each of these sites had </w:t>
      </w:r>
      <w:r>
        <w:rPr>
          <w:szCs w:val="24"/>
        </w:rPr>
        <w:t xml:space="preserve">prior </w:t>
      </w:r>
      <w:r w:rsidR="00043F27">
        <w:rPr>
          <w:szCs w:val="24"/>
        </w:rPr>
        <w:t xml:space="preserve">knowledge </w:t>
      </w:r>
      <w:r>
        <w:rPr>
          <w:szCs w:val="24"/>
        </w:rPr>
        <w:t>in managing school year and summer out-of-school time learning expe</w:t>
      </w:r>
      <w:r w:rsidR="007378E7">
        <w:rPr>
          <w:szCs w:val="24"/>
        </w:rPr>
        <w:t>riences for children and youth,</w:t>
      </w:r>
      <w:r>
        <w:rPr>
          <w:szCs w:val="24"/>
        </w:rPr>
        <w:t xml:space="preserve"> </w:t>
      </w:r>
      <w:r w:rsidR="00236713">
        <w:rPr>
          <w:szCs w:val="24"/>
        </w:rPr>
        <w:t xml:space="preserve">which </w:t>
      </w:r>
      <w:r>
        <w:rPr>
          <w:szCs w:val="24"/>
        </w:rPr>
        <w:t xml:space="preserve">likely contributed to their evident success in planning and executing </w:t>
      </w:r>
      <w:r w:rsidR="00152E1D" w:rsidRPr="00152E1D">
        <w:rPr>
          <w:szCs w:val="24"/>
        </w:rPr>
        <w:t>well-</w:t>
      </w:r>
      <w:r w:rsidRPr="00152E1D">
        <w:rPr>
          <w:szCs w:val="24"/>
        </w:rPr>
        <w:t>organized</w:t>
      </w:r>
      <w:r>
        <w:rPr>
          <w:szCs w:val="24"/>
        </w:rPr>
        <w:t xml:space="preserve"> and structured summer learning programs. Youth outcome assessment data, collected through teacher </w:t>
      </w:r>
      <w:r w:rsidR="00927E04">
        <w:rPr>
          <w:szCs w:val="24"/>
        </w:rPr>
        <w:t>surveys</w:t>
      </w:r>
      <w:r>
        <w:rPr>
          <w:szCs w:val="24"/>
        </w:rPr>
        <w:t xml:space="preserve">, paint a very positive picture of the value added in social-emotional and academic skill gain for participating children and youth. </w:t>
      </w:r>
      <w:r w:rsidR="00AF7D5E">
        <w:rPr>
          <w:szCs w:val="24"/>
        </w:rPr>
        <w:t xml:space="preserve">Youth showed particularly high ratings in relationship building with adults and peers. </w:t>
      </w:r>
      <w:r w:rsidR="007C010E">
        <w:rPr>
          <w:szCs w:val="24"/>
        </w:rPr>
        <w:t xml:space="preserve">High participation levels by children and youth </w:t>
      </w:r>
      <w:r w:rsidR="00AF7D5E">
        <w:rPr>
          <w:szCs w:val="24"/>
        </w:rPr>
        <w:t xml:space="preserve">suggest a substantial investment by each school community in </w:t>
      </w:r>
      <w:r w:rsidR="007C010E">
        <w:rPr>
          <w:szCs w:val="24"/>
        </w:rPr>
        <w:t xml:space="preserve">creating engaging </w:t>
      </w:r>
      <w:r w:rsidR="00AF7D5E">
        <w:rPr>
          <w:szCs w:val="24"/>
        </w:rPr>
        <w:t xml:space="preserve">blended academic and enrichment </w:t>
      </w:r>
      <w:r w:rsidR="007C010E">
        <w:rPr>
          <w:szCs w:val="24"/>
        </w:rPr>
        <w:t xml:space="preserve">learning </w:t>
      </w:r>
      <w:r w:rsidR="00AF7D5E">
        <w:rPr>
          <w:szCs w:val="24"/>
        </w:rPr>
        <w:t>e</w:t>
      </w:r>
      <w:r w:rsidR="007C010E">
        <w:rPr>
          <w:szCs w:val="24"/>
        </w:rPr>
        <w:t>xperience</w:t>
      </w:r>
      <w:r w:rsidR="007E3E83">
        <w:rPr>
          <w:szCs w:val="24"/>
        </w:rPr>
        <w:t>s</w:t>
      </w:r>
      <w:r w:rsidR="007C010E">
        <w:rPr>
          <w:szCs w:val="24"/>
        </w:rPr>
        <w:t xml:space="preserve"> </w:t>
      </w:r>
      <w:r w:rsidR="007E3E83">
        <w:rPr>
          <w:szCs w:val="24"/>
        </w:rPr>
        <w:t xml:space="preserve">that feature </w:t>
      </w:r>
      <w:r w:rsidR="007C010E">
        <w:rPr>
          <w:szCs w:val="24"/>
        </w:rPr>
        <w:t xml:space="preserve">extensive community partnerships and pre-program planning. </w:t>
      </w:r>
    </w:p>
    <w:p w:rsidR="004457CA" w:rsidRPr="004457CA" w:rsidRDefault="004457CA" w:rsidP="004457CA">
      <w:pPr>
        <w:spacing w:line="240" w:lineRule="auto"/>
        <w:rPr>
          <w:szCs w:val="24"/>
        </w:rPr>
      </w:pPr>
    </w:p>
    <w:p w:rsidR="004457CA" w:rsidRPr="004457CA" w:rsidRDefault="007C010E" w:rsidP="004457CA">
      <w:pPr>
        <w:spacing w:line="240" w:lineRule="auto"/>
        <w:rPr>
          <w:szCs w:val="24"/>
        </w:rPr>
      </w:pPr>
      <w:r>
        <w:rPr>
          <w:szCs w:val="24"/>
        </w:rPr>
        <w:t>S</w:t>
      </w:r>
      <w:r w:rsidR="004457CA" w:rsidRPr="004457CA">
        <w:rPr>
          <w:szCs w:val="24"/>
        </w:rPr>
        <w:t xml:space="preserve">ummer learning loss data </w:t>
      </w:r>
      <w:r w:rsidR="00043F27">
        <w:rPr>
          <w:szCs w:val="24"/>
        </w:rPr>
        <w:t xml:space="preserve">were </w:t>
      </w:r>
      <w:r>
        <w:rPr>
          <w:szCs w:val="24"/>
        </w:rPr>
        <w:t>collected in a variety of ways, using a mixture of assessment instruments and approaches</w:t>
      </w:r>
      <w:r w:rsidR="00043F27">
        <w:rPr>
          <w:szCs w:val="24"/>
        </w:rPr>
        <w:t>,</w:t>
      </w:r>
      <w:r>
        <w:rPr>
          <w:szCs w:val="24"/>
        </w:rPr>
        <w:t xml:space="preserve"> and therefore offer </w:t>
      </w:r>
      <w:r w:rsidR="00752C78">
        <w:rPr>
          <w:szCs w:val="24"/>
        </w:rPr>
        <w:t xml:space="preserve">only modest insight into potential associations of participation in summer programs and </w:t>
      </w:r>
      <w:r w:rsidR="00B04C18">
        <w:rPr>
          <w:szCs w:val="24"/>
        </w:rPr>
        <w:t xml:space="preserve">reduction of summer learning loss. The most compelling positive findings are likely those from Wareham in </w:t>
      </w:r>
      <w:r w:rsidR="007659C3">
        <w:rPr>
          <w:szCs w:val="24"/>
        </w:rPr>
        <w:t>which summer</w:t>
      </w:r>
      <w:r w:rsidR="00B04C18">
        <w:rPr>
          <w:szCs w:val="24"/>
        </w:rPr>
        <w:t xml:space="preserve"> participants were more likely to return to school in the fall demonstrating “lower academic need” than their peers</w:t>
      </w:r>
      <w:r w:rsidR="001E5596">
        <w:rPr>
          <w:szCs w:val="24"/>
        </w:rPr>
        <w:t xml:space="preserve">. </w:t>
      </w:r>
      <w:r w:rsidR="00B04C18">
        <w:rPr>
          <w:szCs w:val="24"/>
        </w:rPr>
        <w:t xml:space="preserve">A </w:t>
      </w:r>
      <w:r w:rsidR="004457CA" w:rsidRPr="004457CA">
        <w:rPr>
          <w:szCs w:val="24"/>
        </w:rPr>
        <w:t xml:space="preserve">more rigorous </w:t>
      </w:r>
      <w:r w:rsidR="00B04C18">
        <w:rPr>
          <w:szCs w:val="24"/>
        </w:rPr>
        <w:t xml:space="preserve">research and data collection commitment by school districts with participating </w:t>
      </w:r>
      <w:r w:rsidR="001812DC">
        <w:rPr>
          <w:szCs w:val="24"/>
        </w:rPr>
        <w:t>sites</w:t>
      </w:r>
      <w:r w:rsidR="00B04C18">
        <w:rPr>
          <w:szCs w:val="24"/>
        </w:rPr>
        <w:t xml:space="preserve"> in the </w:t>
      </w:r>
      <w:r w:rsidR="00B04C18" w:rsidRPr="000C4CB8">
        <w:rPr>
          <w:szCs w:val="24"/>
        </w:rPr>
        <w:t xml:space="preserve">Summer Enhancement </w:t>
      </w:r>
      <w:r w:rsidR="000C4CB8" w:rsidRPr="000C4CB8">
        <w:rPr>
          <w:szCs w:val="24"/>
        </w:rPr>
        <w:t xml:space="preserve">Grant </w:t>
      </w:r>
      <w:r w:rsidR="001812DC" w:rsidRPr="000C4CB8">
        <w:rPr>
          <w:szCs w:val="24"/>
        </w:rPr>
        <w:t>Program</w:t>
      </w:r>
      <w:r w:rsidR="001812DC">
        <w:rPr>
          <w:szCs w:val="24"/>
        </w:rPr>
        <w:t xml:space="preserve"> </w:t>
      </w:r>
      <w:r w:rsidR="004457CA" w:rsidRPr="004457CA">
        <w:rPr>
          <w:szCs w:val="24"/>
        </w:rPr>
        <w:t xml:space="preserve">will </w:t>
      </w:r>
      <w:r w:rsidR="001812DC">
        <w:rPr>
          <w:szCs w:val="24"/>
        </w:rPr>
        <w:t>better inform</w:t>
      </w:r>
      <w:r w:rsidR="004457CA" w:rsidRPr="004457CA">
        <w:rPr>
          <w:szCs w:val="24"/>
        </w:rPr>
        <w:t xml:space="preserve"> how a blended academic and enrichment summer learning experience can contribute to student achievement</w:t>
      </w:r>
      <w:r w:rsidR="001812DC">
        <w:rPr>
          <w:szCs w:val="24"/>
        </w:rPr>
        <w:t xml:space="preserve"> and potentially reduce summer learning loss</w:t>
      </w:r>
      <w:r w:rsidR="004457CA" w:rsidRPr="004457CA">
        <w:rPr>
          <w:szCs w:val="24"/>
        </w:rPr>
        <w:t>.</w:t>
      </w:r>
    </w:p>
    <w:p w:rsidR="001A116F" w:rsidRPr="00F97CC3" w:rsidRDefault="001A116F" w:rsidP="003E23BB">
      <w:pPr>
        <w:spacing w:line="240" w:lineRule="auto"/>
        <w:rPr>
          <w:color w:val="0F6FC6" w:themeColor="accent1"/>
          <w:szCs w:val="24"/>
        </w:rPr>
      </w:pPr>
    </w:p>
    <w:p w:rsidR="00731D20" w:rsidRPr="00C1319A" w:rsidRDefault="002A6E0D" w:rsidP="003E23BB">
      <w:pPr>
        <w:spacing w:line="240" w:lineRule="auto"/>
        <w:rPr>
          <w:rStyle w:val="A4"/>
          <w:rFonts w:cs="Times New Roman"/>
          <w:b/>
          <w:color w:val="0F6FC6" w:themeColor="accent1"/>
          <w:sz w:val="24"/>
          <w:szCs w:val="24"/>
        </w:rPr>
      </w:pPr>
      <w:r w:rsidRPr="00C1319A">
        <w:rPr>
          <w:b/>
          <w:color w:val="0F6FC6" w:themeColor="accent1"/>
          <w:szCs w:val="24"/>
        </w:rPr>
        <w:t xml:space="preserve">This Research Brief was prepared by </w:t>
      </w:r>
      <w:r w:rsidR="00A01B9F" w:rsidRPr="00C1319A">
        <w:rPr>
          <w:b/>
          <w:color w:val="0F6FC6" w:themeColor="accent1"/>
          <w:szCs w:val="24"/>
        </w:rPr>
        <w:t>NIOST</w:t>
      </w:r>
      <w:r w:rsidRPr="00C1319A">
        <w:rPr>
          <w:b/>
          <w:color w:val="0F6FC6" w:themeColor="accent1"/>
          <w:szCs w:val="24"/>
        </w:rPr>
        <w:t xml:space="preserve"> at Wellesley College. </w:t>
      </w:r>
      <w:r w:rsidR="00731D20" w:rsidRPr="00C1319A">
        <w:rPr>
          <w:rStyle w:val="A4"/>
          <w:rFonts w:cs="Times New Roman"/>
          <w:b/>
          <w:color w:val="0F6FC6" w:themeColor="accent1"/>
          <w:sz w:val="24"/>
          <w:szCs w:val="24"/>
        </w:rPr>
        <w:t>For more information on the research findings</w:t>
      </w:r>
      <w:r w:rsidR="007378E7">
        <w:rPr>
          <w:rStyle w:val="A4"/>
          <w:rFonts w:cs="Times New Roman"/>
          <w:b/>
          <w:color w:val="0F6FC6" w:themeColor="accent1"/>
          <w:sz w:val="24"/>
          <w:szCs w:val="24"/>
        </w:rPr>
        <w:t>,</w:t>
      </w:r>
      <w:r w:rsidR="00731D20" w:rsidRPr="00C1319A">
        <w:rPr>
          <w:rStyle w:val="A4"/>
          <w:rFonts w:cs="Times New Roman"/>
          <w:b/>
          <w:color w:val="0F6FC6" w:themeColor="accent1"/>
          <w:sz w:val="24"/>
          <w:szCs w:val="24"/>
        </w:rPr>
        <w:t xml:space="preserve"> contact:</w:t>
      </w:r>
    </w:p>
    <w:p w:rsidR="001A116F" w:rsidRPr="00F97CC3" w:rsidRDefault="001A116F" w:rsidP="001A116F">
      <w:pPr>
        <w:rPr>
          <w:rStyle w:val="A4"/>
          <w:rFonts w:cs="Times New Roman"/>
          <w:color w:val="auto"/>
          <w:sz w:val="24"/>
          <w:szCs w:val="24"/>
        </w:rPr>
      </w:pPr>
    </w:p>
    <w:p w:rsidR="00731D20" w:rsidRPr="00F97CC3" w:rsidRDefault="00731D20" w:rsidP="00FF69BC">
      <w:pPr>
        <w:rPr>
          <w:szCs w:val="24"/>
        </w:rPr>
      </w:pPr>
      <w:r w:rsidRPr="00F97CC3">
        <w:rPr>
          <w:szCs w:val="24"/>
        </w:rPr>
        <w:t>Georgia Hall, Ph</w:t>
      </w:r>
      <w:r w:rsidR="000D6DBB" w:rsidRPr="00F97CC3">
        <w:rPr>
          <w:szCs w:val="24"/>
        </w:rPr>
        <w:t>.</w:t>
      </w:r>
      <w:r w:rsidRPr="00F97CC3">
        <w:rPr>
          <w:szCs w:val="24"/>
        </w:rPr>
        <w:t>D</w:t>
      </w:r>
      <w:r w:rsidR="000D6DBB" w:rsidRPr="00F97CC3">
        <w:rPr>
          <w:szCs w:val="24"/>
        </w:rPr>
        <w:t>.</w:t>
      </w:r>
    </w:p>
    <w:p w:rsidR="00731D20" w:rsidRPr="00F97CC3" w:rsidRDefault="00731D20" w:rsidP="00FF69BC">
      <w:pPr>
        <w:rPr>
          <w:szCs w:val="24"/>
        </w:rPr>
      </w:pPr>
      <w:r w:rsidRPr="00F97CC3">
        <w:rPr>
          <w:szCs w:val="24"/>
        </w:rPr>
        <w:t>National Institute on Out-of-School Time</w:t>
      </w:r>
    </w:p>
    <w:p w:rsidR="00034683" w:rsidRPr="00F97CC3" w:rsidRDefault="00731D20" w:rsidP="00FF69BC">
      <w:pPr>
        <w:rPr>
          <w:szCs w:val="24"/>
        </w:rPr>
      </w:pPr>
      <w:r w:rsidRPr="00F97CC3">
        <w:rPr>
          <w:szCs w:val="24"/>
        </w:rPr>
        <w:t xml:space="preserve">Email: </w:t>
      </w:r>
      <w:r w:rsidR="00372397" w:rsidRPr="00F97CC3">
        <w:rPr>
          <w:szCs w:val="24"/>
        </w:rPr>
        <w:t>ghall@wellesley.edu</w:t>
      </w:r>
    </w:p>
    <w:sectPr w:rsidR="00034683" w:rsidRPr="00F97CC3" w:rsidSect="0008603D">
      <w:pgSz w:w="12240" w:h="15840" w:code="1"/>
      <w:pgMar w:top="965" w:right="1440" w:bottom="1080" w:left="1440" w:header="274" w:footer="43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E9A" w:rsidRDefault="008E5E9A">
      <w:pPr>
        <w:spacing w:line="240" w:lineRule="auto"/>
      </w:pPr>
      <w:r>
        <w:separator/>
      </w:r>
    </w:p>
    <w:p w:rsidR="008E5E9A" w:rsidRDefault="008E5E9A"/>
  </w:endnote>
  <w:endnote w:type="continuationSeparator" w:id="0">
    <w:p w:rsidR="008E5E9A" w:rsidRDefault="008E5E9A">
      <w:pPr>
        <w:spacing w:line="240" w:lineRule="auto"/>
      </w:pPr>
      <w:r>
        <w:continuationSeparator/>
      </w:r>
    </w:p>
    <w:p w:rsidR="008E5E9A" w:rsidRDefault="008E5E9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LiSu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eefont-Regular">
    <w:altName w:val="Times New Roman"/>
    <w:charset w:val="00"/>
    <w:family w:val="auto"/>
    <w:pitch w:val="variable"/>
    <w:sig w:usb0="00000001" w:usb1="50000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efont-Bold">
    <w:altName w:val="Cambria"/>
    <w:charset w:val="00"/>
    <w:family w:val="auto"/>
    <w:pitch w:val="variable"/>
    <w:sig w:usb0="800002AF" w:usb1="5000004A" w:usb2="00000000" w:usb3="00000000" w:csb0="0000009F" w:csb1="00000000"/>
  </w:font>
  <w:font w:name="Reefont"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909" w:rsidRDefault="0088489A" w:rsidP="00AA1019">
    <w:pPr>
      <w:rPr>
        <w:rStyle w:val="PageNumber"/>
      </w:rPr>
    </w:pPr>
    <w:r>
      <w:rPr>
        <w:rStyle w:val="PageNumber"/>
      </w:rPr>
      <w:fldChar w:fldCharType="begin"/>
    </w:r>
    <w:r w:rsidR="001C49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909">
      <w:rPr>
        <w:rStyle w:val="PageNumber"/>
        <w:noProof/>
      </w:rPr>
      <w:t>6</w:t>
    </w:r>
    <w:r>
      <w:rPr>
        <w:rStyle w:val="PageNumber"/>
      </w:rPr>
      <w:fldChar w:fldCharType="end"/>
    </w:r>
  </w:p>
  <w:p w:rsidR="001C4909" w:rsidRDefault="001C4909" w:rsidP="00AA1019">
    <w:pPr>
      <w:rPr>
        <w:color w:val="auto"/>
      </w:rPr>
    </w:pPr>
    <w:r>
      <w:tab/>
    </w:r>
  </w:p>
  <w:p w:rsidR="001C4909" w:rsidRDefault="001C4909" w:rsidP="00AA101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1"/>
      <w:gridCol w:w="959"/>
    </w:tblGrid>
    <w:tr w:rsidR="001C4909" w:rsidTr="00117B15">
      <w:tc>
        <w:tcPr>
          <w:tcW w:w="4500" w:type="pct"/>
          <w:tcBorders>
            <w:top w:val="single" w:sz="4" w:space="0" w:color="000000" w:themeColor="text1"/>
          </w:tcBorders>
        </w:tcPr>
        <w:p w:rsidR="001C4909" w:rsidRPr="0044151A" w:rsidRDefault="001C4909" w:rsidP="00D54244">
          <w:pPr>
            <w:pStyle w:val="Footer"/>
            <w:jc w:val="center"/>
            <w:rPr>
              <w:color w:val="0B5294" w:themeColor="accent1" w:themeShade="BF"/>
              <w:sz w:val="22"/>
              <w:szCs w:val="22"/>
            </w:rPr>
          </w:pPr>
          <w:r>
            <w:rPr>
              <w:color w:val="auto"/>
              <w:sz w:val="22"/>
              <w:szCs w:val="22"/>
            </w:rPr>
            <w:t>Research Brief – 21</w:t>
          </w:r>
          <w:r w:rsidRPr="00B1228D">
            <w:rPr>
              <w:color w:val="auto"/>
              <w:sz w:val="22"/>
              <w:szCs w:val="22"/>
            </w:rPr>
            <w:t>st</w:t>
          </w:r>
          <w:r>
            <w:rPr>
              <w:color w:val="auto"/>
              <w:sz w:val="22"/>
              <w:szCs w:val="22"/>
            </w:rPr>
            <w:t xml:space="preserve"> CCLC Summer Enhancement Grant Programs</w:t>
          </w:r>
        </w:p>
      </w:tc>
      <w:tc>
        <w:tcPr>
          <w:tcW w:w="500" w:type="pct"/>
          <w:tcBorders>
            <w:top w:val="single" w:sz="4" w:space="0" w:color="009DD9" w:themeColor="accent2"/>
          </w:tcBorders>
          <w:shd w:val="clear" w:color="auto" w:fill="009BB1"/>
        </w:tcPr>
        <w:p w:rsidR="001C4909" w:rsidRDefault="0088489A">
          <w:pPr>
            <w:pStyle w:val="Header"/>
            <w:rPr>
              <w:color w:val="FFFFFF" w:themeColor="background1"/>
            </w:rPr>
          </w:pPr>
          <w:r w:rsidRPr="0088489A">
            <w:rPr>
              <w:color w:val="auto"/>
            </w:rPr>
            <w:fldChar w:fldCharType="begin"/>
          </w:r>
          <w:r w:rsidR="001C4909">
            <w:instrText xml:space="preserve"> PAGE   \* MERGEFORMAT </w:instrText>
          </w:r>
          <w:r w:rsidRPr="0088489A">
            <w:rPr>
              <w:color w:val="auto"/>
            </w:rPr>
            <w:fldChar w:fldCharType="separate"/>
          </w:r>
          <w:r w:rsidR="00E61684" w:rsidRPr="00E61684">
            <w:rPr>
              <w:noProof/>
              <w:color w:val="FFFFFF" w:themeColor="background1"/>
            </w:rPr>
            <w:t>11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1C4909" w:rsidRPr="00117B15" w:rsidRDefault="001C4909" w:rsidP="00117B15">
    <w:pPr>
      <w:pStyle w:val="Footer"/>
      <w:jc w:val="right"/>
      <w:rPr>
        <w:rFonts w:ascii="Arial" w:hAnsi="Arial" w:cs="Arial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E9A" w:rsidRDefault="008E5E9A">
      <w:pPr>
        <w:spacing w:line="240" w:lineRule="auto"/>
      </w:pPr>
      <w:r>
        <w:separator/>
      </w:r>
    </w:p>
    <w:p w:rsidR="008E5E9A" w:rsidRDefault="008E5E9A"/>
  </w:footnote>
  <w:footnote w:type="continuationSeparator" w:id="0">
    <w:p w:rsidR="008E5E9A" w:rsidRDefault="008E5E9A">
      <w:pPr>
        <w:spacing w:line="240" w:lineRule="auto"/>
      </w:pPr>
      <w:r>
        <w:continuationSeparator/>
      </w:r>
    </w:p>
    <w:p w:rsidR="008E5E9A" w:rsidRDefault="008E5E9A"/>
  </w:footnote>
  <w:footnote w:id="1">
    <w:p w:rsidR="002E5370" w:rsidRDefault="002E5370">
      <w:pPr>
        <w:pStyle w:val="FootnoteText"/>
      </w:pPr>
      <w:r>
        <w:rPr>
          <w:rStyle w:val="FootnoteReference"/>
        </w:rPr>
        <w:footnoteRef/>
      </w:r>
      <w:r>
        <w:t xml:space="preserve"> Summer learning loss data not available for all sites.</w:t>
      </w:r>
    </w:p>
  </w:footnote>
  <w:footnote w:id="2">
    <w:p w:rsidR="001C4909" w:rsidRPr="002323D5" w:rsidRDefault="001C4909" w:rsidP="002E5370">
      <w:r w:rsidRPr="003B7423">
        <w:rPr>
          <w:rStyle w:val="FootnoteReference"/>
        </w:rPr>
        <w:footnoteRef/>
      </w:r>
      <w:r w:rsidRPr="003B7423">
        <w:t xml:space="preserve"> </w:t>
      </w:r>
      <w:r w:rsidRPr="002323D5">
        <w:t xml:space="preserve">The </w:t>
      </w:r>
      <w:r w:rsidRPr="002323D5">
        <w:rPr>
          <w:rStyle w:val="Strong"/>
          <w:b w:val="0"/>
        </w:rPr>
        <w:t>Dynamic Indicators of Basic Early Literacy Skills (DIBELS)</w:t>
      </w:r>
      <w:r w:rsidRPr="002323D5">
        <w:t xml:space="preserve"> are a set of procedures and measures for assessing the acquisition of early literacy skills from kindergarten through sixth grade. They are designed to be short (</w:t>
      </w:r>
      <w:r w:rsidRPr="0037308A">
        <w:t>one</w:t>
      </w:r>
      <w:r w:rsidRPr="002323D5">
        <w:t xml:space="preserve"> minute) fluency measures used to regularly monitor the development of early literacy and early reading skills.</w:t>
      </w:r>
    </w:p>
  </w:footnote>
  <w:footnote w:id="3">
    <w:p w:rsidR="001C4909" w:rsidRPr="002323D5" w:rsidRDefault="001C4909" w:rsidP="002E5370">
      <w:pPr>
        <w:pStyle w:val="FootnoteText"/>
      </w:pPr>
      <w:r w:rsidRPr="002323D5">
        <w:rPr>
          <w:rStyle w:val="FootnoteReference"/>
        </w:rPr>
        <w:footnoteRef/>
      </w:r>
      <w:r w:rsidRPr="002323D5">
        <w:t xml:space="preserve"> </w:t>
      </w:r>
      <w:r w:rsidRPr="002323D5">
        <w:rPr>
          <w:rStyle w:val="Strong"/>
          <w:b w:val="0"/>
        </w:rPr>
        <w:t>AIMSweb</w:t>
      </w:r>
      <w:r w:rsidRPr="002323D5">
        <w:t xml:space="preserve"> is </w:t>
      </w:r>
      <w:r>
        <w:t xml:space="preserve">a </w:t>
      </w:r>
      <w:r w:rsidRPr="002323D5">
        <w:rPr>
          <w:rStyle w:val="Emphasis"/>
          <w:bCs/>
          <w:i w:val="0"/>
        </w:rPr>
        <w:t>general outcome measurement</w:t>
      </w:r>
      <w:r w:rsidRPr="002323D5">
        <w:rPr>
          <w:rStyle w:val="Emphasis"/>
        </w:rPr>
        <w:t xml:space="preserve">, </w:t>
      </w:r>
      <w:r w:rsidRPr="002323D5">
        <w:t xml:space="preserve">a form </w:t>
      </w:r>
      <w:r w:rsidRPr="002323D5">
        <w:rPr>
          <w:rStyle w:val="Emphasis"/>
          <w:i w:val="0"/>
        </w:rPr>
        <w:t>of</w:t>
      </w:r>
      <w:r w:rsidRPr="002323D5">
        <w:rPr>
          <w:rStyle w:val="Emphasis"/>
        </w:rPr>
        <w:t xml:space="preserve"> </w:t>
      </w:r>
      <w:r w:rsidRPr="002323D5">
        <w:rPr>
          <w:rStyle w:val="Strong"/>
          <w:rFonts w:eastAsia="ヒラギノ角ゴ Pro W3"/>
          <w:b w:val="0"/>
          <w:iCs/>
        </w:rPr>
        <w:t>curriculum-based measurement (CBM)</w:t>
      </w:r>
      <w:r w:rsidRPr="002323D5">
        <w:rPr>
          <w:b/>
        </w:rPr>
        <w:t>,</w:t>
      </w:r>
      <w:r w:rsidRPr="002323D5">
        <w:t xml:space="preserve"> used for universal screening and progress monitoring. This form of brief assessment measures overall performance of key foundati</w:t>
      </w:r>
      <w:r>
        <w:t>onal skills at each grade level.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909" w:rsidRDefault="0088489A" w:rsidP="00AA1019">
    <w:pPr>
      <w:rPr>
        <w:rStyle w:val="PageNumber"/>
      </w:rPr>
    </w:pPr>
    <w:r>
      <w:rPr>
        <w:rStyle w:val="PageNumber"/>
      </w:rPr>
      <w:fldChar w:fldCharType="begin"/>
    </w:r>
    <w:r w:rsidR="001C49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4909" w:rsidRDefault="001C4909" w:rsidP="00AA1019">
    <w:pPr>
      <w:rPr>
        <w:color w:val="auto"/>
      </w:rPr>
    </w:pPr>
    <w:r>
      <w:t xml:space="preserve">BOKS Binder: Block 1: </w:t>
    </w:r>
    <w:r>
      <w:rPr>
        <w:noProof/>
        <w:lang w:eastAsia="zh-CN" w:bidi="km-K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6510655</wp:posOffset>
          </wp:positionH>
          <wp:positionV relativeFrom="page">
            <wp:posOffset>530225</wp:posOffset>
          </wp:positionV>
          <wp:extent cx="322580" cy="203200"/>
          <wp:effectExtent l="0" t="0" r="127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Sample Curriculum</w:t>
    </w:r>
  </w:p>
  <w:p w:rsidR="001C4909" w:rsidRPr="00D85EC2" w:rsidRDefault="001C4909" w:rsidP="00AA101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909" w:rsidRDefault="001C4909" w:rsidP="004A3274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909" w:rsidRDefault="001C4909">
    <w:pPr>
      <w:pStyle w:val="Header"/>
    </w:pPr>
    <w:r>
      <w:rPr>
        <w:color w:val="auto"/>
      </w:rPr>
      <w:t>BOKS Block 1: Talking Points for School Outreach</w:t>
    </w:r>
  </w:p>
  <w:p w:rsidR="001C4909" w:rsidRDefault="001C49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6EAC"/>
    <w:multiLevelType w:val="hybridMultilevel"/>
    <w:tmpl w:val="2182CA12"/>
    <w:lvl w:ilvl="0" w:tplc="A9548F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6DE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04D3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3EC5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30D8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A84C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819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D6D6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66C8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BAA1C6B"/>
    <w:multiLevelType w:val="hybridMultilevel"/>
    <w:tmpl w:val="60481582"/>
    <w:lvl w:ilvl="0" w:tplc="9628F1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97464A"/>
    <w:multiLevelType w:val="hybridMultilevel"/>
    <w:tmpl w:val="85629B86"/>
    <w:lvl w:ilvl="0" w:tplc="D82E18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0099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74E7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C2F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C81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26A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CC73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5EC2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58F41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A921A1B"/>
    <w:multiLevelType w:val="hybridMultilevel"/>
    <w:tmpl w:val="896EA2FE"/>
    <w:lvl w:ilvl="0" w:tplc="76B0D5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087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DC3D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B492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61D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FE72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814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529D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85C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AC65C0E"/>
    <w:multiLevelType w:val="hybridMultilevel"/>
    <w:tmpl w:val="A6F6CDF2"/>
    <w:lvl w:ilvl="0" w:tplc="318C4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CA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8A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8A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56A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8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FC8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9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4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3724C8"/>
    <w:multiLevelType w:val="hybridMultilevel"/>
    <w:tmpl w:val="90708E22"/>
    <w:lvl w:ilvl="0" w:tplc="25F48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65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83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8D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D8A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2F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8F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02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3E8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4A20518"/>
    <w:multiLevelType w:val="hybridMultilevel"/>
    <w:tmpl w:val="330EF8CA"/>
    <w:lvl w:ilvl="0" w:tplc="65A4B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C59F3"/>
    <w:multiLevelType w:val="hybridMultilevel"/>
    <w:tmpl w:val="28F822CC"/>
    <w:lvl w:ilvl="0" w:tplc="4C804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65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EF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B81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8C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8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4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683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02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FD08AF"/>
    <w:multiLevelType w:val="hybridMultilevel"/>
    <w:tmpl w:val="B3A0A422"/>
    <w:lvl w:ilvl="0" w:tplc="DD3261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DDF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21BDA"/>
    <w:multiLevelType w:val="hybridMultilevel"/>
    <w:tmpl w:val="5B22A5B0"/>
    <w:lvl w:ilvl="0" w:tplc="155A8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23F05"/>
    <w:rsid w:val="00003FB6"/>
    <w:rsid w:val="0000641E"/>
    <w:rsid w:val="0000673D"/>
    <w:rsid w:val="00013B52"/>
    <w:rsid w:val="00033C2A"/>
    <w:rsid w:val="00034683"/>
    <w:rsid w:val="00037C74"/>
    <w:rsid w:val="00043F27"/>
    <w:rsid w:val="000466C0"/>
    <w:rsid w:val="000474AA"/>
    <w:rsid w:val="000762B1"/>
    <w:rsid w:val="00082862"/>
    <w:rsid w:val="0008603D"/>
    <w:rsid w:val="000B51CE"/>
    <w:rsid w:val="000B5963"/>
    <w:rsid w:val="000B6C92"/>
    <w:rsid w:val="000B7A39"/>
    <w:rsid w:val="000C0E87"/>
    <w:rsid w:val="000C24D4"/>
    <w:rsid w:val="000C3687"/>
    <w:rsid w:val="000C44DF"/>
    <w:rsid w:val="000C4CB8"/>
    <w:rsid w:val="000C5F44"/>
    <w:rsid w:val="000D1424"/>
    <w:rsid w:val="000D2CB8"/>
    <w:rsid w:val="000D6C9A"/>
    <w:rsid w:val="000D6DBB"/>
    <w:rsid w:val="000E7A22"/>
    <w:rsid w:val="000F1927"/>
    <w:rsid w:val="00111624"/>
    <w:rsid w:val="00116D9C"/>
    <w:rsid w:val="00117B15"/>
    <w:rsid w:val="00117C99"/>
    <w:rsid w:val="0012055C"/>
    <w:rsid w:val="00122924"/>
    <w:rsid w:val="001230E6"/>
    <w:rsid w:val="00126AC4"/>
    <w:rsid w:val="001351DF"/>
    <w:rsid w:val="00152E1D"/>
    <w:rsid w:val="00153021"/>
    <w:rsid w:val="00157239"/>
    <w:rsid w:val="00157619"/>
    <w:rsid w:val="001812DC"/>
    <w:rsid w:val="00190CD3"/>
    <w:rsid w:val="001917B8"/>
    <w:rsid w:val="001A02C7"/>
    <w:rsid w:val="001A116F"/>
    <w:rsid w:val="001A3429"/>
    <w:rsid w:val="001B2CEB"/>
    <w:rsid w:val="001B5946"/>
    <w:rsid w:val="001C0DDB"/>
    <w:rsid w:val="001C21CF"/>
    <w:rsid w:val="001C4684"/>
    <w:rsid w:val="001C4909"/>
    <w:rsid w:val="001C6A41"/>
    <w:rsid w:val="001D7EE0"/>
    <w:rsid w:val="001E5596"/>
    <w:rsid w:val="002056F7"/>
    <w:rsid w:val="002068E4"/>
    <w:rsid w:val="00210AB6"/>
    <w:rsid w:val="002273E9"/>
    <w:rsid w:val="00231E60"/>
    <w:rsid w:val="00236713"/>
    <w:rsid w:val="00246598"/>
    <w:rsid w:val="00247186"/>
    <w:rsid w:val="0025110D"/>
    <w:rsid w:val="00252C86"/>
    <w:rsid w:val="0025321B"/>
    <w:rsid w:val="0025786A"/>
    <w:rsid w:val="00262950"/>
    <w:rsid w:val="00262CCE"/>
    <w:rsid w:val="002630DF"/>
    <w:rsid w:val="00267ABD"/>
    <w:rsid w:val="00282D84"/>
    <w:rsid w:val="00290AD6"/>
    <w:rsid w:val="00292225"/>
    <w:rsid w:val="002A6E0D"/>
    <w:rsid w:val="002A7A11"/>
    <w:rsid w:val="002A7EC5"/>
    <w:rsid w:val="002B6FB7"/>
    <w:rsid w:val="002C013D"/>
    <w:rsid w:val="002C40E5"/>
    <w:rsid w:val="002D0A44"/>
    <w:rsid w:val="002D2C77"/>
    <w:rsid w:val="002D48CF"/>
    <w:rsid w:val="002D7CF8"/>
    <w:rsid w:val="002E2F02"/>
    <w:rsid w:val="002E5370"/>
    <w:rsid w:val="002F1B35"/>
    <w:rsid w:val="00316F69"/>
    <w:rsid w:val="00345095"/>
    <w:rsid w:val="003525B3"/>
    <w:rsid w:val="003679D9"/>
    <w:rsid w:val="00372397"/>
    <w:rsid w:val="0037308A"/>
    <w:rsid w:val="00373F61"/>
    <w:rsid w:val="0038175D"/>
    <w:rsid w:val="00387F0D"/>
    <w:rsid w:val="003974F5"/>
    <w:rsid w:val="003A369D"/>
    <w:rsid w:val="003B6DF0"/>
    <w:rsid w:val="003C5B91"/>
    <w:rsid w:val="003D4299"/>
    <w:rsid w:val="003E23BB"/>
    <w:rsid w:val="003E35A6"/>
    <w:rsid w:val="003E6833"/>
    <w:rsid w:val="003F58CD"/>
    <w:rsid w:val="003F7028"/>
    <w:rsid w:val="00416AC1"/>
    <w:rsid w:val="00422393"/>
    <w:rsid w:val="00424CF6"/>
    <w:rsid w:val="0044151A"/>
    <w:rsid w:val="00442DCA"/>
    <w:rsid w:val="004457CA"/>
    <w:rsid w:val="00451CE6"/>
    <w:rsid w:val="00453409"/>
    <w:rsid w:val="00455A88"/>
    <w:rsid w:val="004566DF"/>
    <w:rsid w:val="00456FA0"/>
    <w:rsid w:val="00470501"/>
    <w:rsid w:val="004A0503"/>
    <w:rsid w:val="004A3274"/>
    <w:rsid w:val="004C6A86"/>
    <w:rsid w:val="004D70F2"/>
    <w:rsid w:val="004F48B6"/>
    <w:rsid w:val="00502E9A"/>
    <w:rsid w:val="0050795C"/>
    <w:rsid w:val="00510D2D"/>
    <w:rsid w:val="00511134"/>
    <w:rsid w:val="0051385C"/>
    <w:rsid w:val="00521BD1"/>
    <w:rsid w:val="005808F8"/>
    <w:rsid w:val="0059124B"/>
    <w:rsid w:val="005A2D38"/>
    <w:rsid w:val="005A4C56"/>
    <w:rsid w:val="005A69DA"/>
    <w:rsid w:val="005C2E8B"/>
    <w:rsid w:val="005D7D82"/>
    <w:rsid w:val="005E122F"/>
    <w:rsid w:val="005E3A8F"/>
    <w:rsid w:val="005F699C"/>
    <w:rsid w:val="00615BE6"/>
    <w:rsid w:val="00623F05"/>
    <w:rsid w:val="00630C92"/>
    <w:rsid w:val="00635C2F"/>
    <w:rsid w:val="006466D8"/>
    <w:rsid w:val="0065545D"/>
    <w:rsid w:val="00662850"/>
    <w:rsid w:val="00663C3D"/>
    <w:rsid w:val="006811FC"/>
    <w:rsid w:val="006943D7"/>
    <w:rsid w:val="006A1E54"/>
    <w:rsid w:val="006A20F4"/>
    <w:rsid w:val="006A2BB1"/>
    <w:rsid w:val="006A576E"/>
    <w:rsid w:val="006A5C20"/>
    <w:rsid w:val="006A6288"/>
    <w:rsid w:val="006B35E8"/>
    <w:rsid w:val="006E0751"/>
    <w:rsid w:val="006E2501"/>
    <w:rsid w:val="006E3084"/>
    <w:rsid w:val="00731BC6"/>
    <w:rsid w:val="00731D20"/>
    <w:rsid w:val="007378E7"/>
    <w:rsid w:val="00747133"/>
    <w:rsid w:val="007521ED"/>
    <w:rsid w:val="0075231E"/>
    <w:rsid w:val="00752C78"/>
    <w:rsid w:val="00754320"/>
    <w:rsid w:val="00755F1D"/>
    <w:rsid w:val="00761140"/>
    <w:rsid w:val="007659C3"/>
    <w:rsid w:val="007726BE"/>
    <w:rsid w:val="00780B26"/>
    <w:rsid w:val="007A542B"/>
    <w:rsid w:val="007A75A0"/>
    <w:rsid w:val="007B72BA"/>
    <w:rsid w:val="007C010E"/>
    <w:rsid w:val="007C0DA7"/>
    <w:rsid w:val="007D4482"/>
    <w:rsid w:val="007E3E83"/>
    <w:rsid w:val="00800449"/>
    <w:rsid w:val="0081349E"/>
    <w:rsid w:val="008169BB"/>
    <w:rsid w:val="00817935"/>
    <w:rsid w:val="00823964"/>
    <w:rsid w:val="008253D5"/>
    <w:rsid w:val="008469E3"/>
    <w:rsid w:val="00850B56"/>
    <w:rsid w:val="008561A0"/>
    <w:rsid w:val="0086083F"/>
    <w:rsid w:val="00866E0C"/>
    <w:rsid w:val="00873E79"/>
    <w:rsid w:val="0088489A"/>
    <w:rsid w:val="0088524D"/>
    <w:rsid w:val="00895F0B"/>
    <w:rsid w:val="008A0C07"/>
    <w:rsid w:val="008C490F"/>
    <w:rsid w:val="008D60F4"/>
    <w:rsid w:val="008D73BD"/>
    <w:rsid w:val="008E5E9A"/>
    <w:rsid w:val="00900E47"/>
    <w:rsid w:val="00914D17"/>
    <w:rsid w:val="00920CEF"/>
    <w:rsid w:val="00923198"/>
    <w:rsid w:val="00927E04"/>
    <w:rsid w:val="00927F19"/>
    <w:rsid w:val="009306A3"/>
    <w:rsid w:val="00930D8F"/>
    <w:rsid w:val="00940673"/>
    <w:rsid w:val="0094261C"/>
    <w:rsid w:val="00942A02"/>
    <w:rsid w:val="0095074F"/>
    <w:rsid w:val="00951D64"/>
    <w:rsid w:val="009526C9"/>
    <w:rsid w:val="00981D1F"/>
    <w:rsid w:val="00986DCD"/>
    <w:rsid w:val="00992EB8"/>
    <w:rsid w:val="009952D8"/>
    <w:rsid w:val="00997AB9"/>
    <w:rsid w:val="009F0EB7"/>
    <w:rsid w:val="00A01B9F"/>
    <w:rsid w:val="00A241D5"/>
    <w:rsid w:val="00A30A9A"/>
    <w:rsid w:val="00A35682"/>
    <w:rsid w:val="00A47FF4"/>
    <w:rsid w:val="00A51350"/>
    <w:rsid w:val="00A533DE"/>
    <w:rsid w:val="00A56298"/>
    <w:rsid w:val="00A64045"/>
    <w:rsid w:val="00A731E4"/>
    <w:rsid w:val="00A74010"/>
    <w:rsid w:val="00A74FB4"/>
    <w:rsid w:val="00A94C8E"/>
    <w:rsid w:val="00A9654D"/>
    <w:rsid w:val="00AA1019"/>
    <w:rsid w:val="00AA5345"/>
    <w:rsid w:val="00AA6540"/>
    <w:rsid w:val="00AB309C"/>
    <w:rsid w:val="00AB5956"/>
    <w:rsid w:val="00AC108F"/>
    <w:rsid w:val="00AD0D1C"/>
    <w:rsid w:val="00AD0F3C"/>
    <w:rsid w:val="00AF243D"/>
    <w:rsid w:val="00AF3D14"/>
    <w:rsid w:val="00AF7509"/>
    <w:rsid w:val="00AF7D5E"/>
    <w:rsid w:val="00B04C18"/>
    <w:rsid w:val="00B05326"/>
    <w:rsid w:val="00B1228D"/>
    <w:rsid w:val="00B17F9A"/>
    <w:rsid w:val="00B24B46"/>
    <w:rsid w:val="00B25B67"/>
    <w:rsid w:val="00B2706F"/>
    <w:rsid w:val="00B345E7"/>
    <w:rsid w:val="00B53E70"/>
    <w:rsid w:val="00B54E79"/>
    <w:rsid w:val="00B5783B"/>
    <w:rsid w:val="00B651A5"/>
    <w:rsid w:val="00B70BC6"/>
    <w:rsid w:val="00B70F46"/>
    <w:rsid w:val="00B722E8"/>
    <w:rsid w:val="00B729E5"/>
    <w:rsid w:val="00B7538A"/>
    <w:rsid w:val="00B76819"/>
    <w:rsid w:val="00B77716"/>
    <w:rsid w:val="00B812CC"/>
    <w:rsid w:val="00B90DC3"/>
    <w:rsid w:val="00B958A1"/>
    <w:rsid w:val="00B971EA"/>
    <w:rsid w:val="00BB3C97"/>
    <w:rsid w:val="00BC4DF9"/>
    <w:rsid w:val="00BE03C7"/>
    <w:rsid w:val="00BE43E6"/>
    <w:rsid w:val="00BF1146"/>
    <w:rsid w:val="00BF466D"/>
    <w:rsid w:val="00C04720"/>
    <w:rsid w:val="00C07766"/>
    <w:rsid w:val="00C1319A"/>
    <w:rsid w:val="00C171F8"/>
    <w:rsid w:val="00C20CDD"/>
    <w:rsid w:val="00C21F1D"/>
    <w:rsid w:val="00C234FF"/>
    <w:rsid w:val="00C23A34"/>
    <w:rsid w:val="00C349FA"/>
    <w:rsid w:val="00C57A33"/>
    <w:rsid w:val="00C71649"/>
    <w:rsid w:val="00C72BD4"/>
    <w:rsid w:val="00C72F4C"/>
    <w:rsid w:val="00C80B02"/>
    <w:rsid w:val="00C84CF0"/>
    <w:rsid w:val="00CA09F9"/>
    <w:rsid w:val="00CA1997"/>
    <w:rsid w:val="00CA7EC9"/>
    <w:rsid w:val="00CB0935"/>
    <w:rsid w:val="00CD3993"/>
    <w:rsid w:val="00CD44A1"/>
    <w:rsid w:val="00CD52E6"/>
    <w:rsid w:val="00CD7BD8"/>
    <w:rsid w:val="00CE3A06"/>
    <w:rsid w:val="00CE5E3E"/>
    <w:rsid w:val="00CF0BDA"/>
    <w:rsid w:val="00CF6CD7"/>
    <w:rsid w:val="00D01E43"/>
    <w:rsid w:val="00D02BA6"/>
    <w:rsid w:val="00D13BCA"/>
    <w:rsid w:val="00D22C0B"/>
    <w:rsid w:val="00D26E37"/>
    <w:rsid w:val="00D43AAA"/>
    <w:rsid w:val="00D45E46"/>
    <w:rsid w:val="00D46623"/>
    <w:rsid w:val="00D52CF8"/>
    <w:rsid w:val="00D541D5"/>
    <w:rsid w:val="00D54244"/>
    <w:rsid w:val="00D55A1D"/>
    <w:rsid w:val="00D5665C"/>
    <w:rsid w:val="00D646C3"/>
    <w:rsid w:val="00D71805"/>
    <w:rsid w:val="00D8307D"/>
    <w:rsid w:val="00D848EC"/>
    <w:rsid w:val="00D84B4A"/>
    <w:rsid w:val="00D851F7"/>
    <w:rsid w:val="00D96472"/>
    <w:rsid w:val="00DB14FD"/>
    <w:rsid w:val="00DC07B8"/>
    <w:rsid w:val="00DC22B6"/>
    <w:rsid w:val="00DC58C7"/>
    <w:rsid w:val="00DC75FD"/>
    <w:rsid w:val="00DD2B3D"/>
    <w:rsid w:val="00DD4D37"/>
    <w:rsid w:val="00DE5089"/>
    <w:rsid w:val="00E07D7D"/>
    <w:rsid w:val="00E136FC"/>
    <w:rsid w:val="00E222BD"/>
    <w:rsid w:val="00E34721"/>
    <w:rsid w:val="00E5565C"/>
    <w:rsid w:val="00E61684"/>
    <w:rsid w:val="00E61ECD"/>
    <w:rsid w:val="00E6250A"/>
    <w:rsid w:val="00E63813"/>
    <w:rsid w:val="00E64F9F"/>
    <w:rsid w:val="00E6580C"/>
    <w:rsid w:val="00E66808"/>
    <w:rsid w:val="00E71D01"/>
    <w:rsid w:val="00E72E1D"/>
    <w:rsid w:val="00E73810"/>
    <w:rsid w:val="00E74B1E"/>
    <w:rsid w:val="00E81D2E"/>
    <w:rsid w:val="00E85CA0"/>
    <w:rsid w:val="00E86DF2"/>
    <w:rsid w:val="00EB2536"/>
    <w:rsid w:val="00EB7104"/>
    <w:rsid w:val="00EC65D7"/>
    <w:rsid w:val="00EE5112"/>
    <w:rsid w:val="00EE7E97"/>
    <w:rsid w:val="00EF49B0"/>
    <w:rsid w:val="00F269DE"/>
    <w:rsid w:val="00F310A1"/>
    <w:rsid w:val="00F34BDC"/>
    <w:rsid w:val="00F35B41"/>
    <w:rsid w:val="00F4558D"/>
    <w:rsid w:val="00F549CB"/>
    <w:rsid w:val="00F9479D"/>
    <w:rsid w:val="00F97CC3"/>
    <w:rsid w:val="00FB2542"/>
    <w:rsid w:val="00FB6E90"/>
    <w:rsid w:val="00FC3B82"/>
    <w:rsid w:val="00FC66DB"/>
    <w:rsid w:val="00FD2E6D"/>
    <w:rsid w:val="00FF29FA"/>
    <w:rsid w:val="00FF51B2"/>
    <w:rsid w:val="00FF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qFormat="1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B0"/>
    <w:pPr>
      <w:spacing w:after="0" w:line="216" w:lineRule="auto"/>
    </w:pPr>
    <w:rPr>
      <w:rFonts w:ascii="Times New Roman" w:eastAsia="Times New Roman" w:hAnsi="Times New Roman" w:cs="Times New Roman"/>
      <w:color w:val="2A2F30"/>
      <w:sz w:val="24"/>
      <w:szCs w:val="20"/>
    </w:rPr>
  </w:style>
  <w:style w:type="paragraph" w:styleId="Heading1">
    <w:name w:val="heading 1"/>
    <w:next w:val="Normal"/>
    <w:link w:val="Heading1Char"/>
    <w:qFormat/>
    <w:rsid w:val="003D4299"/>
    <w:pPr>
      <w:keepNext/>
      <w:spacing w:after="0" w:line="180" w:lineRule="auto"/>
      <w:outlineLvl w:val="0"/>
    </w:pPr>
    <w:rPr>
      <w:rFonts w:ascii="Times New Roman" w:eastAsia="ヒラギノ角ゴ Pro W3" w:hAnsi="Times New Roman" w:cs="Arial"/>
      <w:color w:val="0F6FC6" w:themeColor="accent1"/>
      <w:sz w:val="32"/>
      <w:szCs w:val="9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299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0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4299"/>
    <w:rPr>
      <w:rFonts w:ascii="Times New Roman" w:eastAsia="ヒラギノ角ゴ Pro W3" w:hAnsi="Times New Roman" w:cs="Arial"/>
      <w:color w:val="0F6FC6" w:themeColor="accent1"/>
      <w:sz w:val="32"/>
      <w:szCs w:val="90"/>
    </w:rPr>
  </w:style>
  <w:style w:type="paragraph" w:styleId="Header">
    <w:name w:val="header"/>
    <w:basedOn w:val="Normal"/>
    <w:link w:val="HeaderChar"/>
    <w:uiPriority w:val="99"/>
    <w:rsid w:val="00623F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05"/>
    <w:rPr>
      <w:rFonts w:ascii="Reefont-Regular" w:eastAsia="Times New Roman" w:hAnsi="Reefont-Regular" w:cs="Times New Roman"/>
      <w:color w:val="2A2F30"/>
      <w:sz w:val="20"/>
      <w:szCs w:val="20"/>
    </w:rPr>
  </w:style>
  <w:style w:type="paragraph" w:styleId="Footer">
    <w:name w:val="footer"/>
    <w:basedOn w:val="Normal"/>
    <w:link w:val="FooterChar"/>
    <w:uiPriority w:val="99"/>
    <w:qFormat/>
    <w:rsid w:val="00623F05"/>
    <w:rPr>
      <w:color w:val="A2A6A9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3F05"/>
    <w:rPr>
      <w:rFonts w:ascii="Reefont-Regular" w:eastAsia="Times New Roman" w:hAnsi="Reefont-Regular" w:cs="Times New Roman"/>
      <w:color w:val="A2A6A9"/>
      <w:sz w:val="18"/>
      <w:szCs w:val="20"/>
    </w:rPr>
  </w:style>
  <w:style w:type="character" w:styleId="PageNumber">
    <w:name w:val="page number"/>
    <w:basedOn w:val="DefaultParagraphFont"/>
    <w:rsid w:val="00623F05"/>
  </w:style>
  <w:style w:type="character" w:styleId="Hyperlink">
    <w:name w:val="Hyperlink"/>
    <w:uiPriority w:val="99"/>
    <w:qFormat/>
    <w:rsid w:val="00623F05"/>
    <w:rPr>
      <w:color w:val="808080"/>
      <w:u w:val="single"/>
    </w:rPr>
  </w:style>
  <w:style w:type="paragraph" w:customStyle="1" w:styleId="Header-BOKS">
    <w:name w:val="Header - BOKS"/>
    <w:basedOn w:val="Footer"/>
    <w:qFormat/>
    <w:rsid w:val="00623F05"/>
  </w:style>
  <w:style w:type="paragraph" w:styleId="NormalWeb">
    <w:name w:val="Normal (Web)"/>
    <w:basedOn w:val="Normal"/>
    <w:uiPriority w:val="99"/>
    <w:unhideWhenUsed/>
    <w:rsid w:val="00623F05"/>
    <w:pPr>
      <w:spacing w:before="60" w:after="60" w:line="240" w:lineRule="auto"/>
      <w:ind w:left="60" w:right="60"/>
    </w:pPr>
    <w:rPr>
      <w:color w:val="auto"/>
      <w:szCs w:val="24"/>
    </w:rPr>
  </w:style>
  <w:style w:type="character" w:customStyle="1" w:styleId="pageurl">
    <w:name w:val="pageurl"/>
    <w:rsid w:val="00623F05"/>
  </w:style>
  <w:style w:type="paragraph" w:styleId="BalloonText">
    <w:name w:val="Balloon Text"/>
    <w:basedOn w:val="Normal"/>
    <w:link w:val="BalloonTextChar"/>
    <w:uiPriority w:val="99"/>
    <w:semiHidden/>
    <w:unhideWhenUsed/>
    <w:rsid w:val="00623F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F05"/>
    <w:rPr>
      <w:rFonts w:ascii="Tahoma" w:eastAsia="Times New Roman" w:hAnsi="Tahoma" w:cs="Tahoma"/>
      <w:color w:val="2A2F30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754320"/>
    <w:rPr>
      <w:b/>
      <w:bCs/>
      <w:smallCaps/>
      <w:color w:val="009DD9" w:themeColor="accent2"/>
      <w:spacing w:val="5"/>
      <w:u w:val="single"/>
    </w:rPr>
  </w:style>
  <w:style w:type="paragraph" w:customStyle="1" w:styleId="HeadingRed">
    <w:name w:val="Heading Red"/>
    <w:qFormat/>
    <w:rsid w:val="00754320"/>
    <w:pPr>
      <w:spacing w:before="200" w:after="80" w:line="240" w:lineRule="auto"/>
    </w:pPr>
    <w:rPr>
      <w:rFonts w:ascii="Arial" w:eastAsia="Times New Roman" w:hAnsi="Arial" w:cs="Times New Roman"/>
      <w:b/>
      <w:color w:val="D43720"/>
    </w:rPr>
  </w:style>
  <w:style w:type="paragraph" w:customStyle="1" w:styleId="HeadingOrange">
    <w:name w:val="Heading Orange"/>
    <w:qFormat/>
    <w:rsid w:val="00B729E5"/>
    <w:pPr>
      <w:spacing w:before="200" w:after="80" w:line="216" w:lineRule="auto"/>
    </w:pPr>
    <w:rPr>
      <w:rFonts w:ascii="Reefont-Bold" w:eastAsia="Times New Roman" w:hAnsi="Reefont-Bold" w:cs="Times New Roman"/>
      <w:color w:val="D43720"/>
    </w:rPr>
  </w:style>
  <w:style w:type="character" w:styleId="CommentReference">
    <w:name w:val="annotation reference"/>
    <w:rsid w:val="004C6A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6A86"/>
    <w:pPr>
      <w:widowControl w:val="0"/>
      <w:suppressAutoHyphens/>
      <w:spacing w:line="240" w:lineRule="auto"/>
    </w:pPr>
    <w:rPr>
      <w:rFonts w:ascii="Arial" w:hAnsi="Arial"/>
      <w:color w:val="auto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4C6A86"/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4C6A86"/>
  </w:style>
  <w:style w:type="character" w:styleId="Emphasis">
    <w:name w:val="Emphasis"/>
    <w:uiPriority w:val="20"/>
    <w:qFormat/>
    <w:rsid w:val="004C6A86"/>
    <w:rPr>
      <w:i/>
      <w:iCs/>
    </w:rPr>
  </w:style>
  <w:style w:type="character" w:customStyle="1" w:styleId="A4">
    <w:name w:val="A4"/>
    <w:uiPriority w:val="99"/>
    <w:rsid w:val="004C6A86"/>
    <w:rPr>
      <w:rFonts w:cs="Reefont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456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521ED"/>
    <w:pPr>
      <w:spacing w:line="240" w:lineRule="auto"/>
    </w:pPr>
    <w:rPr>
      <w:rFonts w:ascii="Courier New" w:eastAsiaTheme="minorHAnsi" w:hAnsi="Courier New" w:cs="Courier New"/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21ED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E508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E5089"/>
    <w:rPr>
      <w:rFonts w:ascii="Reefont-Regular" w:eastAsia="Times New Roman" w:hAnsi="Reefont-Regular" w:cs="Times New Roman"/>
      <w:color w:val="2A2F3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089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034683"/>
    <w:pPr>
      <w:spacing w:after="200" w:line="276" w:lineRule="auto"/>
    </w:pPr>
    <w:rPr>
      <w:rFonts w:cs="Calibri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D4299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customStyle="1" w:styleId="DecimalAligned">
    <w:name w:val="Decimal Aligned"/>
    <w:basedOn w:val="Normal"/>
    <w:uiPriority w:val="40"/>
    <w:qFormat/>
    <w:rsid w:val="002A6E0D"/>
    <w:pPr>
      <w:tabs>
        <w:tab w:val="decimal" w:pos="360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2A6E0D"/>
    <w:rPr>
      <w:rFonts w:eastAsia="Times New Roman" w:cs="Times New Roman"/>
      <w:bCs w:val="0"/>
      <w:i/>
      <w:iCs/>
      <w:color w:val="808080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45D"/>
    <w:pPr>
      <w:widowControl/>
      <w:suppressAutoHyphens w:val="0"/>
    </w:pPr>
    <w:rPr>
      <w:rFonts w:ascii="Reefont-Regular" w:hAnsi="Reefont-Regular"/>
      <w:b/>
      <w:bCs/>
      <w:color w:val="2A2F3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45D"/>
    <w:rPr>
      <w:rFonts w:ascii="Reefont-Regular" w:eastAsia="Times New Roman" w:hAnsi="Reefont-Regular" w:cs="Times New Roman"/>
      <w:b/>
      <w:bCs/>
      <w:color w:val="2A2F30"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021"/>
    <w:rPr>
      <w:rFonts w:asciiTheme="majorHAnsi" w:eastAsiaTheme="majorEastAsia" w:hAnsiTheme="majorHAnsi" w:cstheme="majorBidi"/>
      <w:b/>
      <w:bCs/>
      <w:color w:val="0F6FC6" w:themeColor="accent1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808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16D9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49B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EF49B0"/>
    <w:pPr>
      <w:spacing w:after="100"/>
      <w:ind w:left="240"/>
    </w:pPr>
  </w:style>
  <w:style w:type="paragraph" w:styleId="Revision">
    <w:name w:val="Revision"/>
    <w:hidden/>
    <w:uiPriority w:val="99"/>
    <w:semiHidden/>
    <w:rsid w:val="00EC65D7"/>
    <w:pPr>
      <w:spacing w:after="0" w:line="240" w:lineRule="auto"/>
    </w:pPr>
    <w:rPr>
      <w:rFonts w:ascii="Times New Roman" w:eastAsia="Times New Roman" w:hAnsi="Times New Roman" w:cs="Times New Roman"/>
      <w:color w:val="2A2F3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qFormat="1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B0"/>
    <w:pPr>
      <w:spacing w:after="0" w:line="216" w:lineRule="auto"/>
    </w:pPr>
    <w:rPr>
      <w:rFonts w:ascii="Times New Roman" w:eastAsia="Times New Roman" w:hAnsi="Times New Roman" w:cs="Times New Roman"/>
      <w:color w:val="2A2F30"/>
      <w:sz w:val="24"/>
      <w:szCs w:val="20"/>
    </w:rPr>
  </w:style>
  <w:style w:type="paragraph" w:styleId="Heading1">
    <w:name w:val="heading 1"/>
    <w:next w:val="Normal"/>
    <w:link w:val="Heading1Char"/>
    <w:qFormat/>
    <w:rsid w:val="003D4299"/>
    <w:pPr>
      <w:keepNext/>
      <w:spacing w:after="0" w:line="180" w:lineRule="auto"/>
      <w:outlineLvl w:val="0"/>
    </w:pPr>
    <w:rPr>
      <w:rFonts w:ascii="Times New Roman" w:eastAsia="ヒラギノ角ゴ Pro W3" w:hAnsi="Times New Roman" w:cs="Arial"/>
      <w:color w:val="0F6FC6" w:themeColor="accent1"/>
      <w:sz w:val="32"/>
      <w:szCs w:val="9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299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0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4299"/>
    <w:rPr>
      <w:rFonts w:ascii="Times New Roman" w:eastAsia="ヒラギノ角ゴ Pro W3" w:hAnsi="Times New Roman" w:cs="Arial"/>
      <w:color w:val="0F6FC6" w:themeColor="accent1"/>
      <w:sz w:val="32"/>
      <w:szCs w:val="90"/>
    </w:rPr>
  </w:style>
  <w:style w:type="paragraph" w:styleId="Header">
    <w:name w:val="header"/>
    <w:basedOn w:val="Normal"/>
    <w:link w:val="HeaderChar"/>
    <w:uiPriority w:val="99"/>
    <w:rsid w:val="00623F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05"/>
    <w:rPr>
      <w:rFonts w:ascii="Reefont-Regular" w:eastAsia="Times New Roman" w:hAnsi="Reefont-Regular" w:cs="Times New Roman"/>
      <w:color w:val="2A2F30"/>
      <w:sz w:val="20"/>
      <w:szCs w:val="20"/>
    </w:rPr>
  </w:style>
  <w:style w:type="paragraph" w:styleId="Footer">
    <w:name w:val="footer"/>
    <w:basedOn w:val="Normal"/>
    <w:link w:val="FooterChar"/>
    <w:uiPriority w:val="99"/>
    <w:qFormat/>
    <w:rsid w:val="00623F05"/>
    <w:rPr>
      <w:color w:val="A2A6A9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3F05"/>
    <w:rPr>
      <w:rFonts w:ascii="Reefont-Regular" w:eastAsia="Times New Roman" w:hAnsi="Reefont-Regular" w:cs="Times New Roman"/>
      <w:color w:val="A2A6A9"/>
      <w:sz w:val="18"/>
      <w:szCs w:val="20"/>
    </w:rPr>
  </w:style>
  <w:style w:type="character" w:styleId="PageNumber">
    <w:name w:val="page number"/>
    <w:basedOn w:val="DefaultParagraphFont"/>
    <w:rsid w:val="00623F05"/>
  </w:style>
  <w:style w:type="character" w:styleId="Hyperlink">
    <w:name w:val="Hyperlink"/>
    <w:uiPriority w:val="99"/>
    <w:qFormat/>
    <w:rsid w:val="00623F05"/>
    <w:rPr>
      <w:color w:val="808080"/>
      <w:u w:val="single"/>
    </w:rPr>
  </w:style>
  <w:style w:type="paragraph" w:customStyle="1" w:styleId="Header-BOKS">
    <w:name w:val="Header - BOKS"/>
    <w:basedOn w:val="Footer"/>
    <w:qFormat/>
    <w:rsid w:val="00623F05"/>
  </w:style>
  <w:style w:type="paragraph" w:styleId="NormalWeb">
    <w:name w:val="Normal (Web)"/>
    <w:basedOn w:val="Normal"/>
    <w:uiPriority w:val="99"/>
    <w:unhideWhenUsed/>
    <w:rsid w:val="00623F05"/>
    <w:pPr>
      <w:spacing w:before="60" w:after="60" w:line="240" w:lineRule="auto"/>
      <w:ind w:left="60" w:right="60"/>
    </w:pPr>
    <w:rPr>
      <w:color w:val="auto"/>
      <w:szCs w:val="24"/>
    </w:rPr>
  </w:style>
  <w:style w:type="character" w:customStyle="1" w:styleId="pageurl">
    <w:name w:val="pageurl"/>
    <w:rsid w:val="00623F05"/>
  </w:style>
  <w:style w:type="paragraph" w:styleId="BalloonText">
    <w:name w:val="Balloon Text"/>
    <w:basedOn w:val="Normal"/>
    <w:link w:val="BalloonTextChar"/>
    <w:uiPriority w:val="99"/>
    <w:semiHidden/>
    <w:unhideWhenUsed/>
    <w:rsid w:val="00623F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F05"/>
    <w:rPr>
      <w:rFonts w:ascii="Tahoma" w:eastAsia="Times New Roman" w:hAnsi="Tahoma" w:cs="Tahoma"/>
      <w:color w:val="2A2F30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754320"/>
    <w:rPr>
      <w:b/>
      <w:bCs/>
      <w:smallCaps/>
      <w:color w:val="009DD9" w:themeColor="accent2"/>
      <w:spacing w:val="5"/>
      <w:u w:val="single"/>
    </w:rPr>
  </w:style>
  <w:style w:type="paragraph" w:customStyle="1" w:styleId="HeadingRed">
    <w:name w:val="Heading Red"/>
    <w:qFormat/>
    <w:rsid w:val="00754320"/>
    <w:pPr>
      <w:spacing w:before="200" w:after="80" w:line="240" w:lineRule="auto"/>
    </w:pPr>
    <w:rPr>
      <w:rFonts w:ascii="Arial" w:eastAsia="Times New Roman" w:hAnsi="Arial" w:cs="Times New Roman"/>
      <w:b/>
      <w:color w:val="D43720"/>
    </w:rPr>
  </w:style>
  <w:style w:type="paragraph" w:customStyle="1" w:styleId="HeadingOrange">
    <w:name w:val="Heading Orange"/>
    <w:qFormat/>
    <w:rsid w:val="00B729E5"/>
    <w:pPr>
      <w:spacing w:before="200" w:after="80" w:line="216" w:lineRule="auto"/>
    </w:pPr>
    <w:rPr>
      <w:rFonts w:ascii="Reefont-Bold" w:eastAsia="Times New Roman" w:hAnsi="Reefont-Bold" w:cs="Times New Roman"/>
      <w:color w:val="D43720"/>
    </w:rPr>
  </w:style>
  <w:style w:type="character" w:styleId="CommentReference">
    <w:name w:val="annotation reference"/>
    <w:rsid w:val="004C6A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6A86"/>
    <w:pPr>
      <w:widowControl w:val="0"/>
      <w:suppressAutoHyphens/>
      <w:spacing w:line="240" w:lineRule="auto"/>
    </w:pPr>
    <w:rPr>
      <w:rFonts w:ascii="Arial" w:hAnsi="Arial"/>
      <w:color w:val="auto"/>
      <w:lang w:val="x-none" w:eastAsia="zh-CN"/>
    </w:rPr>
  </w:style>
  <w:style w:type="character" w:customStyle="1" w:styleId="CommentTextChar">
    <w:name w:val="Comment Text Char"/>
    <w:basedOn w:val="DefaultParagraphFont"/>
    <w:link w:val="CommentText"/>
    <w:rsid w:val="004C6A86"/>
    <w:rPr>
      <w:rFonts w:ascii="Arial" w:eastAsia="Times New Roman" w:hAnsi="Arial" w:cs="Times New Roman"/>
      <w:sz w:val="20"/>
      <w:szCs w:val="20"/>
      <w:lang w:val="x-none" w:eastAsia="zh-CN"/>
    </w:rPr>
  </w:style>
  <w:style w:type="character" w:customStyle="1" w:styleId="apple-converted-space">
    <w:name w:val="apple-converted-space"/>
    <w:basedOn w:val="DefaultParagraphFont"/>
    <w:rsid w:val="004C6A86"/>
  </w:style>
  <w:style w:type="character" w:styleId="Emphasis">
    <w:name w:val="Emphasis"/>
    <w:uiPriority w:val="20"/>
    <w:qFormat/>
    <w:rsid w:val="004C6A86"/>
    <w:rPr>
      <w:i/>
      <w:iCs/>
    </w:rPr>
  </w:style>
  <w:style w:type="character" w:customStyle="1" w:styleId="A4">
    <w:name w:val="A4"/>
    <w:uiPriority w:val="99"/>
    <w:rsid w:val="004C6A86"/>
    <w:rPr>
      <w:rFonts w:cs="Reefont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456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521ED"/>
    <w:pPr>
      <w:spacing w:line="240" w:lineRule="auto"/>
    </w:pPr>
    <w:rPr>
      <w:rFonts w:ascii="Courier New" w:eastAsiaTheme="minorHAnsi" w:hAnsi="Courier New" w:cs="Courier New"/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21ED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E508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E5089"/>
    <w:rPr>
      <w:rFonts w:ascii="Reefont-Regular" w:eastAsia="Times New Roman" w:hAnsi="Reefont-Regular" w:cs="Times New Roman"/>
      <w:color w:val="2A2F3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089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034683"/>
    <w:pPr>
      <w:spacing w:after="200" w:line="276" w:lineRule="auto"/>
    </w:pPr>
    <w:rPr>
      <w:rFonts w:cs="Calibri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D4299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customStyle="1" w:styleId="DecimalAligned">
    <w:name w:val="Decimal Aligned"/>
    <w:basedOn w:val="Normal"/>
    <w:uiPriority w:val="40"/>
    <w:qFormat/>
    <w:rsid w:val="002A6E0D"/>
    <w:pPr>
      <w:tabs>
        <w:tab w:val="decimal" w:pos="360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2A6E0D"/>
    <w:rPr>
      <w:rFonts w:eastAsia="Times New Roman" w:cs="Times New Roman"/>
      <w:bCs w:val="0"/>
      <w:i/>
      <w:iCs/>
      <w:color w:val="808080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45D"/>
    <w:pPr>
      <w:widowControl/>
      <w:suppressAutoHyphens w:val="0"/>
    </w:pPr>
    <w:rPr>
      <w:rFonts w:ascii="Reefont-Regular" w:hAnsi="Reefont-Regular"/>
      <w:b/>
      <w:bCs/>
      <w:color w:val="2A2F3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45D"/>
    <w:rPr>
      <w:rFonts w:ascii="Reefont-Regular" w:eastAsia="Times New Roman" w:hAnsi="Reefont-Regular" w:cs="Times New Roman"/>
      <w:b/>
      <w:bCs/>
      <w:color w:val="2A2F30"/>
      <w:sz w:val="20"/>
      <w:szCs w:val="20"/>
      <w:lang w:val="x-none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021"/>
    <w:rPr>
      <w:rFonts w:asciiTheme="majorHAnsi" w:eastAsiaTheme="majorEastAsia" w:hAnsiTheme="majorHAnsi" w:cstheme="majorBidi"/>
      <w:b/>
      <w:bCs/>
      <w:color w:val="0F6FC6" w:themeColor="accent1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808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16D9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49B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EF49B0"/>
    <w:pPr>
      <w:spacing w:after="100"/>
      <w:ind w:left="240"/>
    </w:pPr>
  </w:style>
  <w:style w:type="paragraph" w:styleId="Revision">
    <w:name w:val="Revision"/>
    <w:hidden/>
    <w:uiPriority w:val="99"/>
    <w:semiHidden/>
    <w:rsid w:val="00EC65D7"/>
    <w:pPr>
      <w:spacing w:after="0" w:line="240" w:lineRule="auto"/>
    </w:pPr>
    <w:rPr>
      <w:rFonts w:ascii="Times New Roman" w:eastAsia="Times New Roman" w:hAnsi="Times New Roman" w:cs="Times New Roman"/>
      <w:color w:val="2A2F3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981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6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32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4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1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419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1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9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7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6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36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3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86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32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image" Target="media/image3.gif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ushpi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DESE-231-14654</_dlc_DocId>
    <_dlc_DocIdUrl xmlns="733efe1c-5bbe-4968-87dc-d400e65c879f">
      <Url>https://sharepoint.doemass.org/ese/webteam/cps/_layouts/DocIdRedir.aspx?ID=DESE-231-14654</Url>
      <Description>DESE-231-14654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CA1C-9B25-45A8-9969-F837CC8810E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C0B9E166-4673-49FD-A04D-C177EEBB9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851F3-96D4-4F09-B3EF-00A9683C90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703501-1764-4633-AD3A-83F58D903B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A252A1-48DC-4CE8-A16A-598D9946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3615</Words>
  <Characters>20142</Characters>
  <Application>Microsoft Office Word</Application>
  <DocSecurity>0</DocSecurity>
  <Lines>875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Enhancement Grant Program 2014 - MA Department of Elementary and Secondary Education - 21st CCLC</vt:lpstr>
    </vt:vector>
  </TitlesOfParts>
  <Company/>
  <LinksUpToDate>false</LinksUpToDate>
  <CharactersWithSpaces>23115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Enhancement Grant Program 2014 - MA Department of Elementary and Secondary Education - 21st CCLC</dc:title>
  <dc:creator>ESE</dc:creator>
  <cp:lastModifiedBy>dzou</cp:lastModifiedBy>
  <cp:revision>4</cp:revision>
  <cp:lastPrinted>2015-01-23T19:30:00Z</cp:lastPrinted>
  <dcterms:created xsi:type="dcterms:W3CDTF">2015-03-19T13:47:00Z</dcterms:created>
  <dcterms:modified xsi:type="dcterms:W3CDTF">2015-03-19T18:26:00Z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19 2015</vt:lpwstr>
  </property>
</Properties>
</file>